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EE" w:rsidRPr="00520C8E" w:rsidRDefault="00AB3FEE" w:rsidP="00AB3FEE">
      <w:pPr>
        <w:rPr>
          <w:rFonts w:ascii="Arial" w:hAnsi="Arial" w:cs="Arial"/>
          <w:b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38.</w:t>
      </w:r>
      <w:r w:rsidRPr="00520C8E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 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La Tesorería contará con una Tesorera o Tesorero que dependerá directamente de la Subsecretaria o Subsecretario de Egresos, Contabilidad y Tesorería, quien se auxiliará de las Coordinadoras o Coordinadores de: Programas Federales y Control de Fondos, y de Control Financiero, y Jefas o Jefes de departamento y </w:t>
      </w:r>
      <w:r w:rsidRPr="00520C8E">
        <w:rPr>
          <w:rFonts w:ascii="Arial" w:hAnsi="Arial" w:cs="Arial"/>
          <w:sz w:val="19"/>
          <w:szCs w:val="19"/>
          <w:lang w:val="es-MX"/>
        </w:rPr>
        <w:t>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AB3FEE" w:rsidRPr="00520C8E" w:rsidRDefault="00AB3FEE" w:rsidP="00AB3FE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3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2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r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H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ú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,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n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los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términos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las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s,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la Subsecretaria o</w:t>
      </w:r>
      <w:r w:rsidRPr="00520C8E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o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s,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l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ál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l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Es</w:t>
      </w:r>
      <w:r w:rsidRPr="00520C8E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n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la Coordinadora o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ad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r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5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íf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ra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ep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rs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s,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sí 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lq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o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sc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n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na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Liberar conjuntamente con la Coordinadora o Coordinador de Control Financiero los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he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s,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verificando que se cuente con la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 v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,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spacing w:val="-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se</w:t>
      </w:r>
      <w:r w:rsidRPr="00520C8E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ca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 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,</w:t>
      </w:r>
      <w:r w:rsidRPr="00520C8E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sí</w:t>
      </w:r>
      <w:r w:rsidRPr="00520C8E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2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 M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ni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spacing w:val="-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Operar la banca electrónica a cargo de la Secretaría;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spacing w:val="-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n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la Coordinadora o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ad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r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s, incluyendo los provenientes de la deuda pública hasta en tanto son aplicados al pago de las inversiones públicas productivas correspondientes;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r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an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5"/>
          <w:w w:val="10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íf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,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a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ol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ít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s,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s,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5"/>
          <w:w w:val="101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rs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2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2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q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2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 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x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,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o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j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s,</w:t>
      </w:r>
      <w:r w:rsidRPr="00520C8E">
        <w:rPr>
          <w:rFonts w:ascii="Arial" w:eastAsia="Arial" w:hAnsi="Arial" w:cs="Arial"/>
          <w:spacing w:val="1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n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é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rm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,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iq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z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y 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2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pacing w:val="-5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w w:val="10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Proponer a la Subsecretaria o Subsecretario de Egresos, Contabilidad y Tesorería los montos de participaciones que les corresponda a los Municipios;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w w:val="10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bi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r </w:t>
      </w:r>
      <w:r w:rsidRPr="00520C8E">
        <w:rPr>
          <w:rFonts w:ascii="Arial" w:eastAsia="Arial" w:hAnsi="Arial" w:cs="Arial"/>
          <w:spacing w:val="14"/>
          <w:sz w:val="19"/>
          <w:szCs w:val="19"/>
          <w:lang w:val="es-MX"/>
        </w:rPr>
        <w:t>los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>informes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>trimestrales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9"/>
          <w:sz w:val="19"/>
          <w:szCs w:val="19"/>
          <w:lang w:val="es-MX"/>
        </w:rPr>
        <w:t>que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w w:val="10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Llevar el Registro Estatal de Financiamiento y Obligaciones de Oaxaca previsto en la Ley de Deuda Pública;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w w:val="10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Efectuar el pago de las amortizaciones, intereses y otros conceptos, derivados de empréstitos o créditos contratados;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z w:val="19"/>
          <w:szCs w:val="19"/>
          <w:lang w:val="es-MX"/>
        </w:rPr>
        <w:t>Sus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9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ú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ca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 xml:space="preserve"> 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1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pa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su</w:t>
      </w:r>
      <w:r w:rsidRPr="00520C8E">
        <w:rPr>
          <w:rFonts w:ascii="Arial" w:eastAsia="Arial" w:hAnsi="Arial" w:cs="Arial"/>
          <w:spacing w:val="-1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b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y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y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spacing w:val="-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21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20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4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lu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2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8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rs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6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ió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g</w:t>
      </w:r>
      <w:r w:rsidRPr="00520C8E">
        <w:rPr>
          <w:rFonts w:ascii="Arial" w:eastAsia="Arial" w:hAnsi="Arial" w:cs="Arial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l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Es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o 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, </w:t>
      </w:r>
      <w:r w:rsidRPr="00520C8E">
        <w:rPr>
          <w:rFonts w:ascii="Arial" w:eastAsia="Arial" w:hAnsi="Arial" w:cs="Arial"/>
          <w:spacing w:val="3"/>
          <w:sz w:val="19"/>
          <w:szCs w:val="19"/>
          <w:lang w:val="es-MX"/>
        </w:rPr>
        <w:t>en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2"/>
          <w:sz w:val="19"/>
          <w:szCs w:val="19"/>
          <w:lang w:val="es-MX"/>
        </w:rPr>
        <w:t>su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>caso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, </w:t>
      </w:r>
      <w:r w:rsidRPr="00520C8E">
        <w:rPr>
          <w:rFonts w:ascii="Arial" w:eastAsia="Arial" w:hAnsi="Arial" w:cs="Arial"/>
          <w:spacing w:val="6"/>
          <w:sz w:val="19"/>
          <w:szCs w:val="19"/>
          <w:lang w:val="es-MX"/>
        </w:rPr>
        <w:t>requerir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0"/>
          <w:sz w:val="19"/>
          <w:szCs w:val="19"/>
          <w:lang w:val="es-MX"/>
        </w:rPr>
        <w:t>saldos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4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f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r, a 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5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u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d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35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á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2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ni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i</w:t>
      </w:r>
      <w:r w:rsidRPr="00520C8E">
        <w:rPr>
          <w:rFonts w:ascii="Arial" w:eastAsia="Arial" w:hAnsi="Arial" w:cs="Arial"/>
          <w:spacing w:val="-4"/>
          <w:sz w:val="19"/>
          <w:szCs w:val="19"/>
          <w:lang w:val="es-MX"/>
        </w:rPr>
        <w:t>v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7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o</w:t>
      </w:r>
      <w:r w:rsidRPr="00520C8E">
        <w:rPr>
          <w:rFonts w:ascii="Arial" w:eastAsia="Arial" w:hAnsi="Arial" w:cs="Arial"/>
          <w:sz w:val="19"/>
          <w:szCs w:val="19"/>
          <w:lang w:val="es-MX"/>
        </w:rPr>
        <w:t>m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p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n</w:t>
      </w:r>
      <w:r w:rsidRPr="00520C8E">
        <w:rPr>
          <w:rFonts w:ascii="Arial" w:eastAsia="Arial" w:hAnsi="Arial" w:cs="Arial"/>
          <w:spacing w:val="-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s </w:t>
      </w:r>
      <w:r w:rsidRPr="00520C8E">
        <w:rPr>
          <w:rFonts w:ascii="Arial" w:eastAsia="Arial" w:hAnsi="Arial" w:cs="Arial"/>
          <w:spacing w:val="-3"/>
          <w:sz w:val="19"/>
          <w:szCs w:val="19"/>
          <w:lang w:val="es-MX"/>
        </w:rPr>
        <w:t>d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e </w:t>
      </w:r>
      <w:r w:rsidRPr="00520C8E">
        <w:rPr>
          <w:rFonts w:ascii="Arial" w:eastAsia="Arial" w:hAnsi="Arial" w:cs="Arial"/>
          <w:spacing w:val="-3"/>
          <w:w w:val="101"/>
          <w:sz w:val="19"/>
          <w:szCs w:val="19"/>
          <w:lang w:val="es-MX"/>
        </w:rPr>
        <w:t>l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S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c</w:t>
      </w:r>
      <w:r w:rsidRPr="00520C8E">
        <w:rPr>
          <w:rFonts w:ascii="Arial" w:eastAsia="Arial" w:hAnsi="Arial" w:cs="Arial"/>
          <w:spacing w:val="-4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e</w:t>
      </w:r>
      <w:r w:rsidRPr="00520C8E">
        <w:rPr>
          <w:rFonts w:ascii="Arial" w:eastAsia="Arial" w:hAnsi="Arial" w:cs="Arial"/>
          <w:spacing w:val="-1"/>
          <w:w w:val="101"/>
          <w:sz w:val="19"/>
          <w:szCs w:val="19"/>
          <w:lang w:val="es-MX"/>
        </w:rPr>
        <w:t>t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r</w:t>
      </w:r>
      <w:r w:rsidRPr="00520C8E">
        <w:rPr>
          <w:rFonts w:ascii="Arial" w:eastAsia="Arial" w:hAnsi="Arial" w:cs="Arial"/>
          <w:spacing w:val="-5"/>
          <w:w w:val="101"/>
          <w:sz w:val="19"/>
          <w:szCs w:val="19"/>
          <w:lang w:val="es-MX"/>
        </w:rPr>
        <w:t>í</w:t>
      </w:r>
      <w:r w:rsidRPr="00520C8E">
        <w:rPr>
          <w:rFonts w:ascii="Arial" w:eastAsia="Arial" w:hAnsi="Arial" w:cs="Arial"/>
          <w:spacing w:val="1"/>
          <w:w w:val="101"/>
          <w:sz w:val="19"/>
          <w:szCs w:val="19"/>
          <w:lang w:val="es-MX"/>
        </w:rPr>
        <w:t>a</w:t>
      </w: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lastRenderedPageBreak/>
        <w:t>Determinar la liquidez, a fin de que, en su caso, se autoricen acuerdos de ministración a favor de dependencias y municipios que lo soliciten ante la Secretaría y cumplan con los requisitos establecidos, para su registro y control;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="Arial" w:hAnsi="Arial" w:cs="Arial"/>
          <w:w w:val="101"/>
          <w:sz w:val="19"/>
          <w:szCs w:val="19"/>
          <w:lang w:val="es-MX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="Arial" w:hAnsi="Arial" w:cs="Arial"/>
          <w:w w:val="101"/>
          <w:sz w:val="19"/>
          <w:szCs w:val="19"/>
          <w:lang w:val="es-MX"/>
        </w:rPr>
        <w:t>I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nformar sobre la liquidez financiera a la Subsecretaria o Subsecretario de Egresos, Contabilidad y Tesorería;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="Arial" w:hAnsi="Arial" w:cs="Arial"/>
          <w:w w:val="101"/>
          <w:sz w:val="19"/>
          <w:szCs w:val="19"/>
          <w:lang w:val="es-MX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Realizar los descuentos de pago con cargo a las participaciones y/o aportaciones federales de los Municipios en cumplimiento de lo dispuesto en las leyes aplicables;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se realicen oportunamente los registros contables de los ingresos y egresos de las cuentas bancarias a cargo de la Secretaría, efectuando las conciliaciones bancarias correspondientes;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se realice el registro y control de monto, estructura y características de pasivo circulante, de acuerdo a la normatividad aplicable;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se entregue a la Dirección de Contabilidad Gubernamental para resguardo y custodia la documentación comprobatoria de las operaciones financieras que se realicen;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Presentar a la Subsecretaria o Subsecretario de Egresos, Contabilidad y Tesorería las proyecciones de los productos financieros, para proponer su integración a la Ley de Ingresos;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Participar en la elaboración de los lineamientos, manuales de procedimientos y sistemas de registro del ingreso y del gasto público;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Participar en el otorgamiento de las garantías y avales a cargo del Estado; 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Intervenir en representación de la Secretaría en su carácter de fideicomitente único del Gobierno del Estado; 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Vigilar que se mantenga actualizado el registro de fideicomisos públicos del Estado;</w:t>
      </w:r>
    </w:p>
    <w:p w:rsidR="00AB3FEE" w:rsidRPr="00520C8E" w:rsidRDefault="00AB3FEE" w:rsidP="00AB3FEE">
      <w:pPr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ante las empresas calificadoras autorizadas en el país la calificación de riesgo crediticio del Estado;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Instruir la transferencia de recursos a las cuentas bancarias de los fideicomisos de administración y/o pago;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Proponer en el programa operativo anual los montos a considerar en el Presupuesto de Egresos para el pago de servicios a las empresas calificadoras con las que el Estado deba contar;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Suscribir, conjuntamente con la Coordinadora o Coordinador de Control Financiero, los contratos de apertura de crédito con instituciones financieras, prestación de servicios con calificadoras, y los derivados de deuda pública y otras obligaciones de pago, así como los contratos de mandato derivados de los que suscriban los Municipios en donde se establezca la afectación de participaciones federales;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Suscribir las instrucciones irrevocables de afectación de participaciones federales y demás documentos relacionados con la deuda pública y otras obligaciones de pago;</w:t>
      </w:r>
    </w:p>
    <w:p w:rsidR="00AB3FEE" w:rsidRPr="00520C8E" w:rsidRDefault="00AB3FEE" w:rsidP="00AB3FEE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Efectuar los pagos correspondientes a proveedores, contratistas y prestadores de servicio del Poder Ejecutivo, de acuerdo a la disponibilidad financiera;</w:t>
      </w:r>
    </w:p>
    <w:p w:rsidR="00AB3FEE" w:rsidRPr="00520C8E" w:rsidRDefault="00AB3FEE" w:rsidP="00AB3FEE">
      <w:pPr>
        <w:pStyle w:val="Prrafodelista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Suscribir con la Subsecretaria o Subsecretario de Egresos, Contabilidad y Tesorería, conjuntamente con la Directora o Director de Presupuesto los Acuerdos de voluntades para el otorgamiento de apoyos financieros que se celebren con los Municipios;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lastRenderedPageBreak/>
        <w:t>Proponer a solicitud de las dependencias y entidades del Estado, el fondo rotatorio que puedan destinar para cubrir compromisos derivados del ejercicio de sus funciones;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la apertura de cuentas bancarias para la administración de recursos estatales de las dependencias y entidades del Estado;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 xml:space="preserve"> </w:t>
      </w: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Formular la notificación a las dependencias y entidades del Estado, la información relativa a los datos de las cuentas bancarias, y su clave de financiamiento, para la administración de recursos federales que reciban;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la apertura de cuentas de los recursos federales que reciban las dependencias y entidades del estado, a fin de identificarlos plenamente;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Ejercer las atribuciones de la Secretaría en materia de deuda pública, además de las señaladas anteriormente, llevando a cabo: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a) La negociación, aprobación, celebración, formalización y suscripción de los instrumentos jurídico contractuales en los que conste la contratación o asunción de obligaciones constitutivas de deuda pública, directa o contingente, a cargo del Estado, incluyendo títulos de crédito;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b) El refinanciamiento o reestructura de todo o parte de las obligaciones constitutivas de deuda pública, directa o contingente, a cargo del Estado;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c) La negociación, aprobación, celebración, formalización y suscripción de los instrumentos financieros derivados con los que se mitiguen los riesgos de una o más de las obligaciones constitutivas de deuda pública, directa o contingente, a cargo del Estado;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d) La formalización de los instrumentos concernientes a las afectaciones de participaciones en impuestos y aportaciones que correspondan al Estado, y la constitución de fondos de pago o reserva;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e) La negociación y celebración de los actos jurídicos necesarios para la contratación de los servicios que se requieran para la contratación o asunción de deuda pública, directa o contingente, a cargo del Estado, o para mantenerla vigente y en cumplimiento de los usos y prácticas de los mercados financieros, incluyendo de manera enunciativa mas no limitativa los servicios de agencias calificadoras de valores, despachos jurídicos externos, asesores financieros, fiduciarios, agentes etc.;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f) Celebrar los contratos de mandato u otros instrumentos jurídico-contractuales en los que los Municipios afecten las participaciones y aportaciones federales que les correspondan, y faculten irrevocablemente al Gobierno del Estado por conducto de la Secretaría de Finanzas, para efectuar los descuentos que le sean notificados; y</w:t>
      </w:r>
    </w:p>
    <w:p w:rsidR="00AB3FEE" w:rsidRPr="00520C8E" w:rsidRDefault="00AB3FEE" w:rsidP="00AB3FEE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AB3FEE" w:rsidRPr="00520C8E" w:rsidRDefault="00AB3FEE" w:rsidP="00AB3FEE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.</w:t>
      </w:r>
    </w:p>
    <w:p w:rsidR="0038456A" w:rsidRPr="00AB3FEE" w:rsidRDefault="0038456A">
      <w:pPr>
        <w:rPr>
          <w:lang w:val="es-MX"/>
        </w:rPr>
      </w:pPr>
    </w:p>
    <w:sectPr w:rsidR="0038456A" w:rsidRPr="00AB3FEE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55"/>
    <w:multiLevelType w:val="hybridMultilevel"/>
    <w:tmpl w:val="50A0717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B3FEE"/>
    <w:rsid w:val="0038456A"/>
    <w:rsid w:val="00AB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3FEE"/>
    <w:pPr>
      <w:keepNext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3F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3F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AB3F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3F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3FEE"/>
    <w:rPr>
      <w:rFonts w:ascii="Tahoma" w:eastAsia="Times New Roman" w:hAnsi="Tahoma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3F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B3F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3F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table" w:styleId="Tablaconcuadrcula">
    <w:name w:val="Table Grid"/>
    <w:basedOn w:val="Tablanormal"/>
    <w:uiPriority w:val="39"/>
    <w:rsid w:val="00AB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3FEE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AB3F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3FEE"/>
    <w:pPr>
      <w:spacing w:after="200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3FE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F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F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AB3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B3F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AB3FE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AB3FEE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B3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F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B3FEE"/>
    <w:pPr>
      <w:spacing w:before="100" w:beforeAutospacing="1" w:after="100" w:afterAutospacing="1"/>
    </w:pPr>
    <w:rPr>
      <w:rFonts w:ascii="Times" w:eastAsia="Calibri" w:hAnsi="Times"/>
      <w:lang w:val="es-ES_tradnl"/>
    </w:rPr>
  </w:style>
  <w:style w:type="paragraph" w:customStyle="1" w:styleId="Default">
    <w:name w:val="Default"/>
    <w:rsid w:val="00AB3F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AB3F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AB3FEE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rsid w:val="00AB3FEE"/>
    <w:pPr>
      <w:jc w:val="both"/>
    </w:pPr>
    <w:rPr>
      <w:rFonts w:ascii="Arial" w:hAnsi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AB3FEE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B3FEE"/>
    <w:pPr>
      <w:spacing w:after="300"/>
      <w:ind w:left="720" w:hanging="360"/>
      <w:contextualSpacing/>
    </w:pPr>
    <w:rPr>
      <w:rFonts w:ascii="Arial" w:hAnsi="Arial"/>
      <w:b/>
      <w:spacing w:val="5"/>
      <w:kern w:val="28"/>
      <w:sz w:val="24"/>
      <w:szCs w:val="52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B3FEE"/>
    <w:rPr>
      <w:rFonts w:ascii="Arial" w:eastAsia="Times New Roman" w:hAnsi="Arial" w:cs="Times New Roman"/>
      <w:b/>
      <w:spacing w:val="5"/>
      <w:kern w:val="28"/>
      <w:sz w:val="24"/>
      <w:szCs w:val="52"/>
    </w:rPr>
  </w:style>
  <w:style w:type="paragraph" w:customStyle="1" w:styleId="western">
    <w:name w:val="western"/>
    <w:basedOn w:val="Normal"/>
    <w:qFormat/>
    <w:rsid w:val="00AB3FEE"/>
    <w:pPr>
      <w:suppressAutoHyphens/>
      <w:spacing w:beforeAutospacing="1" w:after="142" w:line="276" w:lineRule="auto"/>
    </w:pPr>
    <w:rPr>
      <w:rFonts w:ascii="Calibri" w:hAnsi="Calibri" w:cs="Calibri"/>
      <w:color w:val="000000"/>
      <w:sz w:val="22"/>
      <w:szCs w:val="22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3FE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3FEE"/>
    <w:rPr>
      <w:rFonts w:ascii="Times New Roman" w:eastAsia="Times New Roman" w:hAnsi="Times New Roman" w:cs="Times New Roman"/>
      <w:b/>
      <w:bCs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B3FEE"/>
  </w:style>
  <w:style w:type="paragraph" w:styleId="Revisin">
    <w:name w:val="Revision"/>
    <w:hidden/>
    <w:uiPriority w:val="99"/>
    <w:semiHidden/>
    <w:rsid w:val="00A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B3FE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B3FE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7629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2022-08-27T11:13:00Z</dcterms:created>
  <dcterms:modified xsi:type="dcterms:W3CDTF">2022-08-27T11:14:00Z</dcterms:modified>
</cp:coreProperties>
</file>