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71" w:rsidRPr="00D47871" w:rsidRDefault="00D47871" w:rsidP="00D47871">
      <w:pPr>
        <w:jc w:val="center"/>
        <w:rPr>
          <w:rFonts w:ascii="Arial" w:hAnsi="Arial" w:cs="Arial"/>
          <w:b/>
          <w:color w:val="538135" w:themeColor="accent6" w:themeShade="BF"/>
          <w:sz w:val="16"/>
          <w:szCs w:val="16"/>
        </w:rPr>
      </w:pPr>
      <w:r w:rsidRPr="00D47871">
        <w:rPr>
          <w:rFonts w:ascii="Arial" w:hAnsi="Arial" w:cs="Arial"/>
          <w:b/>
          <w:color w:val="538135" w:themeColor="accent6" w:themeShade="BF"/>
          <w:sz w:val="16"/>
          <w:szCs w:val="16"/>
        </w:rPr>
        <w:t xml:space="preserve">Decreto publicado en el POE </w:t>
      </w:r>
      <w:r>
        <w:rPr>
          <w:rFonts w:ascii="Arial" w:hAnsi="Arial" w:cs="Arial"/>
          <w:b/>
          <w:color w:val="538135" w:themeColor="accent6" w:themeShade="BF"/>
          <w:sz w:val="16"/>
          <w:szCs w:val="16"/>
        </w:rPr>
        <w:t>31-12-2015</w:t>
      </w:r>
    </w:p>
    <w:p w:rsidR="00D47871" w:rsidRPr="00D47871" w:rsidRDefault="00D47871" w:rsidP="00D47871">
      <w:pPr>
        <w:jc w:val="center"/>
        <w:rPr>
          <w:rFonts w:ascii="Arial" w:hAnsi="Arial" w:cs="Arial"/>
          <w:b/>
          <w:color w:val="538135" w:themeColor="accent6" w:themeShade="BF"/>
          <w:sz w:val="16"/>
          <w:szCs w:val="16"/>
        </w:rPr>
      </w:pPr>
    </w:p>
    <w:p w:rsidR="00D47871" w:rsidRDefault="00D47871" w:rsidP="00D47871">
      <w:pPr>
        <w:jc w:val="center"/>
        <w:rPr>
          <w:rFonts w:ascii="Arial" w:hAnsi="Arial" w:cs="Arial"/>
          <w:b/>
          <w:sz w:val="16"/>
          <w:szCs w:val="16"/>
        </w:rPr>
      </w:pPr>
      <w:r>
        <w:rPr>
          <w:rFonts w:ascii="Arial" w:hAnsi="Arial" w:cs="Arial"/>
          <w:b/>
          <w:sz w:val="16"/>
          <w:szCs w:val="16"/>
        </w:rPr>
        <w:t xml:space="preserve">TEXTO VIGENTE </w:t>
      </w:r>
    </w:p>
    <w:p w:rsidR="00D47871" w:rsidRDefault="00D47871" w:rsidP="00D47871">
      <w:pPr>
        <w:jc w:val="center"/>
        <w:rPr>
          <w:rFonts w:ascii="Arial" w:hAnsi="Arial" w:cs="Arial"/>
          <w:b/>
          <w:color w:val="FF0000"/>
          <w:sz w:val="16"/>
          <w:szCs w:val="16"/>
        </w:rPr>
      </w:pPr>
      <w:r>
        <w:rPr>
          <w:rFonts w:ascii="Arial" w:hAnsi="Arial" w:cs="Arial"/>
          <w:b/>
          <w:color w:val="FF0000"/>
          <w:sz w:val="16"/>
          <w:szCs w:val="16"/>
        </w:rPr>
        <w:t>Sin reformas</w:t>
      </w:r>
      <w:bookmarkStart w:id="0" w:name="_GoBack"/>
      <w:bookmarkEnd w:id="0"/>
    </w:p>
    <w:p w:rsidR="00D47871" w:rsidRPr="00D47871" w:rsidRDefault="00D47871" w:rsidP="007F7F7F">
      <w:pPr>
        <w:pStyle w:val="Ttulo1"/>
        <w:jc w:val="center"/>
        <w:rPr>
          <w:rFonts w:ascii="Arial" w:hAnsi="Arial" w:cs="Arial"/>
          <w:b/>
          <w:color w:val="auto"/>
          <w:sz w:val="19"/>
          <w:szCs w:val="19"/>
          <w:lang w:val="es-ES"/>
        </w:rPr>
      </w:pPr>
    </w:p>
    <w:p w:rsidR="00D47871" w:rsidRDefault="00D47871" w:rsidP="007F7F7F">
      <w:pPr>
        <w:pStyle w:val="Ttulo1"/>
        <w:jc w:val="center"/>
        <w:rPr>
          <w:rFonts w:ascii="Arial" w:hAnsi="Arial" w:cs="Arial"/>
          <w:b/>
          <w:color w:val="auto"/>
          <w:sz w:val="19"/>
          <w:szCs w:val="19"/>
        </w:rPr>
      </w:pPr>
    </w:p>
    <w:p w:rsidR="00D93231" w:rsidRPr="00D93231" w:rsidRDefault="00B3401C" w:rsidP="007F7F7F">
      <w:pPr>
        <w:pStyle w:val="Ttulo1"/>
        <w:jc w:val="center"/>
        <w:rPr>
          <w:rFonts w:ascii="Arial" w:hAnsi="Arial" w:cs="Arial"/>
          <w:b/>
          <w:color w:val="auto"/>
          <w:sz w:val="19"/>
          <w:szCs w:val="19"/>
        </w:rPr>
      </w:pPr>
      <w:r>
        <w:rPr>
          <w:rFonts w:ascii="Arial" w:hAnsi="Arial" w:cs="Arial"/>
          <w:b/>
          <w:color w:val="auto"/>
          <w:sz w:val="19"/>
          <w:szCs w:val="19"/>
        </w:rPr>
        <w:t xml:space="preserve"> </w:t>
      </w:r>
      <w:r w:rsidR="00D93231" w:rsidRPr="00D93231">
        <w:rPr>
          <w:rFonts w:ascii="Arial" w:hAnsi="Arial" w:cs="Arial"/>
          <w:b/>
          <w:color w:val="auto"/>
          <w:sz w:val="19"/>
          <w:szCs w:val="19"/>
        </w:rPr>
        <w:t>DECRETO DE PRESUPUESTO DE EGRESOS DEL ESTADO DE OAXACA PARA EL EJERCICIO FISCAL 2016</w:t>
      </w:r>
    </w:p>
    <w:p w:rsidR="00D93231" w:rsidRPr="00D93231" w:rsidRDefault="00D93231"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Primero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Disposiciones Generales</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w:t>
      </w:r>
      <w:r w:rsidRPr="00D93231">
        <w:rPr>
          <w:rFonts w:ascii="Arial" w:hAnsi="Arial" w:cs="Arial"/>
          <w:sz w:val="19"/>
          <w:szCs w:val="19"/>
        </w:rPr>
        <w:t xml:space="preserve"> El ejercicio, control y evaluación de resultados del gasto público estatal para el ejercicio fiscal 2016, se realizará conforme a lo establecido en las Leyes de Coordinación Fiscal, Estatal de Presupuesto y Responsabilidad Hacendaria y su Reglamento, de Coordinación Fiscal para el Estado de Oaxaca, de Deuda Pública, de Fiscalización Superior para el Estado, para Adquisiciones, Arrendamientos y Servicios del Estado de Oaxaca, de Obras Públicas y Servicios Relacionados del Estado de Oaxaca, este Decreto y las demás disposiciones legales que le sean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Lo anterior, sin perjuicio de la interpretación que corresponda a otros Poderes del Estado en el ámbito de sus respectivas atribuciones.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Corresponde a las Secretarías de Finanzas del Poder Ejecutivo del Estado y de la Contraloría y Transparencia Gubernamental en el ámbito de sus competencias, determinar las normas y procedimientos administrativos tendientes a armonizar, transparentar, racionalizar y llevar a cabo el control del gasto público estatal. </w:t>
      </w:r>
    </w:p>
    <w:p w:rsidR="00D93231" w:rsidRPr="00D93231" w:rsidRDefault="00D93231" w:rsidP="00D93231">
      <w:pPr>
        <w:jc w:val="both"/>
        <w:rPr>
          <w:rFonts w:ascii="Arial" w:hAnsi="Arial" w:cs="Arial"/>
          <w:sz w:val="19"/>
          <w:szCs w:val="19"/>
        </w:rPr>
      </w:pPr>
    </w:p>
    <w:p w:rsidR="00D93231" w:rsidRPr="00BD25D0" w:rsidRDefault="00D93231" w:rsidP="00D93231">
      <w:pPr>
        <w:jc w:val="both"/>
        <w:rPr>
          <w:rFonts w:ascii="Arial" w:hAnsi="Arial" w:cs="Arial"/>
          <w:sz w:val="19"/>
          <w:szCs w:val="19"/>
        </w:rPr>
      </w:pPr>
      <w:r w:rsidRPr="00BD25D0">
        <w:rPr>
          <w:rFonts w:ascii="Arial" w:hAnsi="Arial" w:cs="Arial"/>
          <w:b/>
          <w:sz w:val="19"/>
          <w:szCs w:val="19"/>
        </w:rPr>
        <w:t>Artículo 2.</w:t>
      </w:r>
      <w:r w:rsidRPr="00BD25D0">
        <w:rPr>
          <w:rFonts w:ascii="Arial" w:hAnsi="Arial" w:cs="Arial"/>
          <w:sz w:val="19"/>
          <w:szCs w:val="19"/>
        </w:rPr>
        <w:t xml:space="preserve"> Para efectos del presente Decreto, se entenderá por:</w:t>
      </w:r>
    </w:p>
    <w:p w:rsidR="00D93231" w:rsidRPr="00BD25D0" w:rsidRDefault="00D93231" w:rsidP="00D93231">
      <w:pPr>
        <w:jc w:val="both"/>
        <w:rPr>
          <w:rFonts w:ascii="Arial" w:hAnsi="Arial" w:cs="Arial"/>
          <w:sz w:val="19"/>
          <w:szCs w:val="19"/>
        </w:rPr>
      </w:pPr>
      <w:r w:rsidRPr="00BD25D0">
        <w:rPr>
          <w:rFonts w:ascii="Arial" w:hAnsi="Arial" w:cs="Arial"/>
          <w:sz w:val="19"/>
          <w:szCs w:val="19"/>
        </w:rPr>
        <w:t xml:space="preserve"> </w:t>
      </w:r>
    </w:p>
    <w:p w:rsidR="00D93231" w:rsidRPr="00D93231" w:rsidRDefault="00D93231" w:rsidP="00BD25D0">
      <w:pPr>
        <w:pStyle w:val="Prrafodelista"/>
        <w:numPr>
          <w:ilvl w:val="0"/>
          <w:numId w:val="24"/>
        </w:numPr>
        <w:tabs>
          <w:tab w:val="left" w:pos="851"/>
        </w:tabs>
        <w:ind w:left="851" w:hanging="851"/>
        <w:rPr>
          <w:rFonts w:ascii="Arial" w:hAnsi="Arial" w:cs="Arial"/>
          <w:sz w:val="19"/>
          <w:szCs w:val="19"/>
        </w:rPr>
      </w:pPr>
      <w:r w:rsidRPr="00BD25D0">
        <w:rPr>
          <w:rFonts w:ascii="Arial" w:hAnsi="Arial" w:cs="Arial"/>
          <w:sz w:val="19"/>
          <w:szCs w:val="19"/>
        </w:rPr>
        <w:t>Adecuación Presupuestaria: Modificación a las estructuras</w:t>
      </w:r>
      <w:r w:rsidRPr="00D93231">
        <w:rPr>
          <w:rFonts w:ascii="Arial" w:hAnsi="Arial" w:cs="Arial"/>
          <w:sz w:val="19"/>
          <w:szCs w:val="19"/>
        </w:rPr>
        <w:t xml:space="preserve"> funcional, programática, administrativa, económica, tipo de gasto y objeto del gasto; las recalendarizaciones de presupuesto; las ampliaciones y reducciones del Presupuesto de Egresos aprobado; siempre que </w:t>
      </w:r>
      <w:r w:rsidRPr="00D93231">
        <w:rPr>
          <w:rFonts w:ascii="Arial" w:hAnsi="Arial" w:cs="Arial"/>
          <w:sz w:val="19"/>
          <w:szCs w:val="19"/>
        </w:rPr>
        <w:lastRenderedPageBreak/>
        <w:t>permitan un mejor cumplimiento de los objetivos de los programas a cargo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Administración: Secretaría de Administración;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Ahorro presupuestario: Remanente de recursos del presupuesto modificado una vez que se hayan cumplido las metas establecidas;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Asignación presupuestaria: Importe destinado a cubrir las erogaciones previstas para la realización de programas, subprogramas, proyectos y actividades necesarios para el logro de los objetivos y metas programadas;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Auditoría: Auditoría Superior del Estado;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Avance de Gestión: Al informe de las actividades de las entidades fiscalizables señaladas en el artículo 2 fracción XIX de la Ley de Fiscalización Superior para el Estado de Oaxaca;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Calendario de Presupuesto: Periodicidad en que deben llevarse a cabo las actividades y gastos de los programas;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Capítulo de Gasto: Es el mayor nivel de agregación que identifica el conjunto homogéneo y ordenado de los bienes y servicios requeridos por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Administrativa: Elemento de programación presupuestaria que refleja las asignaciones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Funcional: Agrupa los gastos según los propósitos u objetivos socioeconómicos que persiguen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Clasificación por Objeto del Gasto: Listado ordenado, homogéneo y coherente que permite identificar los bienes y servicios que el sector </w:t>
      </w:r>
      <w:r w:rsidRPr="00D93231">
        <w:rPr>
          <w:rFonts w:ascii="Arial" w:hAnsi="Arial" w:cs="Arial"/>
          <w:sz w:val="19"/>
          <w:szCs w:val="19"/>
        </w:rPr>
        <w:lastRenderedPageBreak/>
        <w:t>público demanda para desarrollar sus acciones, agrupándolas en capítulos, conceptos y partidas;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por Tipo de Gasto: Relaciona las transacciones públicas que generan gastos con los grandes agregados de la clasificación económica presentándolos en Corriente, de Capital, Amortización de la deuda, disminución de pasivos, pensiones, jubilaciones y participaciones;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Clasificación Programática: Ordena el Presupuesto de Egresos del Estado acorde a la relación que tienen las erogaciones con los programas a cargo de los Ejecutores de gasto;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A2050A" w:rsidRDefault="00A2050A" w:rsidP="00BD25D0">
      <w:pPr>
        <w:pStyle w:val="Prrafodelista"/>
        <w:numPr>
          <w:ilvl w:val="0"/>
          <w:numId w:val="24"/>
        </w:numPr>
        <w:tabs>
          <w:tab w:val="left" w:pos="851"/>
        </w:tabs>
        <w:ind w:left="851" w:hanging="851"/>
        <w:jc w:val="both"/>
        <w:rPr>
          <w:rFonts w:ascii="Arial" w:hAnsi="Arial" w:cs="Arial"/>
          <w:sz w:val="19"/>
          <w:szCs w:val="19"/>
        </w:rPr>
      </w:pPr>
      <w:r>
        <w:rPr>
          <w:rFonts w:ascii="Arial" w:hAnsi="Arial" w:cs="Arial"/>
          <w:sz w:val="19"/>
          <w:szCs w:val="19"/>
        </w:rPr>
        <w:t>Instancia Técnica de Evaluación: Jefatura de la Gubernatura;</w:t>
      </w:r>
    </w:p>
    <w:p w:rsidR="00A2050A" w:rsidRPr="00A2050A" w:rsidRDefault="00A2050A" w:rsidP="00A2050A">
      <w:pPr>
        <w:pStyle w:val="Prrafodelista"/>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Congreso: Congreso del Estado;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Contraloría: Secretaría de la Contraloría y Transparencia Gubernamental;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Coordinador de Sector: Dependencia que designe el Ejecutivo Estatal en los términos de la Ley Orgánica del Poder Ejecutivo del Estado, para orientar y coordinar la programación, presupuestación, ejercicio y evaluación del gasto de las entidades que queden ubicadas en el sector bajo su coordinación;</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Decreto: Decreto de Presupuesto de Egresos del Estado de Oaxaca para el ejercicio fiscal 2016 y sus Anexos;</w:t>
      </w:r>
    </w:p>
    <w:p w:rsidR="00D93231" w:rsidRPr="00D93231" w:rsidRDefault="00D93231" w:rsidP="00BD25D0">
      <w:pPr>
        <w:pStyle w:val="Prrafodelista"/>
        <w:tabs>
          <w:tab w:val="left" w:pos="851"/>
        </w:tabs>
        <w:ind w:left="851" w:hanging="851"/>
        <w:jc w:val="both"/>
        <w:rPr>
          <w:rFonts w:ascii="Arial" w:hAnsi="Arial" w:cs="Arial"/>
          <w:sz w:val="19"/>
          <w:szCs w:val="19"/>
        </w:rPr>
      </w:pPr>
      <w:r w:rsidRPr="00D93231">
        <w:rPr>
          <w:rFonts w:ascii="Arial" w:hAnsi="Arial" w:cs="Arial"/>
          <w:sz w:val="19"/>
          <w:szCs w:val="19"/>
        </w:rPr>
        <w:t xml:space="preserve"> </w:t>
      </w: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Dependencias: Gubernatura, Secretarías de despacho, Procuraduría General de Justicia del Estado,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Disponibilidad Presupuestaria: Saldos o diferencias resultantes de restar a una asignación presupuestaria autorizada, los compromisos legalmente contraídos con cargo a la misma;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Entidades: Los organismos descentralizados, empresas de participación estatal, fideicomisos públicos y órganos auxiliares de </w:t>
      </w:r>
      <w:r w:rsidRPr="00D93231">
        <w:rPr>
          <w:rFonts w:ascii="Arial" w:hAnsi="Arial" w:cs="Arial"/>
          <w:sz w:val="19"/>
          <w:szCs w:val="19"/>
        </w:rPr>
        <w:lastRenderedPageBreak/>
        <w:t>colaboración, que de conformidad con la Ley de Entidades Paraestatales del Estado de Oaxaca sean considerados entidades paraestatales;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Ejecutores de gasto: Los Poderes Legislativo y Judicial; Órganos Autónomos por disposición constitucional y legal; dependencias y entidades del Poder Ejecutivo que realizan las erogaciones a que se refiere el artículo 4 de la Ley con cargo al Presupuesto de Egresos;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Economía presupuestaria: Remanentes de recursos no comprometidos, no devengados y no ejercidos del presupuesto modificado.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Ley: Ley Estatal de Presupuesto y Responsabilidad Hacendaria;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 xml:space="preserve">Ley de Responsabilidades: Ley de Responsabilidades de los Servidores Públicos del Estado y Municipios de Oaxaca;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Presupuesto de egresos: Montos financieros aprobados en este Decreto;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Reglamento: Reglamento de la Ley Estatal de Presupuesto y Responsabilidad Hacendaria.</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Secretaría: Secretaría de Finanzas del Poder Ejecutivo del Estado;</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lastRenderedPageBreak/>
        <w:t xml:space="preserve">Unidades de administración: Órganos o unidades administrativas de los Ejecutores de gasto, establecidos en los términos de sus respectivas leyes orgánicas, y </w:t>
      </w:r>
    </w:p>
    <w:p w:rsidR="00D93231" w:rsidRPr="00D93231" w:rsidRDefault="00D93231" w:rsidP="00BD25D0">
      <w:pPr>
        <w:pStyle w:val="Prrafodelista"/>
        <w:tabs>
          <w:tab w:val="left" w:pos="851"/>
        </w:tabs>
        <w:ind w:left="851" w:hanging="851"/>
        <w:jc w:val="both"/>
        <w:rPr>
          <w:rFonts w:ascii="Arial" w:hAnsi="Arial" w:cs="Arial"/>
          <w:sz w:val="19"/>
          <w:szCs w:val="19"/>
        </w:rPr>
      </w:pPr>
    </w:p>
    <w:p w:rsidR="00D93231" w:rsidRPr="00D93231" w:rsidRDefault="00D93231" w:rsidP="00BD25D0">
      <w:pPr>
        <w:pStyle w:val="Prrafodelista"/>
        <w:numPr>
          <w:ilvl w:val="0"/>
          <w:numId w:val="24"/>
        </w:numPr>
        <w:tabs>
          <w:tab w:val="left" w:pos="851"/>
        </w:tabs>
        <w:ind w:left="851" w:hanging="851"/>
        <w:jc w:val="both"/>
        <w:rPr>
          <w:rFonts w:ascii="Arial" w:hAnsi="Arial" w:cs="Arial"/>
          <w:sz w:val="19"/>
          <w:szCs w:val="19"/>
        </w:rPr>
      </w:pPr>
      <w:r w:rsidRPr="00D93231">
        <w:rPr>
          <w:rFonts w:ascii="Arial" w:hAnsi="Arial" w:cs="Arial"/>
          <w:sz w:val="19"/>
          <w:szCs w:val="19"/>
        </w:rPr>
        <w:t>Unidad responsable: Para efectos presupuestales, los Poderes Legislativo y Judicial; Órganos Autónomos; dependencias y entidades del Poder Ejecutivo, obligadas a rendir cuentas sobre la aplicación, ejercicio, control y evaluación de los programas comprendidos en este Decreto que contribuyen al cumplimiento del Plan Estatal de Desarrollo.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w:t>
      </w:r>
      <w:r w:rsidRPr="00D93231">
        <w:rPr>
          <w:rFonts w:ascii="Arial" w:hAnsi="Arial" w:cs="Arial"/>
          <w:sz w:val="19"/>
          <w:szCs w:val="19"/>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evaluación de los resultados corresponderá a la Instancia Técnica de Evaluación, el control, inspección y vigilancia a la Contraloría.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w:t>
      </w:r>
      <w:r w:rsidRPr="00D93231">
        <w:rPr>
          <w:rFonts w:ascii="Arial" w:hAnsi="Arial" w:cs="Arial"/>
          <w:sz w:val="19"/>
          <w:szCs w:val="19"/>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Priorizar la asignación de los recursos a los programas para resultados, obras y acciones de alto impacto y beneficio social que incidan en el desarrollo económico y social;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Garantizar la elevación de los niveles de calidad de vida en la población;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Identificar la población objetivo, procurando atender a la de menor ingreso;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Consolidar la estructura presupuestaria que facilite la ejecución de los programas, y </w:t>
      </w:r>
    </w:p>
    <w:p w:rsidR="00D93231" w:rsidRPr="00D93231" w:rsidRDefault="00D93231" w:rsidP="00DC475F">
      <w:pPr>
        <w:pStyle w:val="Prrafodelista"/>
        <w:numPr>
          <w:ilvl w:val="0"/>
          <w:numId w:val="25"/>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Fortalecer un Presupuesto basado en Resultados.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lastRenderedPageBreak/>
        <w:t xml:space="preserve">El ejercicio del gasto tendrá como finalidad dar cumplimiento a las metas y objetivos planteados en el Plan Estatal de Desarrollo de Oaxaca 2011-2016, y los instrumentos legales que de éste deriven.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guarda y custodia de la documentación a que se refiere el párrafo anterior es responsabilidad del Ejecutor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w:t>
      </w:r>
      <w:r w:rsidRPr="00D93231">
        <w:rPr>
          <w:rFonts w:ascii="Arial" w:hAnsi="Arial" w:cs="Arial"/>
          <w:sz w:val="19"/>
          <w:szCs w:val="19"/>
        </w:rPr>
        <w:t xml:space="preserve"> Los Ejecutores de gasto serán responsables del seguimiento y cumplimiento de los indicadores estratégicos y de gestión, comprendidos en las matrices de indicadores de los programas para resultados.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indicadores estratégicos y de gestión deberán ser publicados en las páginas electrónicas de los Ejecutores de gasto y de la Secretaría.</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6</w:t>
      </w:r>
      <w:r w:rsidRPr="00D93231">
        <w:rPr>
          <w:rFonts w:ascii="Arial" w:hAnsi="Arial" w:cs="Arial"/>
          <w:sz w:val="19"/>
          <w:szCs w:val="19"/>
        </w:rPr>
        <w:t xml:space="preserve">. La Auditoría,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financiero no pagado al 31 de diciembre se reintegre a la Secretaría.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Tratándose de recursos federales, vigilarán y realizarán acciones preventivas para evitar el subejercicio de recursos, ya que cualquier remanente presupuestario que no haya sido comprometido al 31 de diciembre se reintegrará a la Tesorería de la Federación, conforme a lo establecido en el convenio y reglas de operación respectivos.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lastRenderedPageBreak/>
        <w:t>Artículo 7.</w:t>
      </w:r>
      <w:r w:rsidRPr="00D93231">
        <w:rPr>
          <w:rFonts w:ascii="Arial" w:hAnsi="Arial" w:cs="Arial"/>
          <w:sz w:val="19"/>
          <w:szCs w:val="19"/>
        </w:rPr>
        <w:t xml:space="preserve"> Los Ejecutores de gasto, deberán llevar el registro de su presupuesto de egresos aprobado, modificado, comprometido, devengado, ejercido y pagado.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El Comité de Adquisiciones, deberá notificar a los Ejecutores de gasto el fallo de las licitaciones para que éstos registren el monto comprometido en el sistema electrónico que para tal efecto determine la Secretaría.</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8.</w:t>
      </w:r>
      <w:r w:rsidRPr="00D93231">
        <w:rPr>
          <w:rFonts w:ascii="Arial" w:hAnsi="Arial" w:cs="Arial"/>
          <w:sz w:val="19"/>
          <w:szCs w:val="19"/>
        </w:rPr>
        <w:t xml:space="preserve"> La recalendarización y ejercicio de los recursos estatales autorizados para gastos de inversión, se realizará conforme a las disposiciones que para tal efecto emita la Secretaría.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En el caso de recursos federales estará sujeto a la calendarización o prórroga que la Federación otorgue. La aplicación y conclusión de los mismos deberá sujetarse a la Ley y a las disposiciones legales o normativas que les den origen.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9.</w:t>
      </w:r>
      <w:r w:rsidRPr="00D93231">
        <w:rPr>
          <w:rFonts w:ascii="Arial" w:hAnsi="Arial" w:cs="Arial"/>
          <w:sz w:val="19"/>
          <w:szCs w:val="19"/>
        </w:rPr>
        <w:t xml:space="preserve"> No se autorizarán asignaciones presupuestarias mayores a las aprobadas para el presente ejercicio fiscal, salvo en casos debidamente justificados y aprobados por la Secretaría, los cuales se considerarán gastos no </w:t>
      </w:r>
      <w:proofErr w:type="spellStart"/>
      <w:r w:rsidRPr="00D93231">
        <w:rPr>
          <w:rFonts w:ascii="Arial" w:hAnsi="Arial" w:cs="Arial"/>
          <w:sz w:val="19"/>
          <w:szCs w:val="19"/>
        </w:rPr>
        <w:t>regularizables</w:t>
      </w:r>
      <w:proofErr w:type="spellEnd"/>
      <w:r w:rsidRPr="00D93231">
        <w:rPr>
          <w:rFonts w:ascii="Arial" w:hAnsi="Arial" w:cs="Arial"/>
          <w:sz w:val="19"/>
          <w:szCs w:val="19"/>
        </w:rPr>
        <w:t>.</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La Secretaría, es la única instancia competente para autorizar erogaciones adicionales para aplicarlas a programas de los Ejecutores de gasto, en términos de la Ley.</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10.</w:t>
      </w:r>
      <w:r w:rsidRPr="00D93231">
        <w:rPr>
          <w:rFonts w:ascii="Arial" w:hAnsi="Arial" w:cs="Arial"/>
          <w:sz w:val="19"/>
          <w:szCs w:val="19"/>
        </w:rPr>
        <w:t xml:space="preserve"> Ningún Ejecutor de gasto podrá comprometer recursos estatales con la Federación a través de convenios u otro instrumento jurídico, sin autorización previa de la Secretaría.</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11</w:t>
      </w:r>
      <w:r w:rsidRPr="00D93231">
        <w:rPr>
          <w:rFonts w:ascii="Arial" w:hAnsi="Arial" w:cs="Arial"/>
          <w:sz w:val="19"/>
          <w:szCs w:val="19"/>
        </w:rPr>
        <w:t>. No se autorizarán traspasos de recursos estatales de otros capítulos de gasto al capítulo de servicios personales y viceversa. Igualmente, no se autorizarán traspasos de los capítulos de Bienes Muebles e Inmuebles; Obra Pública, Proyectos Productivos y de Fomento, e, Inversiones Financieras, a otros capítulos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Tratándose de recursos federales, se </w:t>
      </w:r>
      <w:r w:rsidR="0042014C">
        <w:rPr>
          <w:rFonts w:ascii="Arial" w:hAnsi="Arial" w:cs="Arial"/>
          <w:sz w:val="19"/>
          <w:szCs w:val="19"/>
        </w:rPr>
        <w:t>sujetarán a</w:t>
      </w:r>
      <w:r w:rsidRPr="00D93231">
        <w:rPr>
          <w:rFonts w:ascii="Arial" w:hAnsi="Arial" w:cs="Arial"/>
          <w:sz w:val="19"/>
          <w:szCs w:val="19"/>
        </w:rPr>
        <w:t xml:space="preserve"> las disposiciones </w:t>
      </w:r>
      <w:r w:rsidR="0042014C">
        <w:rPr>
          <w:rFonts w:ascii="Arial" w:hAnsi="Arial" w:cs="Arial"/>
          <w:sz w:val="19"/>
          <w:szCs w:val="19"/>
        </w:rPr>
        <w:t>legales aplicables.</w:t>
      </w:r>
    </w:p>
    <w:p w:rsidR="00D93231" w:rsidRPr="00D93231" w:rsidRDefault="00D93231" w:rsidP="00D93231">
      <w:pPr>
        <w:jc w:val="both"/>
        <w:rPr>
          <w:rFonts w:ascii="Arial" w:hAnsi="Arial" w:cs="Arial"/>
          <w:b/>
          <w:sz w:val="19"/>
          <w:szCs w:val="19"/>
        </w:rPr>
      </w:pPr>
      <w:r w:rsidRPr="00D93231">
        <w:rPr>
          <w:rFonts w:ascii="Arial" w:hAnsi="Arial" w:cs="Arial"/>
          <w:b/>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12.</w:t>
      </w:r>
      <w:r w:rsidRPr="00D93231">
        <w:rPr>
          <w:rFonts w:ascii="Arial" w:hAnsi="Arial" w:cs="Arial"/>
          <w:sz w:val="19"/>
          <w:szCs w:val="19"/>
        </w:rPr>
        <w:t xml:space="preserve"> El Ejecutivo Estatal, por conducto de la Secretaría, en el ámbito de su competencia y de conformidad con el artículo 19 de la Ley, podrá efectuar adecuaciones al Presupuesto de egresos aprobado a los Ejecutores de gasto.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13.</w:t>
      </w:r>
      <w:r w:rsidRPr="00D93231">
        <w:rPr>
          <w:rFonts w:ascii="Arial" w:hAnsi="Arial" w:cs="Arial"/>
          <w:sz w:val="19"/>
          <w:szCs w:val="19"/>
        </w:rPr>
        <w:t xml:space="preserve"> Las Dependencias y Entidades deberán registrar ante la Secretaría, todas las operaciones que involucren compromisos financieros con recursos públicos, los cuales sólo se podrán erogar si se encuentran autorizados en el presente Decreto.</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14.</w:t>
      </w:r>
      <w:r w:rsidRPr="00D93231">
        <w:rPr>
          <w:rFonts w:ascii="Arial" w:hAnsi="Arial" w:cs="Arial"/>
          <w:sz w:val="19"/>
          <w:szCs w:val="19"/>
        </w:rPr>
        <w:t xml:space="preserve"> Las economías presupuestarias, serán canceladas por la Secretaría, sin que para ello se requiera la aprobación de los Ejecutores de gasto.</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w:t>
      </w:r>
      <w:proofErr w:type="spellStart"/>
      <w:r w:rsidRPr="00D93231">
        <w:rPr>
          <w:rFonts w:ascii="Arial" w:hAnsi="Arial" w:cs="Arial"/>
          <w:sz w:val="19"/>
          <w:szCs w:val="19"/>
        </w:rPr>
        <w:t>regularizables</w:t>
      </w:r>
      <w:proofErr w:type="spellEnd"/>
      <w:r w:rsidRPr="00D93231">
        <w:rPr>
          <w:rFonts w:ascii="Arial" w:hAnsi="Arial" w:cs="Arial"/>
          <w:sz w:val="19"/>
          <w:szCs w:val="19"/>
        </w:rPr>
        <w:t xml:space="preserve"> para el siguiente ejercicio fiscal.</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15.</w:t>
      </w:r>
      <w:r w:rsidRPr="00D93231">
        <w:rPr>
          <w:rFonts w:ascii="Arial" w:hAnsi="Arial" w:cs="Arial"/>
          <w:sz w:val="19"/>
          <w:szCs w:val="19"/>
        </w:rPr>
        <w:t xml:space="preserve"> En el ejercicio del Presupuesto de egresos, los Ejecutores de gasto se sujetarán a los montos y calendarios autorizados, así como a la disponibilidad financiera durante el ejercicio fiscal.</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16.</w:t>
      </w:r>
      <w:r w:rsidRPr="00D93231">
        <w:rPr>
          <w:rFonts w:ascii="Arial" w:hAnsi="Arial" w:cs="Arial"/>
          <w:sz w:val="19"/>
          <w:szCs w:val="19"/>
        </w:rPr>
        <w:t xml:space="preserve"> En el ejercicio del presupuesto de egresos, los Ejecutores de gasto se sujetarán a la calendarización que determine y les dé a conocer la Secretaría, la cual será congruente con los flujos de ingresos. Asimismo, las Dependencias y Entidades proporcionarán a la Secretaría, la información presupuestaria y financiera que se les requiera, de conformidad con las disposiciones vigentes.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17.</w:t>
      </w:r>
      <w:r w:rsidRPr="00D93231">
        <w:rPr>
          <w:rFonts w:ascii="Arial" w:hAnsi="Arial" w:cs="Arial"/>
          <w:sz w:val="19"/>
          <w:szCs w:val="19"/>
        </w:rPr>
        <w:t xml:space="preserve"> Los recursos que los Ejecutores de gasto generen o recauden por los servicios que presten y por el otorgamiento del uso, goce o aprovechamiento de bienes de dominio público, están incluidos en las asignaciones estatales ordinarias aprobadas al inicio del ejercicio fiscal; por lo que es requisito indispensable el estricto cumplimiento a lo dispuesto por el artículo 7 de la Ley de Ingresos del Estado de Oaxaca para el ejercicio fiscal 2016.</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servidores públicos que no den cumplimiento a lo establecido en el párrafo anterior, incurrirán en responsabilidad, que se sancionará conforme a la Ley de Responsabilidades, la Ley y los demás ordenamientos legales aplicables.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lastRenderedPageBreak/>
        <w:t>Artículo 18.</w:t>
      </w:r>
      <w:r w:rsidRPr="00D93231">
        <w:rPr>
          <w:rFonts w:ascii="Arial" w:hAnsi="Arial" w:cs="Arial"/>
          <w:sz w:val="19"/>
          <w:szCs w:val="19"/>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Es obligatorio que en el ejercicio del gasto se observen las disposiciones legales que le sean aplicables.</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19.</w:t>
      </w:r>
      <w:r w:rsidRPr="00D93231">
        <w:rPr>
          <w:rFonts w:ascii="Arial" w:hAnsi="Arial" w:cs="Arial"/>
          <w:sz w:val="19"/>
          <w:szCs w:val="19"/>
        </w:rPr>
        <w:t xml:space="preserve"> Para la ministración de los recursos del Presupuesto de egresos, los Ejecutores de gasto presentarán a la Secretaría, las Cuentas por Liquidar Certificadas (</w:t>
      </w:r>
      <w:proofErr w:type="spellStart"/>
      <w:r w:rsidRPr="00D93231">
        <w:rPr>
          <w:rFonts w:ascii="Arial" w:hAnsi="Arial" w:cs="Arial"/>
          <w:sz w:val="19"/>
          <w:szCs w:val="19"/>
        </w:rPr>
        <w:t>CLC´s</w:t>
      </w:r>
      <w:proofErr w:type="spellEnd"/>
      <w:r w:rsidRPr="00D93231">
        <w:rPr>
          <w:rFonts w:ascii="Arial" w:hAnsi="Arial" w:cs="Arial"/>
          <w:sz w:val="19"/>
          <w:szCs w:val="19"/>
        </w:rPr>
        <w:t>) correspondientes, en los términos y plazos que se establezcan en la Ley, su Reglamento y demás disposiciones aplicables.</w:t>
      </w:r>
    </w:p>
    <w:p w:rsidR="00D93231" w:rsidRPr="00D93231" w:rsidRDefault="00D93231" w:rsidP="00D93231">
      <w:pPr>
        <w:jc w:val="both"/>
        <w:rPr>
          <w:rFonts w:ascii="Arial" w:hAnsi="Arial" w:cs="Arial"/>
          <w:sz w:val="19"/>
          <w:szCs w:val="19"/>
        </w:rPr>
      </w:pPr>
    </w:p>
    <w:p w:rsidR="00E41CCE" w:rsidRDefault="00D93231" w:rsidP="00D93231">
      <w:pPr>
        <w:jc w:val="both"/>
        <w:rPr>
          <w:rFonts w:ascii="Arial" w:hAnsi="Arial" w:cs="Arial"/>
          <w:sz w:val="19"/>
          <w:szCs w:val="19"/>
        </w:rPr>
      </w:pPr>
      <w:r w:rsidRPr="00D93231">
        <w:rPr>
          <w:rFonts w:ascii="Arial" w:hAnsi="Arial" w:cs="Arial"/>
          <w:b/>
          <w:sz w:val="19"/>
          <w:szCs w:val="19"/>
        </w:rPr>
        <w:t>Artículo 20.</w:t>
      </w:r>
      <w:r w:rsidRPr="00D93231">
        <w:rPr>
          <w:rFonts w:ascii="Arial" w:hAnsi="Arial" w:cs="Arial"/>
          <w:sz w:val="19"/>
          <w:szCs w:val="19"/>
        </w:rPr>
        <w:t xml:space="preserve"> Formarán parte de este Decreto los montos de recursos adicionales y distintos a los contenidos en el mismo, que se asignen al Estado mediante el Decreto de Presupuesto de Egresos de la Federación para el Ejercicio Fiscal 2016 y que por disposición de la legislación federal aplicable deban ser administrados, ejercidos, controlados, informados y evaluados por las Dependencias y Entidades de la Administración Pública Estatal.</w:t>
      </w:r>
    </w:p>
    <w:p w:rsidR="00A357EC" w:rsidRPr="00D93231" w:rsidRDefault="00A357EC" w:rsidP="00A357EC">
      <w:pPr>
        <w:rPr>
          <w:rFonts w:ascii="Arial" w:hAnsi="Arial" w:cs="Arial"/>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Segundo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Asignaciones Generales</w:t>
      </w:r>
    </w:p>
    <w:p w:rsidR="00D93231" w:rsidRPr="00D93231" w:rsidRDefault="00D93231" w:rsidP="00D93231">
      <w:pPr>
        <w:jc w:val="center"/>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21.</w:t>
      </w:r>
      <w:r w:rsidRPr="00D93231">
        <w:rPr>
          <w:rFonts w:ascii="Arial" w:hAnsi="Arial" w:cs="Arial"/>
          <w:sz w:val="19"/>
          <w:szCs w:val="19"/>
        </w:rPr>
        <w:t xml:space="preserve"> El gasto total importa la cantidad de $60,495,049,279.00 (Sesenta mil cuatrocientos noventa y cinco millones cuarenta y nueve mil doscientos setenta y nueve pesos 00/100 M.N.).</w:t>
      </w:r>
    </w:p>
    <w:p w:rsidR="00A22233" w:rsidRPr="00D93231" w:rsidRDefault="00A22233"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22.</w:t>
      </w:r>
      <w:r w:rsidRPr="00D93231">
        <w:rPr>
          <w:rFonts w:ascii="Arial" w:hAnsi="Arial" w:cs="Arial"/>
          <w:sz w:val="19"/>
          <w:szCs w:val="19"/>
        </w:rPr>
        <w:t xml:space="preserve"> El Presupuesto de egresos asignado al Poder Legislativo es de: $676</w:t>
      </w:r>
      <w:proofErr w:type="gramStart"/>
      <w:r w:rsidRPr="00D93231">
        <w:rPr>
          <w:rFonts w:ascii="Arial" w:hAnsi="Arial" w:cs="Arial"/>
          <w:sz w:val="19"/>
          <w:szCs w:val="19"/>
        </w:rPr>
        <w:t>,300,000.00</w:t>
      </w:r>
      <w:proofErr w:type="gramEnd"/>
      <w:r w:rsidRPr="00D93231">
        <w:rPr>
          <w:rFonts w:ascii="Arial" w:hAnsi="Arial" w:cs="Arial"/>
          <w:sz w:val="19"/>
          <w:szCs w:val="19"/>
        </w:rPr>
        <w:t xml:space="preserve"> (Seiscientos setenta y seis millones trescientos mil pesos 00/100 M.N.), que se distribuye de la siguiente forma:</w:t>
      </w:r>
    </w:p>
    <w:p w:rsidR="00D93231" w:rsidRPr="000F4558" w:rsidRDefault="00D93231" w:rsidP="00D93231">
      <w:pPr>
        <w:jc w:val="both"/>
        <w:rPr>
          <w:rFonts w:ascii="Arial" w:hAnsi="Arial" w:cs="Arial"/>
        </w:rPr>
      </w:pPr>
    </w:p>
    <w:tbl>
      <w:tblPr>
        <w:tblW w:w="6724" w:type="dxa"/>
        <w:jc w:val="center"/>
        <w:tblInd w:w="-212" w:type="dxa"/>
        <w:tblCellMar>
          <w:left w:w="70" w:type="dxa"/>
          <w:right w:w="70" w:type="dxa"/>
        </w:tblCellMar>
        <w:tblLook w:val="04A0" w:firstRow="1" w:lastRow="0" w:firstColumn="1" w:lastColumn="0" w:noHBand="0" w:noVBand="1"/>
      </w:tblPr>
      <w:tblGrid>
        <w:gridCol w:w="4761"/>
        <w:gridCol w:w="1963"/>
      </w:tblGrid>
      <w:tr w:rsidR="00D93231" w:rsidRPr="00C817F3" w:rsidTr="00DC475F">
        <w:trPr>
          <w:trHeight w:val="300"/>
          <w:jc w:val="center"/>
        </w:trPr>
        <w:tc>
          <w:tcPr>
            <w:tcW w:w="4761" w:type="dxa"/>
            <w:tcBorders>
              <w:top w:val="nil"/>
              <w:left w:val="nil"/>
              <w:bottom w:val="nil"/>
              <w:right w:val="nil"/>
            </w:tcBorders>
            <w:shd w:val="clear" w:color="auto" w:fill="auto"/>
            <w:noWrap/>
            <w:vAlign w:val="bottom"/>
            <w:hideMark/>
          </w:tcPr>
          <w:p w:rsidR="00D93231" w:rsidRPr="00C817F3" w:rsidRDefault="00D93231" w:rsidP="00D93231">
            <w:pPr>
              <w:rPr>
                <w:rFonts w:ascii="Arial" w:hAnsi="Arial" w:cs="Arial"/>
                <w:color w:val="000000"/>
                <w:sz w:val="18"/>
                <w:szCs w:val="18"/>
                <w:lang w:eastAsia="es-MX"/>
              </w:rPr>
            </w:pPr>
          </w:p>
        </w:tc>
        <w:tc>
          <w:tcPr>
            <w:tcW w:w="1963" w:type="dxa"/>
            <w:tcBorders>
              <w:top w:val="nil"/>
              <w:left w:val="nil"/>
              <w:bottom w:val="nil"/>
              <w:right w:val="nil"/>
            </w:tcBorders>
            <w:shd w:val="clear" w:color="auto" w:fill="auto"/>
            <w:noWrap/>
            <w:vAlign w:val="center"/>
            <w:hideMark/>
          </w:tcPr>
          <w:p w:rsidR="00D93231" w:rsidRPr="00C817F3" w:rsidRDefault="00D93231" w:rsidP="00D93231">
            <w:pPr>
              <w:jc w:val="center"/>
              <w:rPr>
                <w:rFonts w:ascii="Arial" w:hAnsi="Arial" w:cs="Arial"/>
                <w:b/>
                <w:bCs/>
                <w:color w:val="000000"/>
                <w:sz w:val="18"/>
                <w:szCs w:val="18"/>
                <w:lang w:eastAsia="es-MX"/>
              </w:rPr>
            </w:pPr>
            <w:r w:rsidRPr="00C817F3">
              <w:rPr>
                <w:rFonts w:ascii="Arial" w:hAnsi="Arial" w:cs="Arial"/>
                <w:b/>
                <w:bCs/>
                <w:color w:val="000000"/>
                <w:sz w:val="18"/>
                <w:szCs w:val="18"/>
                <w:lang w:eastAsia="es-MX"/>
              </w:rPr>
              <w:t>Pesos</w:t>
            </w:r>
          </w:p>
        </w:tc>
      </w:tr>
      <w:tr w:rsidR="00D93231" w:rsidRPr="00D93231" w:rsidTr="00DC475F">
        <w:trPr>
          <w:trHeight w:val="30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Congreso del Estado </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605,000,000.00</w:t>
            </w:r>
          </w:p>
        </w:tc>
      </w:tr>
      <w:tr w:rsidR="00D93231" w:rsidRPr="00D93231" w:rsidTr="00DC475F">
        <w:trPr>
          <w:trHeight w:val="18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p>
        </w:tc>
        <w:tc>
          <w:tcPr>
            <w:tcW w:w="196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DC475F">
        <w:trPr>
          <w:trHeight w:val="300"/>
          <w:jc w:val="center"/>
        </w:trPr>
        <w:tc>
          <w:tcPr>
            <w:tcW w:w="4761" w:type="dxa"/>
            <w:tcBorders>
              <w:top w:val="nil"/>
              <w:left w:val="nil"/>
              <w:bottom w:val="nil"/>
              <w:right w:val="nil"/>
            </w:tcBorders>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Auditoría Superior del Estado de Oaxaca </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71,300,000.00</w:t>
            </w:r>
          </w:p>
        </w:tc>
      </w:tr>
      <w:tr w:rsidR="00D93231" w:rsidRPr="00D93231" w:rsidTr="00DC475F">
        <w:trPr>
          <w:trHeight w:val="195"/>
          <w:jc w:val="center"/>
        </w:trPr>
        <w:tc>
          <w:tcPr>
            <w:tcW w:w="4761"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p>
        </w:tc>
        <w:tc>
          <w:tcPr>
            <w:tcW w:w="196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DC475F">
        <w:trPr>
          <w:trHeight w:val="300"/>
          <w:jc w:val="center"/>
        </w:trPr>
        <w:tc>
          <w:tcPr>
            <w:tcW w:w="4761"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96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676,300,000.00</w:t>
            </w:r>
          </w:p>
        </w:tc>
      </w:tr>
    </w:tbl>
    <w:p w:rsidR="00D93231" w:rsidRPr="000F4558" w:rsidRDefault="00D93231" w:rsidP="00D93231">
      <w:pPr>
        <w:jc w:val="both"/>
        <w:rPr>
          <w:rFonts w:ascii="Arial" w:hAnsi="Arial" w:cs="Arial"/>
          <w:b/>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23.</w:t>
      </w:r>
      <w:r w:rsidRPr="00D93231">
        <w:rPr>
          <w:rFonts w:ascii="Arial" w:hAnsi="Arial" w:cs="Arial"/>
          <w:sz w:val="19"/>
          <w:szCs w:val="19"/>
        </w:rPr>
        <w:t xml:space="preserve"> Al Poder Judicial, se asignan $780</w:t>
      </w:r>
      <w:proofErr w:type="gramStart"/>
      <w:r w:rsidRPr="00D93231">
        <w:rPr>
          <w:rFonts w:ascii="Arial" w:hAnsi="Arial" w:cs="Arial"/>
          <w:sz w:val="19"/>
          <w:szCs w:val="19"/>
        </w:rPr>
        <w:t>,582,277.00</w:t>
      </w:r>
      <w:proofErr w:type="gramEnd"/>
      <w:r w:rsidRPr="00D93231">
        <w:rPr>
          <w:rFonts w:ascii="Arial" w:hAnsi="Arial" w:cs="Arial"/>
          <w:sz w:val="19"/>
          <w:szCs w:val="19"/>
        </w:rPr>
        <w:t xml:space="preserve"> (Setecientos ochenta millones quinientos ochenta y dos mil doscientos setenta y siete pesos 00/100 M.N.), que se distribuye de la siguiente forma:</w:t>
      </w:r>
    </w:p>
    <w:p w:rsidR="00D93231" w:rsidRPr="00D93231" w:rsidRDefault="00D93231" w:rsidP="00D93231">
      <w:pPr>
        <w:jc w:val="both"/>
        <w:rPr>
          <w:rFonts w:ascii="Arial" w:hAnsi="Arial" w:cs="Arial"/>
          <w:sz w:val="19"/>
          <w:szCs w:val="19"/>
        </w:rPr>
      </w:pPr>
    </w:p>
    <w:tbl>
      <w:tblPr>
        <w:tblW w:w="6956" w:type="dxa"/>
        <w:jc w:val="center"/>
        <w:tblInd w:w="2546" w:type="dxa"/>
        <w:tblLayout w:type="fixed"/>
        <w:tblCellMar>
          <w:left w:w="70" w:type="dxa"/>
          <w:right w:w="70" w:type="dxa"/>
        </w:tblCellMar>
        <w:tblLook w:val="04A0" w:firstRow="1" w:lastRow="0" w:firstColumn="1" w:lastColumn="0" w:noHBand="0" w:noVBand="1"/>
      </w:tblPr>
      <w:tblGrid>
        <w:gridCol w:w="5243"/>
        <w:gridCol w:w="1713"/>
      </w:tblGrid>
      <w:tr w:rsidR="00D93231" w:rsidRPr="00D93231" w:rsidTr="00E41CCE">
        <w:trPr>
          <w:trHeight w:val="412"/>
          <w:jc w:val="center"/>
        </w:trPr>
        <w:tc>
          <w:tcPr>
            <w:tcW w:w="524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1713"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Tribunal Superior de Justicia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150,827,558.52</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Presidencia del Tribunal Superior de Justicia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71,841,015.89</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Salas</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75,880,231.37</w:t>
            </w:r>
          </w:p>
        </w:tc>
      </w:tr>
      <w:tr w:rsidR="00D93231" w:rsidRPr="00D93231" w:rsidTr="00E41CCE">
        <w:trPr>
          <w:trHeight w:val="779"/>
          <w:jc w:val="center"/>
        </w:trPr>
        <w:tc>
          <w:tcPr>
            <w:tcW w:w="5243"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Secretaría Ejecutiva del Consejo de Coordinación para la Implementación del Sistema de Justicia Penal Acusatorio </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3,106,311.26</w:t>
            </w:r>
          </w:p>
        </w:tc>
      </w:tr>
      <w:tr w:rsidR="00D93231" w:rsidRPr="00D93231" w:rsidTr="00E41CCE">
        <w:trPr>
          <w:trHeight w:val="260"/>
          <w:jc w:val="center"/>
        </w:trPr>
        <w:tc>
          <w:tcPr>
            <w:tcW w:w="5243" w:type="dxa"/>
            <w:tcBorders>
              <w:top w:val="nil"/>
              <w:left w:val="nil"/>
              <w:bottom w:val="nil"/>
              <w:right w:val="nil"/>
            </w:tcBorders>
            <w:shd w:val="clear" w:color="auto" w:fill="auto"/>
            <w:noWrap/>
            <w:vAlign w:val="center"/>
            <w:hideMark/>
          </w:tcPr>
          <w:p w:rsidR="00D93231" w:rsidRPr="00D93231" w:rsidRDefault="00D93231" w:rsidP="00D93231">
            <w:pPr>
              <w:jc w:val="both"/>
              <w:rPr>
                <w:rFonts w:ascii="Arial" w:hAnsi="Arial" w:cs="Arial"/>
                <w:sz w:val="19"/>
                <w:szCs w:val="19"/>
                <w:lang w:eastAsia="es-MX"/>
              </w:rPr>
            </w:pPr>
          </w:p>
        </w:tc>
        <w:tc>
          <w:tcPr>
            <w:tcW w:w="17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sz w:val="19"/>
                <w:szCs w:val="19"/>
                <w:lang w:eastAsia="es-MX"/>
              </w:rPr>
            </w:pP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Consejo de la Judicatura</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629,754,718.48</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Órganos de Administración Internos</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277,458,963.39</w:t>
            </w:r>
          </w:p>
        </w:tc>
      </w:tr>
      <w:tr w:rsidR="00D93231" w:rsidRPr="00D93231" w:rsidTr="00E41CCE">
        <w:trPr>
          <w:trHeight w:val="397"/>
          <w:jc w:val="center"/>
        </w:trPr>
        <w:tc>
          <w:tcPr>
            <w:tcW w:w="5243"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Juzgados del Sistema Acusatorio </w:t>
            </w:r>
            <w:proofErr w:type="spellStart"/>
            <w:r w:rsidRPr="00D93231">
              <w:rPr>
                <w:rFonts w:ascii="Arial" w:hAnsi="Arial" w:cs="Arial"/>
                <w:color w:val="000000"/>
                <w:sz w:val="19"/>
                <w:szCs w:val="19"/>
                <w:lang w:eastAsia="es-MX"/>
              </w:rPr>
              <w:t>Adversarial</w:t>
            </w:r>
            <w:proofErr w:type="spellEnd"/>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68,367,539.97</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Juzgados del Sistema Tradicional</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219,087,253.52</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de Fiscalización</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14,562,391.50</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de lo Contencioso Administrativo</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29,350,508.43</w:t>
            </w:r>
          </w:p>
        </w:tc>
      </w:tr>
      <w:tr w:rsidR="00D93231" w:rsidRPr="00D93231" w:rsidTr="00E41CCE">
        <w:trPr>
          <w:trHeight w:val="397"/>
          <w:jc w:val="center"/>
        </w:trPr>
        <w:tc>
          <w:tcPr>
            <w:tcW w:w="5243"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Tribunal Estatal Electoral</w:t>
            </w:r>
          </w:p>
        </w:tc>
        <w:tc>
          <w:tcPr>
            <w:tcW w:w="17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20,928,061.67</w:t>
            </w:r>
          </w:p>
        </w:tc>
      </w:tr>
      <w:tr w:rsidR="00D93231" w:rsidRPr="00D93231" w:rsidTr="00E41CCE">
        <w:trPr>
          <w:trHeight w:val="412"/>
          <w:jc w:val="center"/>
        </w:trPr>
        <w:tc>
          <w:tcPr>
            <w:tcW w:w="5243"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17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780,582,277.00</w:t>
            </w:r>
          </w:p>
        </w:tc>
      </w:tr>
    </w:tbl>
    <w:p w:rsidR="00D93231" w:rsidRPr="00D93231" w:rsidRDefault="00D93231" w:rsidP="00D93231">
      <w:pPr>
        <w:jc w:val="both"/>
        <w:rPr>
          <w:rFonts w:ascii="Arial" w:hAnsi="Arial" w:cs="Arial"/>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24.</w:t>
      </w:r>
      <w:r w:rsidRPr="00D93231">
        <w:rPr>
          <w:rFonts w:ascii="Arial" w:hAnsi="Arial" w:cs="Arial"/>
          <w:sz w:val="19"/>
          <w:szCs w:val="19"/>
        </w:rPr>
        <w:t xml:space="preserve"> Los Órganos Autónomos por disposición constitucional y legal, ejercerán un Presupuesto de egresos cuyo monto asciende a $1</w:t>
      </w:r>
      <w:proofErr w:type="gramStart"/>
      <w:r w:rsidRPr="00D93231">
        <w:rPr>
          <w:rFonts w:ascii="Arial" w:hAnsi="Arial" w:cs="Arial"/>
          <w:sz w:val="19"/>
          <w:szCs w:val="19"/>
        </w:rPr>
        <w:t>,468,146,013.94</w:t>
      </w:r>
      <w:proofErr w:type="gramEnd"/>
      <w:r w:rsidRPr="00D93231">
        <w:rPr>
          <w:rFonts w:ascii="Arial" w:hAnsi="Arial" w:cs="Arial"/>
          <w:sz w:val="19"/>
          <w:szCs w:val="19"/>
        </w:rPr>
        <w:t xml:space="preserve"> (Un mil cuatrocientos sesenta y ocho millones ciento cuarenta y seis mil trece pesos 94/100 M.N.), que se distribuye de la siguiente forma:</w:t>
      </w:r>
    </w:p>
    <w:p w:rsidR="00E010D7" w:rsidRPr="00D93231" w:rsidRDefault="00E010D7" w:rsidP="00D93231">
      <w:pPr>
        <w:jc w:val="both"/>
        <w:rPr>
          <w:rFonts w:ascii="Arial" w:hAnsi="Arial" w:cs="Arial"/>
          <w:sz w:val="19"/>
          <w:szCs w:val="19"/>
        </w:rPr>
      </w:pPr>
    </w:p>
    <w:tbl>
      <w:tblPr>
        <w:tblW w:w="6849" w:type="dxa"/>
        <w:jc w:val="center"/>
        <w:tblInd w:w="59" w:type="dxa"/>
        <w:tblCellMar>
          <w:left w:w="70" w:type="dxa"/>
          <w:right w:w="70" w:type="dxa"/>
        </w:tblCellMar>
        <w:tblLook w:val="04A0" w:firstRow="1" w:lastRow="0" w:firstColumn="1" w:lastColumn="0" w:noHBand="0" w:noVBand="1"/>
      </w:tblPr>
      <w:tblGrid>
        <w:gridCol w:w="320"/>
        <w:gridCol w:w="3517"/>
        <w:gridCol w:w="1461"/>
        <w:gridCol w:w="1620"/>
      </w:tblGrid>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1392" w:type="dxa"/>
            <w:tcBorders>
              <w:top w:val="nil"/>
              <w:left w:val="nil"/>
              <w:bottom w:val="nil"/>
              <w:right w:val="nil"/>
            </w:tcBorders>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center"/>
              <w:rPr>
                <w:rFonts w:ascii="Arial" w:hAnsi="Arial" w:cs="Arial"/>
                <w:b/>
                <w:bCs/>
                <w:color w:val="000000"/>
                <w:sz w:val="19"/>
                <w:szCs w:val="19"/>
                <w:lang w:eastAsia="es-MX"/>
              </w:rPr>
            </w:pPr>
            <w:r w:rsidRPr="00A357EC">
              <w:rPr>
                <w:rFonts w:ascii="Arial" w:hAnsi="Arial" w:cs="Arial"/>
                <w:b/>
                <w:bCs/>
                <w:color w:val="000000"/>
                <w:sz w:val="19"/>
                <w:szCs w:val="19"/>
                <w:lang w:eastAsia="es-MX"/>
              </w:rPr>
              <w:t>Pesos</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Defensoría de los Derechos Humanos del Pueblo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40,604,284.00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Instituto Estatal Electoral y de Participación Ciudadana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480,594,748.94</w:t>
            </w: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a)   Presupuesto Ordinario</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55,594,748.94</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b)   Prerrogativas de Ley</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180,000,000.00</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c)   Proceso Electoral</w:t>
            </w:r>
          </w:p>
        </w:tc>
        <w:tc>
          <w:tcPr>
            <w:tcW w:w="1392"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245,000,000.00</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III</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Universidad Autónoma "Benito Juárez"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908,424,590.00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IV</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Comisión Estatal de Arbitraje Médico de Oaxaca</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12,179,401.00</w:t>
            </w:r>
          </w:p>
        </w:tc>
      </w:tr>
      <w:tr w:rsidR="00E41CCE" w:rsidRPr="00A357EC" w:rsidTr="00DC475F">
        <w:trPr>
          <w:trHeight w:val="510"/>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V</w:t>
            </w:r>
          </w:p>
        </w:tc>
        <w:tc>
          <w:tcPr>
            <w:tcW w:w="3517" w:type="dxa"/>
            <w:tcBorders>
              <w:top w:val="nil"/>
              <w:left w:val="nil"/>
              <w:bottom w:val="nil"/>
              <w:right w:val="nil"/>
            </w:tcBorders>
            <w:shd w:val="clear" w:color="auto" w:fill="auto"/>
            <w:vAlign w:val="center"/>
            <w:hideMark/>
          </w:tcPr>
          <w:p w:rsidR="00D93231" w:rsidRPr="00A357EC" w:rsidRDefault="00D93231" w:rsidP="00D93231">
            <w:pPr>
              <w:jc w:val="both"/>
              <w:rPr>
                <w:rFonts w:ascii="Arial" w:hAnsi="Arial" w:cs="Arial"/>
                <w:color w:val="000000"/>
                <w:sz w:val="19"/>
                <w:szCs w:val="19"/>
                <w:lang w:eastAsia="es-MX"/>
              </w:rPr>
            </w:pPr>
            <w:r w:rsidRPr="00A357EC">
              <w:rPr>
                <w:rFonts w:ascii="Arial" w:hAnsi="Arial" w:cs="Arial"/>
                <w:color w:val="000000"/>
                <w:sz w:val="19"/>
                <w:szCs w:val="19"/>
                <w:lang w:eastAsia="es-MX"/>
              </w:rPr>
              <w:t>Instituto de Acceso a la Información Pública y Protección de Datos Personales</w:t>
            </w:r>
          </w:p>
        </w:tc>
        <w:tc>
          <w:tcPr>
            <w:tcW w:w="1392" w:type="dxa"/>
            <w:tcBorders>
              <w:top w:val="nil"/>
              <w:left w:val="nil"/>
              <w:bottom w:val="nil"/>
              <w:right w:val="nil"/>
            </w:tcBorders>
            <w:shd w:val="clear" w:color="auto" w:fill="auto"/>
            <w:hideMark/>
          </w:tcPr>
          <w:p w:rsidR="00D93231" w:rsidRPr="00A357EC"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26,342,990.00</w:t>
            </w:r>
          </w:p>
        </w:tc>
      </w:tr>
      <w:tr w:rsidR="00E41CCE" w:rsidRPr="00A357EC" w:rsidTr="00DC475F">
        <w:trPr>
          <w:trHeight w:val="255"/>
          <w:jc w:val="center"/>
        </w:trPr>
        <w:tc>
          <w:tcPr>
            <w:tcW w:w="320" w:type="dxa"/>
            <w:tcBorders>
              <w:top w:val="nil"/>
              <w:left w:val="nil"/>
              <w:bottom w:val="nil"/>
              <w:right w:val="nil"/>
            </w:tcBorders>
            <w:shd w:val="clear" w:color="auto" w:fill="auto"/>
            <w:noWrap/>
            <w:hideMark/>
          </w:tcPr>
          <w:p w:rsidR="00D93231" w:rsidRPr="00A357EC" w:rsidRDefault="00D93231" w:rsidP="00D93231">
            <w:pPr>
              <w:rPr>
                <w:rFonts w:ascii="Arial" w:hAnsi="Arial" w:cs="Arial"/>
                <w:color w:val="000000"/>
                <w:sz w:val="19"/>
                <w:szCs w:val="19"/>
                <w:lang w:eastAsia="es-MX"/>
              </w:rPr>
            </w:pPr>
          </w:p>
        </w:tc>
        <w:tc>
          <w:tcPr>
            <w:tcW w:w="4909" w:type="dxa"/>
            <w:gridSpan w:val="2"/>
            <w:tcBorders>
              <w:top w:val="nil"/>
              <w:left w:val="nil"/>
              <w:bottom w:val="nil"/>
              <w:right w:val="nil"/>
            </w:tcBorders>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Total General</w:t>
            </w:r>
          </w:p>
        </w:tc>
        <w:tc>
          <w:tcPr>
            <w:tcW w:w="1620" w:type="dxa"/>
            <w:tcBorders>
              <w:top w:val="nil"/>
              <w:left w:val="nil"/>
              <w:bottom w:val="nil"/>
              <w:right w:val="nil"/>
            </w:tcBorders>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1,468,146,013.94</w:t>
            </w:r>
          </w:p>
        </w:tc>
      </w:tr>
    </w:tbl>
    <w:p w:rsidR="00D93231" w:rsidRPr="00D93231" w:rsidRDefault="00D93231" w:rsidP="00D93231">
      <w:pPr>
        <w:jc w:val="both"/>
        <w:rPr>
          <w:rFonts w:ascii="Arial" w:hAnsi="Arial" w:cs="Arial"/>
          <w:sz w:val="19"/>
          <w:szCs w:val="19"/>
        </w:rPr>
      </w:pPr>
    </w:p>
    <w:p w:rsidR="00843B90" w:rsidRPr="00D93231" w:rsidRDefault="00D93231" w:rsidP="00D93231">
      <w:pPr>
        <w:jc w:val="both"/>
        <w:rPr>
          <w:rFonts w:ascii="Arial" w:hAnsi="Arial" w:cs="Arial"/>
          <w:sz w:val="19"/>
          <w:szCs w:val="19"/>
        </w:rPr>
      </w:pPr>
      <w:r w:rsidRPr="00D93231">
        <w:rPr>
          <w:rFonts w:ascii="Arial" w:hAnsi="Arial" w:cs="Arial"/>
          <w:b/>
          <w:sz w:val="19"/>
          <w:szCs w:val="19"/>
        </w:rPr>
        <w:t>Artículo 25.</w:t>
      </w:r>
      <w:r w:rsidRPr="00D93231">
        <w:rPr>
          <w:rFonts w:ascii="Arial" w:hAnsi="Arial" w:cs="Arial"/>
          <w:sz w:val="19"/>
          <w:szCs w:val="19"/>
        </w:rPr>
        <w:t xml:space="preserve"> El Poder Ejecutivo ejercerá un Presupuesto de egresos de $57</w:t>
      </w:r>
      <w:proofErr w:type="gramStart"/>
      <w:r w:rsidRPr="00D93231">
        <w:rPr>
          <w:rFonts w:ascii="Arial" w:hAnsi="Arial" w:cs="Arial"/>
          <w:sz w:val="19"/>
          <w:szCs w:val="19"/>
        </w:rPr>
        <w:t>,570,020,988.06</w:t>
      </w:r>
      <w:proofErr w:type="gramEnd"/>
      <w:r w:rsidRPr="00D93231">
        <w:rPr>
          <w:rFonts w:ascii="Arial" w:hAnsi="Arial" w:cs="Arial"/>
          <w:sz w:val="19"/>
          <w:szCs w:val="19"/>
        </w:rPr>
        <w:t xml:space="preserve"> (Cincuenta y siete mil quinientos setenta millones veinte mil novecientos ochenta y ocho pesos 06/100 M.N.), que incluye las transferencias por participaciones y aportaciones destinados a municipios, distribuidos de la siguiente forma:</w:t>
      </w:r>
    </w:p>
    <w:tbl>
      <w:tblPr>
        <w:tblW w:w="6926" w:type="dxa"/>
        <w:jc w:val="center"/>
        <w:tblInd w:w="336" w:type="dxa"/>
        <w:tblCellMar>
          <w:left w:w="70" w:type="dxa"/>
          <w:right w:w="70" w:type="dxa"/>
        </w:tblCellMar>
        <w:tblLook w:val="04A0" w:firstRow="1" w:lastRow="0" w:firstColumn="1" w:lastColumn="0" w:noHBand="0" w:noVBand="1"/>
      </w:tblPr>
      <w:tblGrid>
        <w:gridCol w:w="3494"/>
        <w:gridCol w:w="1725"/>
        <w:gridCol w:w="1725"/>
      </w:tblGrid>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707"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center"/>
              <w:rPr>
                <w:rFonts w:ascii="Arial" w:hAnsi="Arial" w:cs="Arial"/>
                <w:b/>
                <w:bCs/>
                <w:color w:val="000000"/>
                <w:sz w:val="19"/>
                <w:szCs w:val="19"/>
                <w:lang w:eastAsia="es-MX"/>
              </w:rPr>
            </w:pPr>
            <w:r w:rsidRPr="00A357EC">
              <w:rPr>
                <w:rFonts w:ascii="Arial" w:hAnsi="Arial" w:cs="Arial"/>
                <w:b/>
                <w:bCs/>
                <w:color w:val="000000"/>
                <w:sz w:val="19"/>
                <w:szCs w:val="19"/>
                <w:lang w:eastAsia="es-MX"/>
              </w:rPr>
              <w:t>Pesos</w:t>
            </w:r>
          </w:p>
        </w:tc>
      </w:tr>
      <w:tr w:rsidR="00D93231" w:rsidRPr="00A357EC" w:rsidTr="00DC475F">
        <w:trPr>
          <w:trHeight w:val="510"/>
          <w:jc w:val="center"/>
        </w:trPr>
        <w:tc>
          <w:tcPr>
            <w:tcW w:w="3494" w:type="dxa"/>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Administración Pública Centralizada</w:t>
            </w:r>
          </w:p>
        </w:tc>
        <w:tc>
          <w:tcPr>
            <w:tcW w:w="1707" w:type="dxa"/>
            <w:shd w:val="clear" w:color="auto" w:fill="auto"/>
            <w:vAlign w:val="center"/>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27,520,180,258.32</w:t>
            </w:r>
          </w:p>
        </w:tc>
      </w:tr>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Sector Central</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15,714,728,665.32</w:t>
            </w:r>
          </w:p>
        </w:tc>
        <w:tc>
          <w:tcPr>
            <w:tcW w:w="1725"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3494"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Municipios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11,805,451,593.00</w:t>
            </w:r>
          </w:p>
        </w:tc>
        <w:tc>
          <w:tcPr>
            <w:tcW w:w="1725" w:type="dxa"/>
            <w:shd w:val="clear" w:color="auto" w:fill="auto"/>
            <w:noWrap/>
            <w:vAlign w:val="bottom"/>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 xml:space="preserve">Administración Pública Paraestatal </w:t>
            </w:r>
          </w:p>
        </w:tc>
        <w:tc>
          <w:tcPr>
            <w:tcW w:w="1707" w:type="dxa"/>
            <w:shd w:val="clear" w:color="auto" w:fill="auto"/>
            <w:vAlign w:val="center"/>
            <w:hideMark/>
          </w:tcPr>
          <w:p w:rsidR="00D93231" w:rsidRPr="00A357EC" w:rsidRDefault="00D93231" w:rsidP="00D93231">
            <w:pPr>
              <w:rPr>
                <w:rFonts w:ascii="Arial" w:hAnsi="Arial" w:cs="Arial"/>
                <w:color w:val="000000"/>
                <w:sz w:val="19"/>
                <w:szCs w:val="19"/>
                <w:lang w:eastAsia="es-MX"/>
              </w:rPr>
            </w:pP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30,049,840,729.74</w:t>
            </w: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Organismos Públicos Descentralizados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29,982,187,694.80</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tc>
      </w:tr>
      <w:tr w:rsidR="00D93231" w:rsidRPr="00A357EC" w:rsidTr="00DC475F">
        <w:trPr>
          <w:trHeight w:val="300"/>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Fideicomisos Públicos</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14,624,026.00</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tc>
      </w:tr>
      <w:tr w:rsidR="00D93231" w:rsidRPr="00A357EC" w:rsidTr="00DC475F">
        <w:trPr>
          <w:trHeight w:val="137"/>
          <w:jc w:val="center"/>
        </w:trPr>
        <w:tc>
          <w:tcPr>
            <w:tcW w:w="3494" w:type="dxa"/>
            <w:shd w:val="clear" w:color="auto" w:fill="auto"/>
            <w:vAlign w:val="center"/>
            <w:hideMark/>
          </w:tcPr>
          <w:p w:rsidR="00D93231" w:rsidRPr="00A357EC" w:rsidRDefault="00D93231" w:rsidP="00D93231">
            <w:pPr>
              <w:rPr>
                <w:rFonts w:ascii="Arial" w:hAnsi="Arial" w:cs="Arial"/>
                <w:color w:val="000000"/>
                <w:sz w:val="19"/>
                <w:szCs w:val="19"/>
                <w:lang w:eastAsia="es-MX"/>
              </w:rPr>
            </w:pPr>
            <w:r w:rsidRPr="00A357EC">
              <w:rPr>
                <w:rFonts w:ascii="Arial" w:hAnsi="Arial" w:cs="Arial"/>
                <w:color w:val="000000"/>
                <w:sz w:val="19"/>
                <w:szCs w:val="19"/>
                <w:lang w:eastAsia="es-MX"/>
              </w:rPr>
              <w:t xml:space="preserve">Instituciones Públicas de Seguridad Social </w:t>
            </w:r>
          </w:p>
        </w:tc>
        <w:tc>
          <w:tcPr>
            <w:tcW w:w="1707" w:type="dxa"/>
            <w:shd w:val="clear" w:color="auto" w:fill="auto"/>
            <w:noWrap/>
            <w:vAlign w:val="center"/>
            <w:hideMark/>
          </w:tcPr>
          <w:p w:rsidR="00D93231" w:rsidRPr="00A357EC" w:rsidRDefault="00D93231" w:rsidP="00D93231">
            <w:pPr>
              <w:jc w:val="right"/>
              <w:rPr>
                <w:rFonts w:ascii="Arial" w:hAnsi="Arial" w:cs="Arial"/>
                <w:color w:val="000000"/>
                <w:sz w:val="19"/>
                <w:szCs w:val="19"/>
                <w:lang w:eastAsia="es-MX"/>
              </w:rPr>
            </w:pPr>
            <w:r w:rsidRPr="00A357EC">
              <w:rPr>
                <w:rFonts w:ascii="Arial" w:hAnsi="Arial" w:cs="Arial"/>
                <w:color w:val="000000"/>
                <w:sz w:val="19"/>
                <w:szCs w:val="19"/>
                <w:lang w:eastAsia="es-MX"/>
              </w:rPr>
              <w:t>53,029,008.94</w:t>
            </w:r>
          </w:p>
        </w:tc>
        <w:tc>
          <w:tcPr>
            <w:tcW w:w="1725" w:type="dxa"/>
            <w:shd w:val="clear" w:color="auto" w:fill="auto"/>
            <w:noWrap/>
            <w:vAlign w:val="center"/>
            <w:hideMark/>
          </w:tcPr>
          <w:p w:rsidR="00D93231" w:rsidRPr="00A357EC" w:rsidRDefault="00D93231" w:rsidP="00D93231">
            <w:pPr>
              <w:rPr>
                <w:rFonts w:ascii="Arial" w:hAnsi="Arial" w:cs="Arial"/>
                <w:color w:val="000000"/>
                <w:sz w:val="19"/>
                <w:szCs w:val="19"/>
                <w:lang w:eastAsia="es-MX"/>
              </w:rPr>
            </w:pPr>
          </w:p>
        </w:tc>
      </w:tr>
      <w:tr w:rsidR="00D93231" w:rsidRPr="00A357EC" w:rsidTr="00DC475F">
        <w:trPr>
          <w:trHeight w:val="300"/>
          <w:jc w:val="center"/>
        </w:trPr>
        <w:tc>
          <w:tcPr>
            <w:tcW w:w="5201" w:type="dxa"/>
            <w:gridSpan w:val="2"/>
            <w:shd w:val="clear" w:color="auto" w:fill="auto"/>
            <w:noWrap/>
            <w:vAlign w:val="bottom"/>
            <w:hideMark/>
          </w:tcPr>
          <w:p w:rsidR="00D93231" w:rsidRPr="00A357EC" w:rsidRDefault="00D93231" w:rsidP="00D93231">
            <w:pPr>
              <w:rPr>
                <w:rFonts w:ascii="Arial" w:hAnsi="Arial" w:cs="Arial"/>
                <w:b/>
                <w:bCs/>
                <w:color w:val="000000"/>
                <w:sz w:val="19"/>
                <w:szCs w:val="19"/>
                <w:lang w:eastAsia="es-MX"/>
              </w:rPr>
            </w:pPr>
            <w:r w:rsidRPr="00A357EC">
              <w:rPr>
                <w:rFonts w:ascii="Arial" w:hAnsi="Arial" w:cs="Arial"/>
                <w:b/>
                <w:bCs/>
                <w:color w:val="000000"/>
                <w:sz w:val="19"/>
                <w:szCs w:val="19"/>
                <w:lang w:eastAsia="es-MX"/>
              </w:rPr>
              <w:t>Total General</w:t>
            </w:r>
          </w:p>
        </w:tc>
        <w:tc>
          <w:tcPr>
            <w:tcW w:w="1725" w:type="dxa"/>
            <w:shd w:val="clear" w:color="auto" w:fill="auto"/>
            <w:noWrap/>
            <w:vAlign w:val="center"/>
            <w:hideMark/>
          </w:tcPr>
          <w:p w:rsidR="00D93231" w:rsidRPr="00A357EC" w:rsidRDefault="00D93231" w:rsidP="00D93231">
            <w:pPr>
              <w:jc w:val="right"/>
              <w:rPr>
                <w:rFonts w:ascii="Arial" w:hAnsi="Arial" w:cs="Arial"/>
                <w:b/>
                <w:bCs/>
                <w:color w:val="000000"/>
                <w:sz w:val="19"/>
                <w:szCs w:val="19"/>
                <w:lang w:eastAsia="es-MX"/>
              </w:rPr>
            </w:pPr>
          </w:p>
          <w:p w:rsidR="00D93231" w:rsidRPr="00A357EC" w:rsidRDefault="00D93231" w:rsidP="00D93231">
            <w:pPr>
              <w:jc w:val="right"/>
              <w:rPr>
                <w:rFonts w:ascii="Arial" w:hAnsi="Arial" w:cs="Arial"/>
                <w:b/>
                <w:bCs/>
                <w:color w:val="000000"/>
                <w:sz w:val="19"/>
                <w:szCs w:val="19"/>
                <w:lang w:eastAsia="es-MX"/>
              </w:rPr>
            </w:pPr>
            <w:r w:rsidRPr="00A357EC">
              <w:rPr>
                <w:rFonts w:ascii="Arial" w:hAnsi="Arial" w:cs="Arial"/>
                <w:b/>
                <w:bCs/>
                <w:color w:val="000000"/>
                <w:sz w:val="19"/>
                <w:szCs w:val="19"/>
                <w:lang w:eastAsia="es-MX"/>
              </w:rPr>
              <w:t>57,570,020,988.06</w:t>
            </w:r>
          </w:p>
        </w:tc>
      </w:tr>
    </w:tbl>
    <w:p w:rsidR="00E41CCE" w:rsidRDefault="00E41CCE"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26.</w:t>
      </w:r>
      <w:r w:rsidRPr="00D93231">
        <w:rPr>
          <w:rFonts w:ascii="Arial" w:hAnsi="Arial" w:cs="Arial"/>
          <w:sz w:val="19"/>
          <w:szCs w:val="19"/>
        </w:rPr>
        <w:t xml:space="preserve"> Los Municipios ejercerán un Presupuesto de egresos que asciende a: $11,805,451,593.00 (Once mil ochocientos cinco millones cuatrocientos cincuenta y un mil quinientos noventa y tres pesos 00/100 M.N.), distribuidos de la siguiente forma:</w:t>
      </w:r>
    </w:p>
    <w:p w:rsidR="00E41CCE" w:rsidRPr="00D93231" w:rsidRDefault="00E41CCE" w:rsidP="00D93231">
      <w:pPr>
        <w:jc w:val="both"/>
        <w:rPr>
          <w:rFonts w:ascii="Arial" w:hAnsi="Arial" w:cs="Arial"/>
          <w:sz w:val="19"/>
          <w:szCs w:val="19"/>
        </w:rPr>
      </w:pPr>
    </w:p>
    <w:tbl>
      <w:tblPr>
        <w:tblW w:w="6699" w:type="dxa"/>
        <w:jc w:val="center"/>
        <w:tblInd w:w="795" w:type="dxa"/>
        <w:tblLayout w:type="fixed"/>
        <w:tblCellMar>
          <w:left w:w="70" w:type="dxa"/>
          <w:right w:w="70" w:type="dxa"/>
        </w:tblCellMar>
        <w:tblLook w:val="04A0" w:firstRow="1" w:lastRow="0" w:firstColumn="1" w:lastColumn="0" w:noHBand="0" w:noVBand="1"/>
      </w:tblPr>
      <w:tblGrid>
        <w:gridCol w:w="4876"/>
        <w:gridCol w:w="1823"/>
      </w:tblGrid>
      <w:tr w:rsidR="00D93231" w:rsidRPr="00EE6297" w:rsidTr="00DC475F">
        <w:trPr>
          <w:trHeight w:val="302"/>
          <w:jc w:val="center"/>
        </w:trPr>
        <w:tc>
          <w:tcPr>
            <w:tcW w:w="4876" w:type="dxa"/>
            <w:shd w:val="clear" w:color="auto" w:fill="auto"/>
            <w:noWrap/>
            <w:hideMark/>
          </w:tcPr>
          <w:p w:rsidR="00D93231" w:rsidRPr="00EE6297" w:rsidRDefault="00D93231" w:rsidP="00D93231">
            <w:pPr>
              <w:rPr>
                <w:rFonts w:ascii="Arial" w:hAnsi="Arial" w:cs="Arial"/>
                <w:sz w:val="19"/>
                <w:szCs w:val="19"/>
                <w:lang w:eastAsia="es-MX"/>
              </w:rPr>
            </w:pPr>
          </w:p>
        </w:tc>
        <w:tc>
          <w:tcPr>
            <w:tcW w:w="1823" w:type="dxa"/>
            <w:shd w:val="clear" w:color="auto" w:fill="auto"/>
            <w:noWrap/>
            <w:vAlign w:val="center"/>
            <w:hideMark/>
          </w:tcPr>
          <w:p w:rsidR="00D93231" w:rsidRPr="00EE6297" w:rsidRDefault="00D93231" w:rsidP="00D93231">
            <w:pPr>
              <w:jc w:val="center"/>
              <w:rPr>
                <w:rFonts w:ascii="Arial" w:hAnsi="Arial" w:cs="Arial"/>
                <w:b/>
                <w:bCs/>
                <w:sz w:val="19"/>
                <w:szCs w:val="19"/>
                <w:lang w:eastAsia="es-MX"/>
              </w:rPr>
            </w:pPr>
            <w:r w:rsidRPr="00EE6297">
              <w:rPr>
                <w:rFonts w:ascii="Arial" w:hAnsi="Arial" w:cs="Arial"/>
                <w:b/>
                <w:bCs/>
                <w:sz w:val="19"/>
                <w:szCs w:val="19"/>
                <w:lang w:eastAsia="es-MX"/>
              </w:rPr>
              <w:t>Pesos</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Municipal de Participaciones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2,989,904,763.00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Fomento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1,208,519,422.00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lastRenderedPageBreak/>
              <w:t xml:space="preserve">Fondo de Compensación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106,435,154.00</w:t>
            </w:r>
          </w:p>
        </w:tc>
      </w:tr>
      <w:tr w:rsidR="00D93231" w:rsidRPr="00EE6297" w:rsidTr="00DC475F">
        <w:trPr>
          <w:trHeight w:val="574"/>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Municipal sobre Impuesto a la Venta de Gasolina y Diesel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79,687,576.00</w:t>
            </w:r>
          </w:p>
        </w:tc>
      </w:tr>
      <w:tr w:rsidR="00D93231" w:rsidRPr="00EE6297" w:rsidTr="00DC475F">
        <w:trPr>
          <w:trHeight w:val="559"/>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Aportaciones para la Infraestructura Social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5,289,104,620.00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Fondo de Aportaciones para el Fortalecimiento Municipal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2,045,535,874.00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sz w:val="19"/>
                <w:szCs w:val="19"/>
                <w:lang w:eastAsia="es-MX"/>
              </w:rPr>
            </w:pPr>
            <w:r w:rsidRPr="00EE6297">
              <w:rPr>
                <w:rFonts w:ascii="Arial" w:hAnsi="Arial" w:cs="Arial"/>
                <w:sz w:val="19"/>
                <w:szCs w:val="19"/>
                <w:lang w:eastAsia="es-MX"/>
              </w:rPr>
              <w:t xml:space="preserve">Subsidio para la Seguridad en los Municipios </w:t>
            </w:r>
          </w:p>
        </w:tc>
        <w:tc>
          <w:tcPr>
            <w:tcW w:w="1823" w:type="dxa"/>
            <w:shd w:val="clear" w:color="auto" w:fill="auto"/>
            <w:noWrap/>
            <w:hideMark/>
          </w:tcPr>
          <w:p w:rsidR="00D93231" w:rsidRPr="00EE6297" w:rsidRDefault="00D93231" w:rsidP="00D93231">
            <w:pPr>
              <w:jc w:val="right"/>
              <w:rPr>
                <w:rFonts w:ascii="Arial" w:hAnsi="Arial" w:cs="Arial"/>
                <w:sz w:val="19"/>
                <w:szCs w:val="19"/>
                <w:lang w:eastAsia="es-MX"/>
              </w:rPr>
            </w:pPr>
            <w:r w:rsidRPr="00EE6297">
              <w:rPr>
                <w:rFonts w:ascii="Arial" w:hAnsi="Arial" w:cs="Arial"/>
                <w:sz w:val="19"/>
                <w:szCs w:val="19"/>
                <w:lang w:eastAsia="es-MX"/>
              </w:rPr>
              <w:t>86,264,184.00</w:t>
            </w:r>
          </w:p>
        </w:tc>
      </w:tr>
      <w:tr w:rsidR="00D93231" w:rsidRPr="00EE6297" w:rsidTr="00DC475F">
        <w:trPr>
          <w:trHeight w:val="423"/>
          <w:jc w:val="center"/>
        </w:trPr>
        <w:tc>
          <w:tcPr>
            <w:tcW w:w="4876" w:type="dxa"/>
            <w:shd w:val="clear" w:color="auto" w:fill="auto"/>
            <w:hideMark/>
          </w:tcPr>
          <w:p w:rsidR="00D93231" w:rsidRPr="00EE6297" w:rsidRDefault="00D93231" w:rsidP="00D93231">
            <w:pPr>
              <w:rPr>
                <w:rFonts w:ascii="Arial" w:hAnsi="Arial" w:cs="Arial"/>
                <w:b/>
                <w:bCs/>
                <w:sz w:val="19"/>
                <w:szCs w:val="19"/>
                <w:lang w:eastAsia="es-MX"/>
              </w:rPr>
            </w:pPr>
            <w:r w:rsidRPr="00EE6297">
              <w:rPr>
                <w:rFonts w:ascii="Arial" w:hAnsi="Arial" w:cs="Arial"/>
                <w:b/>
                <w:bCs/>
                <w:sz w:val="19"/>
                <w:szCs w:val="19"/>
                <w:lang w:eastAsia="es-MX"/>
              </w:rPr>
              <w:t>Total General</w:t>
            </w:r>
          </w:p>
        </w:tc>
        <w:tc>
          <w:tcPr>
            <w:tcW w:w="1823" w:type="dxa"/>
            <w:shd w:val="clear" w:color="auto" w:fill="auto"/>
            <w:noWrap/>
            <w:hideMark/>
          </w:tcPr>
          <w:p w:rsidR="00D93231" w:rsidRPr="00EE6297" w:rsidRDefault="00D93231" w:rsidP="00D93231">
            <w:pPr>
              <w:jc w:val="right"/>
              <w:rPr>
                <w:rFonts w:ascii="Arial" w:hAnsi="Arial" w:cs="Arial"/>
                <w:b/>
                <w:bCs/>
                <w:sz w:val="19"/>
                <w:szCs w:val="19"/>
                <w:lang w:eastAsia="es-MX"/>
              </w:rPr>
            </w:pPr>
            <w:r w:rsidRPr="00EE6297">
              <w:rPr>
                <w:rFonts w:ascii="Arial" w:hAnsi="Arial" w:cs="Arial"/>
                <w:b/>
                <w:bCs/>
                <w:sz w:val="19"/>
                <w:szCs w:val="19"/>
                <w:lang w:eastAsia="es-MX"/>
              </w:rPr>
              <w:t>11,805,451,593.00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Los montos de participaciones se distribuyen a los 570 Municipios de conformidad con el Decreto de Bases, Factores de Distribución, Montos Estimados y Plazos para el Pago de Participaciones Federales, aprobados por el Congreso.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La distribución de los Fondos: Municipal de Participaciones, de Fomento Municipal, de Compensación, sobre Impuesto a la Venta de Gasolina y Diesel, de Aportaciones para la Infraestructura Social Municipal, de Aportaciones para el Fortalecimiento Municipal y de Seguridad en los </w:t>
      </w:r>
      <w:proofErr w:type="spellStart"/>
      <w:r w:rsidRPr="00D93231">
        <w:rPr>
          <w:rFonts w:ascii="Arial" w:hAnsi="Arial" w:cs="Arial"/>
          <w:sz w:val="19"/>
          <w:szCs w:val="19"/>
        </w:rPr>
        <w:t>Muncipios</w:t>
      </w:r>
      <w:proofErr w:type="spellEnd"/>
      <w:r w:rsidRPr="00D93231">
        <w:rPr>
          <w:rFonts w:ascii="Arial" w:hAnsi="Arial" w:cs="Arial"/>
          <w:sz w:val="19"/>
          <w:szCs w:val="19"/>
        </w:rPr>
        <w:t xml:space="preserve"> que corresponden a los 570 Municipios, se detallan en el </w:t>
      </w:r>
      <w:r w:rsidRPr="00D93231">
        <w:rPr>
          <w:rFonts w:ascii="Arial" w:hAnsi="Arial" w:cs="Arial"/>
          <w:b/>
          <w:sz w:val="19"/>
          <w:szCs w:val="19"/>
        </w:rPr>
        <w:t>Anexo 1.</w:t>
      </w:r>
      <w:r w:rsidRPr="00D93231">
        <w:rPr>
          <w:rFonts w:ascii="Arial" w:hAnsi="Arial" w:cs="Arial"/>
          <w:sz w:val="19"/>
          <w:szCs w:val="19"/>
        </w:rPr>
        <w:t xml:space="preserve"> Esta distribución estará sujeta a las modificaciones que correspondan por la aplicación de los factores que para tal efecto determine la autoridad.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27.</w:t>
      </w:r>
      <w:r w:rsidRPr="00D93231">
        <w:rPr>
          <w:rFonts w:ascii="Arial" w:hAnsi="Arial" w:cs="Arial"/>
          <w:sz w:val="19"/>
          <w:szCs w:val="19"/>
        </w:rPr>
        <w:t xml:space="preserve"> El Presupuesto asignado para el funcionamiento de las Unidades ejecutoras que atienden conflictos laborales, se desglosa de la siguiente forma:</w:t>
      </w:r>
    </w:p>
    <w:p w:rsidR="00D93231" w:rsidRPr="00D93231" w:rsidRDefault="00D93231" w:rsidP="00D93231">
      <w:pPr>
        <w:jc w:val="both"/>
        <w:rPr>
          <w:rFonts w:ascii="Arial" w:hAnsi="Arial" w:cs="Arial"/>
          <w:sz w:val="19"/>
          <w:szCs w:val="19"/>
        </w:rPr>
      </w:pPr>
    </w:p>
    <w:tbl>
      <w:tblPr>
        <w:tblW w:w="6785" w:type="dxa"/>
        <w:jc w:val="center"/>
        <w:tblInd w:w="-643" w:type="dxa"/>
        <w:tblCellMar>
          <w:left w:w="70" w:type="dxa"/>
          <w:right w:w="70" w:type="dxa"/>
        </w:tblCellMar>
        <w:tblLook w:val="04A0" w:firstRow="1" w:lastRow="0" w:firstColumn="1" w:lastColumn="0" w:noHBand="0" w:noVBand="1"/>
      </w:tblPr>
      <w:tblGrid>
        <w:gridCol w:w="5465"/>
        <w:gridCol w:w="1320"/>
      </w:tblGrid>
      <w:tr w:rsidR="00D93231" w:rsidRPr="00D93231" w:rsidTr="00E41CCE">
        <w:trPr>
          <w:trHeight w:val="300"/>
          <w:jc w:val="center"/>
        </w:trPr>
        <w:tc>
          <w:tcPr>
            <w:tcW w:w="5465"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41CCE">
        <w:trPr>
          <w:trHeight w:val="510"/>
          <w:jc w:val="center"/>
        </w:trPr>
        <w:tc>
          <w:tcPr>
            <w:tcW w:w="5465" w:type="dxa"/>
            <w:tcBorders>
              <w:top w:val="nil"/>
              <w:left w:val="nil"/>
              <w:bottom w:val="nil"/>
              <w:right w:val="nil"/>
            </w:tcBorders>
            <w:shd w:val="clear" w:color="auto" w:fill="auto"/>
            <w:vAlign w:val="center"/>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 xml:space="preserve">Junta de Arbitraje para los Empleados al Servicio de los Poderes del Estado </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119,084.08</w:t>
            </w:r>
          </w:p>
        </w:tc>
      </w:tr>
      <w:tr w:rsidR="00D93231" w:rsidRPr="00D93231" w:rsidTr="00E41CCE">
        <w:trPr>
          <w:trHeight w:val="300"/>
          <w:jc w:val="center"/>
        </w:trPr>
        <w:tc>
          <w:tcPr>
            <w:tcW w:w="5465" w:type="dxa"/>
            <w:tcBorders>
              <w:top w:val="nil"/>
              <w:left w:val="nil"/>
              <w:bottom w:val="nil"/>
              <w:right w:val="nil"/>
            </w:tcBorders>
            <w:shd w:val="clear" w:color="auto" w:fill="auto"/>
            <w:vAlign w:val="center"/>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 xml:space="preserve">Junta Local de Conciliación y Arbitraje </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603,037.08</w:t>
            </w:r>
          </w:p>
          <w:p w:rsidR="00D93231" w:rsidRPr="00D93231" w:rsidRDefault="00D93231" w:rsidP="00D93231">
            <w:pPr>
              <w:jc w:val="right"/>
              <w:rPr>
                <w:rFonts w:ascii="Arial" w:hAnsi="Arial" w:cs="Arial"/>
                <w:color w:val="000000"/>
                <w:sz w:val="19"/>
                <w:szCs w:val="19"/>
                <w:lang w:eastAsia="es-MX"/>
              </w:rPr>
            </w:pPr>
          </w:p>
        </w:tc>
      </w:tr>
      <w:tr w:rsidR="00D93231" w:rsidRPr="00D93231" w:rsidTr="00E41CCE">
        <w:trPr>
          <w:trHeight w:val="300"/>
          <w:jc w:val="center"/>
        </w:trPr>
        <w:tc>
          <w:tcPr>
            <w:tcW w:w="5465"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320"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722,121.16</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28.</w:t>
      </w:r>
      <w:r w:rsidRPr="00D93231">
        <w:rPr>
          <w:rFonts w:ascii="Arial" w:hAnsi="Arial" w:cs="Arial"/>
          <w:sz w:val="19"/>
          <w:szCs w:val="19"/>
        </w:rPr>
        <w:t xml:space="preserve"> El Presupuesto de egresos asignado para el pago de obligaciones plurianuales asciende a $30</w:t>
      </w:r>
      <w:proofErr w:type="gramStart"/>
      <w:r w:rsidRPr="00D93231">
        <w:rPr>
          <w:rFonts w:ascii="Arial" w:hAnsi="Arial" w:cs="Arial"/>
          <w:sz w:val="19"/>
          <w:szCs w:val="19"/>
        </w:rPr>
        <w:t>,000,046.56</w:t>
      </w:r>
      <w:proofErr w:type="gramEnd"/>
      <w:r w:rsidRPr="00D93231">
        <w:rPr>
          <w:rFonts w:ascii="Arial" w:hAnsi="Arial" w:cs="Arial"/>
          <w:sz w:val="19"/>
          <w:szCs w:val="19"/>
        </w:rPr>
        <w:t xml:space="preserve"> (Treinta millones cuarenta y seis pesos 56/100 M.N.), según el siguiente desglose:</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t>Programa de emisión de licencias de conducir;</w:t>
      </w: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lastRenderedPageBreak/>
        <w:t xml:space="preserve">Construcción de biblioteca para la Facultad de Derecho y Ciencias Sociales de la UABJO, y </w:t>
      </w:r>
    </w:p>
    <w:p w:rsidR="00D93231" w:rsidRPr="00D93231" w:rsidRDefault="00D93231" w:rsidP="00DC475F">
      <w:pPr>
        <w:pStyle w:val="Prrafodelista"/>
        <w:numPr>
          <w:ilvl w:val="0"/>
          <w:numId w:val="18"/>
        </w:numPr>
        <w:spacing w:after="120" w:line="276" w:lineRule="auto"/>
        <w:ind w:left="714" w:hanging="357"/>
        <w:contextualSpacing w:val="0"/>
        <w:jc w:val="both"/>
        <w:rPr>
          <w:rFonts w:ascii="Arial" w:hAnsi="Arial" w:cs="Arial"/>
          <w:sz w:val="19"/>
          <w:szCs w:val="19"/>
        </w:rPr>
      </w:pPr>
      <w:r w:rsidRPr="00D93231">
        <w:rPr>
          <w:rFonts w:ascii="Arial" w:hAnsi="Arial" w:cs="Arial"/>
          <w:sz w:val="19"/>
          <w:szCs w:val="19"/>
        </w:rPr>
        <w:t xml:space="preserve">Construcción de edificio H para la biblioteca y aulas de la Facultad de Contaduría y Administración de la UABJO. </w:t>
      </w:r>
    </w:p>
    <w:p w:rsidR="00D93231" w:rsidRPr="00DC475F" w:rsidRDefault="00D93231" w:rsidP="00D93231">
      <w:pPr>
        <w:pStyle w:val="Prrafodelista"/>
        <w:jc w:val="both"/>
        <w:rPr>
          <w:rFonts w:ascii="Arial" w:hAnsi="Arial" w:cs="Arial"/>
          <w:sz w:val="14"/>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29.</w:t>
      </w:r>
      <w:r w:rsidRPr="00D93231">
        <w:rPr>
          <w:rFonts w:ascii="Arial" w:hAnsi="Arial" w:cs="Arial"/>
          <w:sz w:val="19"/>
          <w:szCs w:val="19"/>
        </w:rPr>
        <w:t xml:space="preserve"> El Presupuesto de egresos asignado para cubrir el costo financiero de la Deuda Pública se conforma de la siguiente manera:</w:t>
      </w:r>
    </w:p>
    <w:p w:rsidR="00D93231" w:rsidRPr="00D93231" w:rsidRDefault="00D93231" w:rsidP="00D93231">
      <w:pPr>
        <w:jc w:val="both"/>
        <w:rPr>
          <w:rFonts w:ascii="Arial" w:hAnsi="Arial" w:cs="Arial"/>
          <w:sz w:val="19"/>
          <w:szCs w:val="19"/>
        </w:rPr>
      </w:pPr>
    </w:p>
    <w:tbl>
      <w:tblPr>
        <w:tblW w:w="6705" w:type="dxa"/>
        <w:jc w:val="center"/>
        <w:tblInd w:w="3058" w:type="dxa"/>
        <w:tblLayout w:type="fixed"/>
        <w:tblCellMar>
          <w:left w:w="70" w:type="dxa"/>
          <w:right w:w="70" w:type="dxa"/>
        </w:tblCellMar>
        <w:tblLook w:val="04A0" w:firstRow="1" w:lastRow="0" w:firstColumn="1" w:lastColumn="0" w:noHBand="0" w:noVBand="1"/>
      </w:tblPr>
      <w:tblGrid>
        <w:gridCol w:w="4492"/>
        <w:gridCol w:w="2213"/>
      </w:tblGrid>
      <w:tr w:rsidR="00D93231" w:rsidRPr="00D93231" w:rsidTr="00A357EC">
        <w:trPr>
          <w:trHeight w:val="275"/>
          <w:jc w:val="center"/>
        </w:trPr>
        <w:tc>
          <w:tcPr>
            <w:tcW w:w="4492"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sz w:val="19"/>
                <w:szCs w:val="19"/>
                <w:lang w:eastAsia="es-MX"/>
              </w:rPr>
            </w:pPr>
          </w:p>
        </w:tc>
        <w:tc>
          <w:tcPr>
            <w:tcW w:w="2213"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p w:rsidR="00D93231" w:rsidRPr="00D93231" w:rsidRDefault="00D93231" w:rsidP="00D93231">
            <w:pPr>
              <w:jc w:val="right"/>
              <w:rPr>
                <w:rFonts w:ascii="Arial" w:hAnsi="Arial" w:cs="Arial"/>
                <w:b/>
                <w:bCs/>
                <w:sz w:val="19"/>
                <w:szCs w:val="19"/>
                <w:lang w:eastAsia="es-MX"/>
              </w:rPr>
            </w:pP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Amortización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350,033,961.00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Intereses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824,421,850.00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Gastos de la Deuda Pública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18,257,698.00</w:t>
            </w:r>
          </w:p>
        </w:tc>
      </w:tr>
      <w:tr w:rsidR="00D93231" w:rsidRPr="00D93231" w:rsidTr="00A357EC">
        <w:trPr>
          <w:trHeight w:val="486"/>
          <w:jc w:val="center"/>
        </w:trPr>
        <w:tc>
          <w:tcPr>
            <w:tcW w:w="4492"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Costo por Coberturas </w:t>
            </w:r>
          </w:p>
        </w:tc>
        <w:tc>
          <w:tcPr>
            <w:tcW w:w="221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14,241,974.00</w:t>
            </w:r>
          </w:p>
        </w:tc>
      </w:tr>
      <w:tr w:rsidR="00D93231" w:rsidRPr="00D93231" w:rsidTr="00A357EC">
        <w:trPr>
          <w:trHeight w:val="275"/>
          <w:jc w:val="center"/>
        </w:trPr>
        <w:tc>
          <w:tcPr>
            <w:tcW w:w="4492" w:type="dxa"/>
            <w:tcBorders>
              <w:top w:val="nil"/>
              <w:left w:val="nil"/>
              <w:bottom w:val="nil"/>
              <w:right w:val="nil"/>
            </w:tcBorders>
            <w:shd w:val="clear" w:color="auto" w:fill="auto"/>
            <w:noWrap/>
            <w:vAlign w:val="center"/>
            <w:hideMark/>
          </w:tcPr>
          <w:p w:rsidR="00D93231" w:rsidRPr="00D93231" w:rsidRDefault="00D93231" w:rsidP="00E41CCE">
            <w:pPr>
              <w:rPr>
                <w:rFonts w:ascii="Arial" w:hAnsi="Arial" w:cs="Arial"/>
                <w:b/>
                <w:bCs/>
                <w:sz w:val="19"/>
                <w:szCs w:val="19"/>
                <w:lang w:eastAsia="es-MX"/>
              </w:rPr>
            </w:pPr>
            <w:r w:rsidRPr="00D93231">
              <w:rPr>
                <w:rFonts w:ascii="Arial" w:hAnsi="Arial" w:cs="Arial"/>
                <w:b/>
                <w:bCs/>
                <w:sz w:val="19"/>
                <w:szCs w:val="19"/>
                <w:lang w:eastAsia="es-MX"/>
              </w:rPr>
              <w:t>Total General</w:t>
            </w:r>
          </w:p>
        </w:tc>
        <w:tc>
          <w:tcPr>
            <w:tcW w:w="2213"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1,206,955,483.00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30.</w:t>
      </w:r>
      <w:r w:rsidRPr="00D93231">
        <w:rPr>
          <w:rFonts w:ascii="Arial" w:hAnsi="Arial" w:cs="Arial"/>
          <w:sz w:val="19"/>
          <w:szCs w:val="19"/>
        </w:rPr>
        <w:t xml:space="preserve"> El presupuesto asignado para atender las obligaciones de pago asciende a $1,430,894,579.00 (Un mil cuatrocientos treinta millones ochocientos noventa y cuatro mil quinientos setenta y nueve pesos 00/100 M.N.), para la atención de los siguientes compromisos:</w:t>
      </w:r>
    </w:p>
    <w:p w:rsidR="00D93231" w:rsidRPr="00D93231" w:rsidRDefault="00D93231" w:rsidP="00D93231">
      <w:pPr>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 xml:space="preserve">Decreto número 167 de fecha 29 de octubre de 2005, expedido por el Congreso del Estado, por el que se suscribió el Contrato de Prestación de Servicios a Largo Plazo para el Diseño, Creación de Infraestructura, Equipamiento y Mantenimiento de la Ciudad Administrativa “Benemérito de las Américas Don Benito Juárez García” en </w:t>
      </w:r>
      <w:proofErr w:type="spellStart"/>
      <w:r w:rsidRPr="00D93231">
        <w:rPr>
          <w:rFonts w:ascii="Arial" w:hAnsi="Arial" w:cs="Arial"/>
          <w:sz w:val="19"/>
          <w:szCs w:val="19"/>
        </w:rPr>
        <w:t>Tlalixtac</w:t>
      </w:r>
      <w:proofErr w:type="spellEnd"/>
      <w:r w:rsidRPr="00D93231">
        <w:rPr>
          <w:rFonts w:ascii="Arial" w:hAnsi="Arial" w:cs="Arial"/>
          <w:sz w:val="19"/>
          <w:szCs w:val="19"/>
        </w:rPr>
        <w:t xml:space="preserve"> de Cabrera y el Centro Administrativo de los Poderes Ejecutivo y Judicial “Soldado de la Patria, General Porfirio Díaz”, en Reyes Mantecón, San Bartolo Coyotepec; se destinarán $515,106,000.00 (Quinientos quince millones ciento seis mil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 xml:space="preserve">Para cubrir las erogaciones relacionadas con el proceso de bursatilización del Impuesto sobre Nóminas y los Derechos por Servicios de Control Vehicular, establecidas en los Decretos números 521 y 522, expedidos por el Congreso del Estado el 14 de septiembre </w:t>
      </w:r>
      <w:r w:rsidRPr="00D93231">
        <w:rPr>
          <w:rFonts w:ascii="Arial" w:hAnsi="Arial" w:cs="Arial"/>
          <w:sz w:val="19"/>
          <w:szCs w:val="19"/>
        </w:rPr>
        <w:lastRenderedPageBreak/>
        <w:t>de 2007, se destinarán $598,808,800.00 (Quinientos noventa y ocho millones ochocientos ocho mil ochocientos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$174,329,377.00 (Ciento setenta y cuatro millones trescientos veintinueve mil trescientos setenta y siete pesos 00/100 M.N.)</w:t>
      </w:r>
      <w:proofErr w:type="gramStart"/>
      <w:r w:rsidRPr="00D93231">
        <w:rPr>
          <w:rFonts w:ascii="Arial" w:hAnsi="Arial" w:cs="Arial"/>
          <w:sz w:val="19"/>
          <w:szCs w:val="19"/>
        </w:rPr>
        <w:t>.;</w:t>
      </w:r>
      <w:proofErr w:type="gramEnd"/>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$47</w:t>
      </w:r>
      <w:proofErr w:type="gramStart"/>
      <w:r w:rsidRPr="00D93231">
        <w:rPr>
          <w:rFonts w:ascii="Arial" w:hAnsi="Arial" w:cs="Arial"/>
          <w:sz w:val="19"/>
          <w:szCs w:val="19"/>
        </w:rPr>
        <w:t>,069,786.00</w:t>
      </w:r>
      <w:proofErr w:type="gramEnd"/>
      <w:r w:rsidRPr="00D93231">
        <w:rPr>
          <w:rFonts w:ascii="Arial" w:hAnsi="Arial" w:cs="Arial"/>
          <w:sz w:val="19"/>
          <w:szCs w:val="19"/>
        </w:rPr>
        <w:t xml:space="preserve"> (Cuarenta y siete millones sesenta y nueve mil setecientos ochenta y seis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$26</w:t>
      </w:r>
      <w:proofErr w:type="gramStart"/>
      <w:r w:rsidRPr="00D93231">
        <w:rPr>
          <w:rFonts w:ascii="Arial" w:hAnsi="Arial" w:cs="Arial"/>
          <w:sz w:val="19"/>
          <w:szCs w:val="19"/>
        </w:rPr>
        <w:t>,094,958.00</w:t>
      </w:r>
      <w:proofErr w:type="gramEnd"/>
      <w:r w:rsidRPr="00D93231">
        <w:rPr>
          <w:rFonts w:ascii="Arial" w:hAnsi="Arial" w:cs="Arial"/>
          <w:sz w:val="19"/>
          <w:szCs w:val="19"/>
        </w:rPr>
        <w:t xml:space="preserve"> (Veintiséis millones noventa y cuatro mil novecientos cincuenta y ocho pesos 00/100 M.N.);</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 las obligaciones de pago derivadas del Fondo de Reconstrucción de Entidades Federativas, autorizados en los Decretos Número 1360 y 2084, expedidos por el Congreso del Estado, publicados el 30 de noviembre de 2012 y 16 de noviembre de 2013 respectivamente, en el Periódico Oficial del Estado se destinará la cantidad de $24,596,382.00 (Veinticuatro millones quinientos noventa y seis mil trescientos ochenta y dos pesos 00/100 M.N.), y</w:t>
      </w:r>
    </w:p>
    <w:p w:rsidR="00D93231" w:rsidRPr="00D93231" w:rsidRDefault="00D93231" w:rsidP="00D93231">
      <w:pPr>
        <w:pStyle w:val="Prrafodelista"/>
        <w:jc w:val="both"/>
        <w:rPr>
          <w:rFonts w:ascii="Arial" w:hAnsi="Arial" w:cs="Arial"/>
          <w:sz w:val="19"/>
          <w:szCs w:val="19"/>
        </w:rPr>
      </w:pPr>
    </w:p>
    <w:p w:rsidR="00D93231" w:rsidRPr="00D93231" w:rsidRDefault="00D93231" w:rsidP="004321ED">
      <w:pPr>
        <w:pStyle w:val="Prrafodelista"/>
        <w:numPr>
          <w:ilvl w:val="0"/>
          <w:numId w:val="19"/>
        </w:numPr>
        <w:ind w:hanging="720"/>
        <w:jc w:val="both"/>
        <w:rPr>
          <w:rFonts w:ascii="Arial" w:hAnsi="Arial" w:cs="Arial"/>
          <w:sz w:val="19"/>
          <w:szCs w:val="19"/>
        </w:rPr>
      </w:pPr>
      <w:r w:rsidRPr="00D93231">
        <w:rPr>
          <w:rFonts w:ascii="Arial" w:hAnsi="Arial" w:cs="Arial"/>
          <w:sz w:val="19"/>
          <w:szCs w:val="19"/>
        </w:rPr>
        <w:t>Para cubrir los intereses ordinarios derivados de las obligaciones de pago para apoyar la Implementación del Sistema de Justicia Penal en la Entidad, autorizados en el Decreto Número 670, expedidos por el Congreso del Estado, publicados el 27 de diciembre de 2014, en el Periódico Oficial del Estado se destinará la cantidad de $44</w:t>
      </w:r>
      <w:proofErr w:type="gramStart"/>
      <w:r w:rsidRPr="00D93231">
        <w:rPr>
          <w:rFonts w:ascii="Arial" w:hAnsi="Arial" w:cs="Arial"/>
          <w:sz w:val="19"/>
          <w:szCs w:val="19"/>
        </w:rPr>
        <w:t>,889,276.00</w:t>
      </w:r>
      <w:proofErr w:type="gramEnd"/>
      <w:r w:rsidRPr="00D93231">
        <w:rPr>
          <w:rFonts w:ascii="Arial" w:hAnsi="Arial" w:cs="Arial"/>
          <w:sz w:val="19"/>
          <w:szCs w:val="19"/>
        </w:rPr>
        <w:t xml:space="preserve"> (Cuarenta y cuatro millones ochocientos ochenta y nueve mil doscientos setenta y seis pesos 00/100 M.N.).</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lastRenderedPageBreak/>
        <w:t>Artículo 31.</w:t>
      </w:r>
      <w:r w:rsidRPr="00D93231">
        <w:rPr>
          <w:rFonts w:ascii="Arial" w:hAnsi="Arial" w:cs="Arial"/>
          <w:sz w:val="19"/>
          <w:szCs w:val="19"/>
        </w:rPr>
        <w:t xml:space="preserve"> La asignación presupuestal para las previsiones salariales y económicas, destinadas al personal de base del Poder Ejecutivo asciende a $202</w:t>
      </w:r>
      <w:proofErr w:type="gramStart"/>
      <w:r w:rsidRPr="00D93231">
        <w:rPr>
          <w:rFonts w:ascii="Arial" w:hAnsi="Arial" w:cs="Arial"/>
          <w:sz w:val="19"/>
          <w:szCs w:val="19"/>
        </w:rPr>
        <w:t>,000,000.00</w:t>
      </w:r>
      <w:proofErr w:type="gramEnd"/>
      <w:r w:rsidRPr="00D93231">
        <w:rPr>
          <w:rFonts w:ascii="Arial" w:hAnsi="Arial" w:cs="Arial"/>
          <w:sz w:val="19"/>
          <w:szCs w:val="19"/>
        </w:rPr>
        <w:t xml:space="preserve"> (Doscientos dos millones de pesos 00/100 M.N.), previsión que deberá sujetarse a lo establecido en el artículo 61 fracción II de la Ley.</w:t>
      </w: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32.</w:t>
      </w:r>
      <w:r w:rsidRPr="00D93231">
        <w:rPr>
          <w:rFonts w:ascii="Arial" w:hAnsi="Arial" w:cs="Arial"/>
          <w:sz w:val="19"/>
          <w:szCs w:val="19"/>
        </w:rPr>
        <w:t xml:space="preserve"> El Poder Ejecutivo destinará al Fondo de Pensiones del Estado de Oaxaca la cantidad de $244</w:t>
      </w:r>
      <w:proofErr w:type="gramStart"/>
      <w:r w:rsidRPr="00D93231">
        <w:rPr>
          <w:rFonts w:ascii="Arial" w:hAnsi="Arial" w:cs="Arial"/>
          <w:sz w:val="19"/>
          <w:szCs w:val="19"/>
        </w:rPr>
        <w:t>,450,590.40</w:t>
      </w:r>
      <w:proofErr w:type="gramEnd"/>
      <w:r w:rsidRPr="00D93231">
        <w:rPr>
          <w:rFonts w:ascii="Arial" w:hAnsi="Arial" w:cs="Arial"/>
          <w:sz w:val="19"/>
          <w:szCs w:val="19"/>
        </w:rPr>
        <w:t xml:space="preserve"> (Doscientos cuarenta y cuatro millones cuatrocientos cincuenta mil quinientos noventa pesos 40/100 M.N.)</w:t>
      </w:r>
    </w:p>
    <w:p w:rsidR="00D93231" w:rsidRPr="00D93231" w:rsidRDefault="00D93231" w:rsidP="00D93231">
      <w:pPr>
        <w:jc w:val="both"/>
        <w:rPr>
          <w:rFonts w:ascii="Arial" w:hAnsi="Arial" w:cs="Arial"/>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33.</w:t>
      </w:r>
      <w:r w:rsidRPr="00D93231">
        <w:rPr>
          <w:rFonts w:ascii="Arial" w:hAnsi="Arial" w:cs="Arial"/>
          <w:sz w:val="19"/>
          <w:szCs w:val="19"/>
        </w:rPr>
        <w:t xml:space="preserve"> Los recursos destinados a la educación pública, atendiendo a la procedencia de los recursos es la siguiente: </w:t>
      </w:r>
    </w:p>
    <w:p w:rsidR="00A22233" w:rsidRPr="00D93231" w:rsidRDefault="00A22233" w:rsidP="00D93231">
      <w:pPr>
        <w:jc w:val="both"/>
        <w:rPr>
          <w:rFonts w:ascii="Arial" w:hAnsi="Arial" w:cs="Arial"/>
          <w:sz w:val="19"/>
          <w:szCs w:val="19"/>
        </w:rPr>
      </w:pPr>
    </w:p>
    <w:tbl>
      <w:tblPr>
        <w:tblpPr w:leftFromText="141" w:rightFromText="141" w:vertAnchor="text" w:horzAnchor="margin" w:tblpXSpec="center" w:tblpY="133"/>
        <w:tblW w:w="6565" w:type="dxa"/>
        <w:tblLayout w:type="fixed"/>
        <w:tblCellMar>
          <w:left w:w="70" w:type="dxa"/>
          <w:right w:w="70" w:type="dxa"/>
        </w:tblCellMar>
        <w:tblLook w:val="04A0" w:firstRow="1" w:lastRow="0" w:firstColumn="1" w:lastColumn="0" w:noHBand="0" w:noVBand="1"/>
      </w:tblPr>
      <w:tblGrid>
        <w:gridCol w:w="4181"/>
        <w:gridCol w:w="2384"/>
      </w:tblGrid>
      <w:tr w:rsidR="00D93231" w:rsidRPr="00D93231" w:rsidTr="007D3E64">
        <w:trPr>
          <w:trHeight w:val="284"/>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 </w:t>
            </w:r>
          </w:p>
        </w:tc>
      </w:tr>
      <w:tr w:rsidR="00D93231" w:rsidRPr="00D93231" w:rsidTr="007D3E64">
        <w:trPr>
          <w:trHeight w:val="284"/>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r>
      <w:tr w:rsidR="00D93231" w:rsidRPr="00D93231" w:rsidTr="007D3E64">
        <w:trPr>
          <w:trHeight w:val="401"/>
        </w:trPr>
        <w:tc>
          <w:tcPr>
            <w:tcW w:w="4181" w:type="dxa"/>
            <w:tcBorders>
              <w:top w:val="nil"/>
              <w:left w:val="nil"/>
              <w:bottom w:val="nil"/>
              <w:right w:val="nil"/>
            </w:tcBorders>
            <w:shd w:val="clear" w:color="auto" w:fill="auto"/>
            <w:noWrap/>
            <w:hideMark/>
          </w:tcPr>
          <w:p w:rsidR="00D93231" w:rsidRPr="00D93231" w:rsidRDefault="00D93231" w:rsidP="007D3E64">
            <w:pPr>
              <w:ind w:left="98" w:hanging="98"/>
              <w:rPr>
                <w:rFonts w:ascii="Arial" w:hAnsi="Arial" w:cs="Arial"/>
                <w:color w:val="000000"/>
                <w:sz w:val="19"/>
                <w:szCs w:val="19"/>
                <w:lang w:eastAsia="es-MX"/>
              </w:rPr>
            </w:pPr>
            <w:r w:rsidRPr="00D93231">
              <w:rPr>
                <w:rFonts w:ascii="Arial" w:hAnsi="Arial" w:cs="Arial"/>
                <w:color w:val="000000"/>
                <w:sz w:val="19"/>
                <w:szCs w:val="19"/>
                <w:lang w:eastAsia="es-MX"/>
              </w:rPr>
              <w:t>Estatal</w:t>
            </w: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1,644,883,254.51 </w:t>
            </w:r>
          </w:p>
        </w:tc>
      </w:tr>
      <w:tr w:rsidR="00D93231" w:rsidRPr="00D93231" w:rsidTr="007D3E64">
        <w:trPr>
          <w:trHeight w:val="401"/>
        </w:trPr>
        <w:tc>
          <w:tcPr>
            <w:tcW w:w="4181" w:type="dxa"/>
            <w:tcBorders>
              <w:top w:val="nil"/>
              <w:left w:val="nil"/>
              <w:bottom w:val="nil"/>
              <w:right w:val="nil"/>
            </w:tcBorders>
            <w:shd w:val="clear" w:color="auto" w:fill="auto"/>
            <w:noWrap/>
            <w:hideMark/>
          </w:tcPr>
          <w:p w:rsidR="00D93231" w:rsidRPr="00D93231" w:rsidRDefault="00D93231" w:rsidP="007D3E64">
            <w:pPr>
              <w:ind w:left="98" w:hanging="98"/>
              <w:rPr>
                <w:rFonts w:ascii="Arial" w:hAnsi="Arial" w:cs="Arial"/>
                <w:color w:val="000000"/>
                <w:sz w:val="19"/>
                <w:szCs w:val="19"/>
                <w:lang w:eastAsia="es-MX"/>
              </w:rPr>
            </w:pPr>
            <w:r w:rsidRPr="00D93231">
              <w:rPr>
                <w:rFonts w:ascii="Arial" w:hAnsi="Arial" w:cs="Arial"/>
                <w:color w:val="000000"/>
                <w:sz w:val="19"/>
                <w:szCs w:val="19"/>
                <w:lang w:eastAsia="es-MX"/>
              </w:rPr>
              <w:t>Federal</w:t>
            </w:r>
          </w:p>
        </w:tc>
        <w:tc>
          <w:tcPr>
            <w:tcW w:w="2384" w:type="dxa"/>
            <w:tcBorders>
              <w:top w:val="nil"/>
              <w:left w:val="nil"/>
              <w:bottom w:val="nil"/>
              <w:right w:val="nil"/>
            </w:tcBorders>
            <w:shd w:val="clear" w:color="auto" w:fill="auto"/>
            <w:noWrap/>
            <w:hideMark/>
          </w:tcPr>
          <w:p w:rsidR="00D93231" w:rsidRPr="00D93231" w:rsidRDefault="00D93231" w:rsidP="007D3E64">
            <w:pPr>
              <w:ind w:left="98" w:hanging="98"/>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22,634,492,123.73 </w:t>
            </w:r>
          </w:p>
        </w:tc>
      </w:tr>
      <w:tr w:rsidR="00D93231" w:rsidRPr="00D93231" w:rsidTr="007D3E64">
        <w:trPr>
          <w:trHeight w:val="167"/>
        </w:trPr>
        <w:tc>
          <w:tcPr>
            <w:tcW w:w="4181"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c>
          <w:tcPr>
            <w:tcW w:w="2384" w:type="dxa"/>
            <w:tcBorders>
              <w:top w:val="nil"/>
              <w:left w:val="nil"/>
              <w:bottom w:val="nil"/>
              <w:right w:val="nil"/>
            </w:tcBorders>
            <w:shd w:val="clear" w:color="auto" w:fill="auto"/>
            <w:noWrap/>
            <w:vAlign w:val="bottom"/>
            <w:hideMark/>
          </w:tcPr>
          <w:p w:rsidR="00D93231" w:rsidRPr="00D93231" w:rsidRDefault="00D93231" w:rsidP="007D3E64">
            <w:pPr>
              <w:ind w:left="98" w:hanging="98"/>
              <w:rPr>
                <w:rFonts w:ascii="Arial" w:hAnsi="Arial" w:cs="Arial"/>
                <w:color w:val="000000"/>
                <w:sz w:val="19"/>
                <w:szCs w:val="19"/>
                <w:lang w:eastAsia="es-MX"/>
              </w:rPr>
            </w:pPr>
          </w:p>
        </w:tc>
      </w:tr>
      <w:tr w:rsidR="00D93231" w:rsidRPr="00D93231" w:rsidTr="007D3E64">
        <w:trPr>
          <w:trHeight w:val="401"/>
        </w:trPr>
        <w:tc>
          <w:tcPr>
            <w:tcW w:w="4181" w:type="dxa"/>
            <w:tcBorders>
              <w:top w:val="nil"/>
              <w:left w:val="nil"/>
              <w:bottom w:val="nil"/>
              <w:right w:val="nil"/>
            </w:tcBorders>
            <w:shd w:val="clear" w:color="auto" w:fill="auto"/>
            <w:noWrap/>
            <w:vAlign w:val="center"/>
            <w:hideMark/>
          </w:tcPr>
          <w:p w:rsidR="00D93231" w:rsidRPr="00D93231" w:rsidRDefault="00D93231" w:rsidP="007D3E64">
            <w:pPr>
              <w:ind w:left="98" w:hanging="98"/>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384" w:type="dxa"/>
            <w:tcBorders>
              <w:top w:val="nil"/>
              <w:left w:val="nil"/>
              <w:bottom w:val="nil"/>
              <w:right w:val="nil"/>
            </w:tcBorders>
            <w:shd w:val="clear" w:color="auto" w:fill="auto"/>
            <w:noWrap/>
            <w:vAlign w:val="center"/>
            <w:hideMark/>
          </w:tcPr>
          <w:p w:rsidR="00D93231" w:rsidRPr="00D93231" w:rsidRDefault="00D93231" w:rsidP="007D3E64">
            <w:pPr>
              <w:ind w:left="98" w:hanging="98"/>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24,279,375,378.24 </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34.</w:t>
      </w:r>
      <w:r w:rsidRPr="00D93231">
        <w:rPr>
          <w:rFonts w:ascii="Arial" w:hAnsi="Arial" w:cs="Arial"/>
          <w:sz w:val="19"/>
          <w:szCs w:val="19"/>
        </w:rPr>
        <w:t xml:space="preserve"> El importe total de las aportaciones previstas para las Instituciones de Educación Superior asciende a $1,709,167,433.00 (Un mil setecientos nueve millones ciento sesenta y siete mil cuatrocientos treinta y tres pesos 00/100 M.N.); monto que estará sujeto a las aportaciones convenidas entre el Gobierno Federal y el Gobierno Estatal, distribuidos de la siguiente manera:</w:t>
      </w:r>
    </w:p>
    <w:p w:rsidR="00D93231" w:rsidRPr="00D93231" w:rsidRDefault="00D93231" w:rsidP="00D93231">
      <w:pPr>
        <w:jc w:val="both"/>
        <w:rPr>
          <w:rFonts w:ascii="Arial" w:hAnsi="Arial" w:cs="Arial"/>
          <w:sz w:val="19"/>
          <w:szCs w:val="19"/>
        </w:rPr>
      </w:pPr>
    </w:p>
    <w:tbl>
      <w:tblPr>
        <w:tblpPr w:leftFromText="141" w:rightFromText="141" w:vertAnchor="text" w:horzAnchor="margin" w:tblpXSpec="center" w:tblpY="56"/>
        <w:tblW w:w="6733" w:type="dxa"/>
        <w:tblLayout w:type="fixed"/>
        <w:tblCellMar>
          <w:left w:w="70" w:type="dxa"/>
          <w:right w:w="70" w:type="dxa"/>
        </w:tblCellMar>
        <w:tblLook w:val="04A0" w:firstRow="1" w:lastRow="0" w:firstColumn="1" w:lastColumn="0" w:noHBand="0" w:noVBand="1"/>
      </w:tblPr>
      <w:tblGrid>
        <w:gridCol w:w="5032"/>
        <w:gridCol w:w="1701"/>
      </w:tblGrid>
      <w:tr w:rsidR="00D93231" w:rsidRPr="00D93231" w:rsidTr="007D3E64">
        <w:trPr>
          <w:trHeight w:val="240"/>
        </w:trPr>
        <w:tc>
          <w:tcPr>
            <w:tcW w:w="5032" w:type="dxa"/>
            <w:shd w:val="clear" w:color="auto" w:fill="auto"/>
            <w:noWrap/>
            <w:vAlign w:val="bottom"/>
            <w:hideMark/>
          </w:tcPr>
          <w:p w:rsidR="00D93231" w:rsidRPr="00D93231" w:rsidRDefault="00D93231" w:rsidP="00D93231">
            <w:pPr>
              <w:jc w:val="center"/>
              <w:rPr>
                <w:rFonts w:ascii="Arial" w:hAnsi="Arial" w:cs="Arial"/>
                <w:b/>
                <w:bCs/>
                <w:color w:val="000000"/>
                <w:sz w:val="19"/>
                <w:szCs w:val="19"/>
                <w:lang w:eastAsia="es-MX"/>
              </w:rPr>
            </w:pPr>
          </w:p>
        </w:tc>
        <w:tc>
          <w:tcPr>
            <w:tcW w:w="1701" w:type="dxa"/>
            <w:shd w:val="clear" w:color="auto" w:fill="auto"/>
            <w:noWrap/>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 </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Colegio Superior para la Educación Integral Intercultural</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105,425,010.00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Instituto Tecnológico Superior de San Miguel el Grande</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15,045,404.00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Instituto Tecnológico Superior de </w:t>
            </w:r>
            <w:proofErr w:type="spellStart"/>
            <w:r w:rsidRPr="00D93231">
              <w:rPr>
                <w:rFonts w:ascii="Arial" w:hAnsi="Arial" w:cs="Arial"/>
                <w:color w:val="000000"/>
                <w:sz w:val="19"/>
                <w:szCs w:val="19"/>
                <w:lang w:eastAsia="es-MX"/>
              </w:rPr>
              <w:t>Teposcolula</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22,122,398.00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proofErr w:type="spellStart"/>
            <w:r w:rsidRPr="00D93231">
              <w:rPr>
                <w:rFonts w:ascii="Arial" w:hAnsi="Arial" w:cs="Arial"/>
                <w:color w:val="000000"/>
                <w:sz w:val="19"/>
                <w:szCs w:val="19"/>
                <w:lang w:eastAsia="es-MX"/>
              </w:rPr>
              <w:t>Novauniversitas-Ocotlan</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17,856,033.00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Autónoma "Benito Juárez" de Oaxaca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908,424,590.00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lastRenderedPageBreak/>
              <w:t xml:space="preserve">Universidad de </w:t>
            </w:r>
            <w:proofErr w:type="spellStart"/>
            <w:r w:rsidRPr="00D93231">
              <w:rPr>
                <w:rFonts w:ascii="Arial" w:hAnsi="Arial" w:cs="Arial"/>
                <w:color w:val="000000"/>
                <w:sz w:val="19"/>
                <w:szCs w:val="19"/>
                <w:lang w:eastAsia="es-MX"/>
              </w:rPr>
              <w:t>Chalcatongo</w:t>
            </w:r>
            <w:proofErr w:type="spellEnd"/>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12,965,761.00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Cañada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23,086,469.00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Costa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10,101,334.00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Sierra Juárez</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26,583,963.00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 la Sierra Sur</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62,132,246.00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Istmo</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70,915,706.00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Mar</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167,994,632.00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del Papaloapan</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75,921,521.00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la Mixteca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148,520,286.00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la Sierra Sur de Oaxaca</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10,820,360.00 </w:t>
            </w:r>
          </w:p>
        </w:tc>
      </w:tr>
      <w:tr w:rsidR="00D93231" w:rsidRPr="00D93231" w:rsidTr="007D3E64">
        <w:trPr>
          <w:trHeight w:val="479"/>
        </w:trPr>
        <w:tc>
          <w:tcPr>
            <w:tcW w:w="5032" w:type="dxa"/>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Universidad Tecnológica de los Valles Centrales</w:t>
            </w:r>
          </w:p>
        </w:tc>
        <w:tc>
          <w:tcPr>
            <w:tcW w:w="1701" w:type="dxa"/>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31,251,720.00 </w:t>
            </w:r>
          </w:p>
        </w:tc>
      </w:tr>
      <w:tr w:rsidR="00D93231" w:rsidRPr="00D93231" w:rsidTr="007D3E64">
        <w:trPr>
          <w:trHeight w:val="240"/>
        </w:trPr>
        <w:tc>
          <w:tcPr>
            <w:tcW w:w="5032" w:type="dxa"/>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701" w:type="dxa"/>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1,709,167,433.00 </w:t>
            </w:r>
          </w:p>
        </w:tc>
      </w:tr>
    </w:tbl>
    <w:p w:rsidR="00A22233" w:rsidRDefault="00A22233" w:rsidP="00D93231">
      <w:pPr>
        <w:jc w:val="both"/>
        <w:rPr>
          <w:rFonts w:ascii="Arial" w:hAnsi="Arial" w:cs="Arial"/>
          <w:sz w:val="19"/>
          <w:szCs w:val="19"/>
        </w:rPr>
      </w:pPr>
    </w:p>
    <w:p w:rsidR="007F7F7F" w:rsidRPr="007D3E64" w:rsidRDefault="007F7F7F"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35.</w:t>
      </w:r>
      <w:r w:rsidRPr="00D93231">
        <w:rPr>
          <w:rFonts w:ascii="Arial" w:hAnsi="Arial" w:cs="Arial"/>
          <w:sz w:val="19"/>
          <w:szCs w:val="19"/>
        </w:rPr>
        <w:t xml:space="preserve"> Se asignarán recursos por un importe de $99</w:t>
      </w:r>
      <w:proofErr w:type="gramStart"/>
      <w:r w:rsidRPr="00D93231">
        <w:rPr>
          <w:rFonts w:ascii="Arial" w:hAnsi="Arial" w:cs="Arial"/>
          <w:sz w:val="19"/>
          <w:szCs w:val="19"/>
        </w:rPr>
        <w:t>,053,196.95</w:t>
      </w:r>
      <w:proofErr w:type="gramEnd"/>
      <w:r w:rsidRPr="00D93231">
        <w:rPr>
          <w:rFonts w:ascii="Arial" w:hAnsi="Arial" w:cs="Arial"/>
          <w:sz w:val="19"/>
          <w:szCs w:val="19"/>
        </w:rPr>
        <w:t xml:space="preserve"> (Noventa y nueve millones cincuenta y tres mil ciento noventa y seis pesos 95/100 M.N.), para mitigar los efectos del cambio climático.</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36.</w:t>
      </w:r>
      <w:r w:rsidRPr="00D93231">
        <w:rPr>
          <w:rFonts w:ascii="Arial" w:hAnsi="Arial" w:cs="Arial"/>
          <w:sz w:val="19"/>
          <w:szCs w:val="19"/>
        </w:rPr>
        <w:t xml:space="preserve"> Para la atención para la atención de los niños, niñas y adolescentes se destina, la cantidad de $20</w:t>
      </w:r>
      <w:proofErr w:type="gramStart"/>
      <w:r w:rsidRPr="00D93231">
        <w:rPr>
          <w:rFonts w:ascii="Arial" w:hAnsi="Arial" w:cs="Arial"/>
          <w:sz w:val="19"/>
          <w:szCs w:val="19"/>
        </w:rPr>
        <w:t>,025,980,083.91</w:t>
      </w:r>
      <w:proofErr w:type="gramEnd"/>
      <w:r w:rsidRPr="00D93231">
        <w:rPr>
          <w:rFonts w:ascii="Arial" w:hAnsi="Arial" w:cs="Arial"/>
          <w:sz w:val="19"/>
          <w:szCs w:val="19"/>
        </w:rPr>
        <w:t xml:space="preserve"> (Veinte mil veinticinco millones novecientos ochenta mil ochenta y tres pesos 91/100 M.N.), distribuido según el </w:t>
      </w:r>
      <w:r w:rsidRPr="00D93231">
        <w:rPr>
          <w:rFonts w:ascii="Arial" w:hAnsi="Arial" w:cs="Arial"/>
          <w:b/>
          <w:sz w:val="19"/>
          <w:szCs w:val="19"/>
        </w:rPr>
        <w:t>Anexo 2.</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A22233" w:rsidRDefault="00D93231" w:rsidP="00D93231">
      <w:pPr>
        <w:jc w:val="both"/>
        <w:rPr>
          <w:rFonts w:ascii="Arial" w:hAnsi="Arial" w:cs="Arial"/>
          <w:sz w:val="19"/>
          <w:szCs w:val="19"/>
        </w:rPr>
      </w:pPr>
      <w:r w:rsidRPr="00D93231">
        <w:rPr>
          <w:rFonts w:ascii="Arial" w:hAnsi="Arial" w:cs="Arial"/>
          <w:b/>
          <w:sz w:val="19"/>
          <w:szCs w:val="19"/>
        </w:rPr>
        <w:t>Artículo 37.</w:t>
      </w:r>
      <w:r w:rsidRPr="00D93231">
        <w:rPr>
          <w:rFonts w:ascii="Arial" w:hAnsi="Arial" w:cs="Arial"/>
          <w:sz w:val="19"/>
          <w:szCs w:val="19"/>
        </w:rPr>
        <w:t xml:space="preserve"> El Ejecutivo del Estado, asignará $650</w:t>
      </w:r>
      <w:proofErr w:type="gramStart"/>
      <w:r w:rsidRPr="00D93231">
        <w:rPr>
          <w:rFonts w:ascii="Arial" w:hAnsi="Arial" w:cs="Arial"/>
          <w:sz w:val="19"/>
          <w:szCs w:val="19"/>
        </w:rPr>
        <w:t>,000,000.00</w:t>
      </w:r>
      <w:proofErr w:type="gramEnd"/>
      <w:r w:rsidRPr="00D93231">
        <w:rPr>
          <w:rFonts w:ascii="Arial" w:hAnsi="Arial" w:cs="Arial"/>
          <w:sz w:val="19"/>
          <w:szCs w:val="19"/>
        </w:rPr>
        <w:t xml:space="preserve"> (Seiscientos cincuenta millones de pesos 00/100 M.N.), destinados a los Programas Bienestar.</w:t>
      </w:r>
    </w:p>
    <w:p w:rsidR="00A22233" w:rsidRPr="00D93231" w:rsidRDefault="00A22233" w:rsidP="00D93231">
      <w:pPr>
        <w:jc w:val="both"/>
        <w:rPr>
          <w:rFonts w:ascii="Arial" w:hAnsi="Arial" w:cs="Arial"/>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7F7F7F" w:rsidRDefault="007F7F7F"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Tercero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Clasificaciones del Gasto</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38.</w:t>
      </w:r>
      <w:r w:rsidRPr="00D93231">
        <w:rPr>
          <w:rFonts w:ascii="Arial" w:hAnsi="Arial" w:cs="Arial"/>
          <w:sz w:val="19"/>
          <w:szCs w:val="19"/>
        </w:rPr>
        <w:t xml:space="preserve"> El Presupuesto de egresos tendrá la siguiente conformación, atendiendo a la clasificación administrativa.</w:t>
      </w:r>
    </w:p>
    <w:p w:rsidR="00D93231" w:rsidRPr="00D93231" w:rsidRDefault="00D93231" w:rsidP="00D93231">
      <w:pPr>
        <w:jc w:val="both"/>
        <w:rPr>
          <w:rFonts w:ascii="Arial" w:hAnsi="Arial" w:cs="Arial"/>
          <w:sz w:val="19"/>
          <w:szCs w:val="19"/>
        </w:rPr>
      </w:pPr>
    </w:p>
    <w:tbl>
      <w:tblPr>
        <w:tblW w:w="6943" w:type="dxa"/>
        <w:jc w:val="center"/>
        <w:tblInd w:w="-388" w:type="dxa"/>
        <w:tblCellMar>
          <w:left w:w="70" w:type="dxa"/>
          <w:right w:w="70" w:type="dxa"/>
        </w:tblCellMar>
        <w:tblLook w:val="04A0" w:firstRow="1" w:lastRow="0" w:firstColumn="1" w:lastColumn="0" w:noHBand="0" w:noVBand="1"/>
      </w:tblPr>
      <w:tblGrid>
        <w:gridCol w:w="5218"/>
        <w:gridCol w:w="1725"/>
      </w:tblGrid>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jc w:val="center"/>
              <w:rPr>
                <w:rFonts w:ascii="Arial" w:hAnsi="Arial" w:cs="Arial"/>
                <w:b/>
                <w:bCs/>
                <w:color w:val="000000"/>
                <w:sz w:val="19"/>
                <w:szCs w:val="19"/>
                <w:lang w:eastAsia="es-MX"/>
              </w:rPr>
            </w:pPr>
            <w:r w:rsidRPr="007D3E64">
              <w:rPr>
                <w:rFonts w:ascii="Arial" w:hAnsi="Arial" w:cs="Arial"/>
                <w:b/>
                <w:bCs/>
                <w:color w:val="000000"/>
                <w:sz w:val="19"/>
                <w:szCs w:val="19"/>
                <w:lang w:eastAsia="es-MX"/>
              </w:rPr>
              <w:t>Pesos</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Administración Pública Centralizada</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27,520,180,258.32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Gubernatura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131,927,291.00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General de Gobierno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453,799,287.00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Procuraduría General de Justicia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601,193,339.00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Seguridad Pública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1,274,170,588.58</w:t>
            </w:r>
          </w:p>
        </w:tc>
      </w:tr>
      <w:tr w:rsidR="00D93231" w:rsidRPr="007D3E64" w:rsidTr="007D3E64">
        <w:trPr>
          <w:trHeight w:val="37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las Infraestructuras y el Ordenamiento Territorial Sustentable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195,819,341.00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Turismo y Desarrollo Económico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164,345,660.92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del Trabajo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104,855,593.00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Vialidad y Transporte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115,035,213.00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las Culturas y Artes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131,727,315.00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Desarrollo Social y Humano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44,937,334.00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Asuntos Indígenas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77,897,399.00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Desarrollo Agropecuario, Pesca y Acuacultura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213,672,132.00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Finanzas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443,084,676.00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Fondo de Inversión, Previsión y </w:t>
            </w:r>
            <w:proofErr w:type="spellStart"/>
            <w:r w:rsidRPr="007D3E64">
              <w:rPr>
                <w:rFonts w:ascii="Arial" w:hAnsi="Arial" w:cs="Arial"/>
                <w:color w:val="000000"/>
                <w:sz w:val="19"/>
                <w:szCs w:val="19"/>
                <w:lang w:eastAsia="es-MX"/>
              </w:rPr>
              <w:t>Pari</w:t>
            </w:r>
            <w:proofErr w:type="spellEnd"/>
            <w:r w:rsidRPr="007D3E64">
              <w:rPr>
                <w:rFonts w:ascii="Arial" w:hAnsi="Arial" w:cs="Arial"/>
                <w:color w:val="000000"/>
                <w:sz w:val="19"/>
                <w:szCs w:val="19"/>
                <w:lang w:eastAsia="es-MX"/>
              </w:rPr>
              <w:t xml:space="preserve"> </w:t>
            </w:r>
            <w:proofErr w:type="spellStart"/>
            <w:r w:rsidRPr="007D3E64">
              <w:rPr>
                <w:rFonts w:ascii="Arial" w:hAnsi="Arial" w:cs="Arial"/>
                <w:color w:val="000000"/>
                <w:sz w:val="19"/>
                <w:szCs w:val="19"/>
                <w:lang w:eastAsia="es-MX"/>
              </w:rPr>
              <w:t>Passu</w:t>
            </w:r>
            <w:proofErr w:type="spellEnd"/>
            <w:r w:rsidRPr="007D3E64">
              <w:rPr>
                <w:rFonts w:ascii="Arial" w:hAnsi="Arial" w:cs="Arial"/>
                <w:color w:val="000000"/>
                <w:sz w:val="19"/>
                <w:szCs w:val="19"/>
                <w:lang w:eastAsia="es-MX"/>
              </w:rPr>
              <w:t xml:space="preserve"> </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7,458,539,336.08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Finanzas-Normativa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1,870,155,483.00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Administración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1,323,374,941.00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Administración-Dirección de Recursos Humanos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530,007,274.00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Secretaría de la Contraloría y Transparencia Gubernamental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83,359,331.98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Jefatura de la Gubernatura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29,272,404.00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Consejería Jurídica del Gobierno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24,943,342.76</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General de Educación Media Superior y Superior, Ciencia y Tecnología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10,865,032.00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Representación del Gobierno del Estado de Oaxaca en el Distrito Federal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7,817,471.00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General de Comunicación Social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290,955,437.00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para la Atención de los Derechos Humanos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5,743,334.00</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General del Comité Estatal de Planeación para el Desarrollo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104,491,599.00</w:t>
            </w:r>
          </w:p>
        </w:tc>
      </w:tr>
      <w:tr w:rsidR="00D93231" w:rsidRPr="007D3E64" w:rsidTr="007D3E64">
        <w:trPr>
          <w:trHeight w:val="31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Secretariado Ejecutivo del Sistema Estatal de Seguridad Pública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22,738,510.00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Municipios - Participaciones y Aportaciones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11,805,451,593.00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Poder Legislativo</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676,300,000.00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Congreso del Estado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605,000,000.00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Auditoría Superior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71,300,000.00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Poder Judicial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780,582,277.00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Tribunal Superior de Justicia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150,827,558.52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de la judicatura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629,754,718.48</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Órganos Autónomos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1,468,146,013.94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Defensoría de los Derechos Humanos del Pueblo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40,604,284.00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Electoral y de Participación Ciudadana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480,594,748.94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Autónoma "Benito Juárez"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908,424,590.00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Arbitraje Médico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12,179,401.00</w:t>
            </w:r>
          </w:p>
        </w:tc>
      </w:tr>
      <w:tr w:rsidR="00D93231" w:rsidRPr="007D3E64" w:rsidTr="007D3E64">
        <w:trPr>
          <w:trHeight w:val="376"/>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Acceso a la Información Pública y Protección de Datos Personales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26,342,990.00</w:t>
            </w: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Organismos Públicos Descentralizados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29,982,187,694.80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Caminos y Aeropistas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174,725,835.00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Casa de la Cultura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21,559,050.00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Centro de las Artes San Agustín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5,469,937.00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Colegio de Bachilleres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1,019,990,130.96</w:t>
            </w:r>
          </w:p>
        </w:tc>
      </w:tr>
      <w:tr w:rsidR="00D93231" w:rsidRPr="007D3E64" w:rsidTr="007D3E64">
        <w:trPr>
          <w:trHeight w:val="325"/>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Colegio de Estudios Científicos y Tecnológicos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677,238,136.00</w:t>
            </w:r>
          </w:p>
        </w:tc>
      </w:tr>
      <w:tr w:rsidR="00D93231" w:rsidRPr="007D3E64" w:rsidTr="007D3E64">
        <w:trPr>
          <w:trHeight w:val="35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Colegio Superior para la Educación Integral Intercultural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105,425,010.00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Comisión de la Verdad </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3,158,881.98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Cultura Física y Deporte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41,011,884.00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 Vivienda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69,415,675.00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del Agua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155,386,282.00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Forestal</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5,492,415.00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para la Planeación de la Educación Superior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2,091,811.92</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Estatal para la Planeación y la Programación de la Educación Media Superior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1,293,643.92</w:t>
            </w:r>
          </w:p>
        </w:tc>
      </w:tr>
      <w:tr w:rsidR="00D93231" w:rsidRPr="007D3E64" w:rsidTr="007D3E64">
        <w:trPr>
          <w:trHeight w:val="51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Comisión para la Regularización de la Tenencia de la Tierra Urbana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4,409,193.00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Estatal de Prevención y Control del Sida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10,488,730.00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Consejo Oaxaqueño de Ciencia y Tecnología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4,171,793.00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Coordinación Estatal de Protección Civil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5,699,257.00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Corporación Oaxaqueña de Radio y Televisión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50,434,533.96</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Dirección General de Población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4,303,766.00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Hospital de la Niñez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18,253,347.76</w:t>
            </w:r>
          </w:p>
        </w:tc>
      </w:tr>
      <w:tr w:rsidR="00D93231" w:rsidRPr="007D3E64" w:rsidTr="007D3E64">
        <w:trPr>
          <w:trHeight w:val="431"/>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Capacitación y Productividad para el Trabajo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69,603,074.00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Estudios de Bachillerato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276,141,315.79</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la Juventud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17,969,535.00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 la Mujer Oaxaqueña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7,645,562.00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del Patrimonio Cultural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7,078,409.00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Instituto Estatal de Ecología y Desarrollo Sustentable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13,617,272.00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de Educación para Adultos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127,866,611.00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Estatal de Educación Pública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20,177,897,713.00</w:t>
            </w:r>
          </w:p>
        </w:tc>
      </w:tr>
      <w:tr w:rsidR="00D93231" w:rsidRPr="007D3E64" w:rsidTr="007D3E64">
        <w:trPr>
          <w:trHeight w:val="318"/>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Oaxaqueño Constructor de Infraestructura Física Educativa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23,524,605.92</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Oaxaqueño de Atención al Migrante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10,316,003.64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Oaxaqueño de las Artesanías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8,982,786.97</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Instituto Tecnológico Superior de San Miguel el Grande</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15,045,404.00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Instituto Tecnológico Superior de </w:t>
            </w:r>
            <w:proofErr w:type="spellStart"/>
            <w:r w:rsidRPr="007D3E64">
              <w:rPr>
                <w:rFonts w:ascii="Arial" w:hAnsi="Arial" w:cs="Arial"/>
                <w:color w:val="000000"/>
                <w:sz w:val="19"/>
                <w:szCs w:val="19"/>
                <w:lang w:eastAsia="es-MX"/>
              </w:rPr>
              <w:t>Teposcolula</w:t>
            </w:r>
            <w:proofErr w:type="spellEnd"/>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22,122,398.00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roofErr w:type="spellStart"/>
            <w:r w:rsidRPr="007D3E64">
              <w:rPr>
                <w:rFonts w:ascii="Arial" w:hAnsi="Arial" w:cs="Arial"/>
                <w:color w:val="000000"/>
                <w:sz w:val="19"/>
                <w:szCs w:val="19"/>
                <w:lang w:eastAsia="es-MX"/>
              </w:rPr>
              <w:t>Novauniversitas</w:t>
            </w:r>
            <w:proofErr w:type="spellEnd"/>
            <w:r w:rsidRPr="007D3E64">
              <w:rPr>
                <w:rFonts w:ascii="Arial" w:hAnsi="Arial" w:cs="Arial"/>
                <w:color w:val="000000"/>
                <w:sz w:val="19"/>
                <w:szCs w:val="19"/>
                <w:lang w:eastAsia="es-MX"/>
              </w:rPr>
              <w:t>-Ocotlán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17,856,033.00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Servicios de Agua Potable y Alcantarillado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173,594,952.00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Servicios de Salud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3,574,396,541.00</w:t>
            </w:r>
          </w:p>
        </w:tc>
      </w:tr>
      <w:tr w:rsidR="00D93231" w:rsidRPr="007D3E64" w:rsidTr="007D3E64">
        <w:trPr>
          <w:trHeight w:val="417"/>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Sistema para el Desarrollo Integral de la Familia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238,216,166.98</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 xml:space="preserve">Universidad de </w:t>
            </w:r>
            <w:proofErr w:type="spellStart"/>
            <w:r w:rsidRPr="007D3E64">
              <w:rPr>
                <w:rFonts w:ascii="Arial" w:hAnsi="Arial" w:cs="Arial"/>
                <w:color w:val="000000"/>
                <w:sz w:val="19"/>
                <w:szCs w:val="19"/>
                <w:lang w:eastAsia="es-MX"/>
              </w:rPr>
              <w:t>Chalcatongo</w:t>
            </w:r>
            <w:proofErr w:type="spellEnd"/>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12,965,761.00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Cañada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23,086,469.00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Costa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10,101,334.00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Sierra Juárez</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26,583,963.00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 la Sierra Sur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62,132,246.00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Istmo</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70,915,706.00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Mar</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167,994,632.00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del Papaloapan</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75,921,521.00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la Mixteca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148,520,286.00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la Sierra Sur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10,820,360.00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Universidad Tecnológica de los Valles Centrales</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31,251,720.00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Régimen Estatal de Protección Social en Salud</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2,180,000,000.00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Fideicomisos Públicos</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14,624,026.00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lastRenderedPageBreak/>
              <w:t>Fideicomiso para el Desarrollo Logístico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4,628,309.00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Fideicomiso de Fomento para 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6,138,884.00</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Oficina de Convenciones y Visitantes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3,856,833.00</w:t>
            </w:r>
          </w:p>
        </w:tc>
      </w:tr>
      <w:tr w:rsidR="00D93231" w:rsidRPr="007D3E64" w:rsidTr="007D3E64">
        <w:trPr>
          <w:trHeight w:val="18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p>
        </w:tc>
        <w:tc>
          <w:tcPr>
            <w:tcW w:w="1643" w:type="dxa"/>
            <w:shd w:val="clear" w:color="auto" w:fill="auto"/>
            <w:noWrap/>
            <w:hideMark/>
          </w:tcPr>
          <w:p w:rsidR="00D93231" w:rsidRPr="007D3E64" w:rsidRDefault="00D93231" w:rsidP="00D93231">
            <w:pPr>
              <w:rPr>
                <w:rFonts w:ascii="Arial" w:hAnsi="Arial" w:cs="Arial"/>
                <w:color w:val="000000"/>
                <w:sz w:val="19"/>
                <w:szCs w:val="19"/>
                <w:lang w:eastAsia="es-MX"/>
              </w:rPr>
            </w:pP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Instituciones Públicas de Seguridad Social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53,029,008.94</w:t>
            </w:r>
          </w:p>
        </w:tc>
      </w:tr>
      <w:tr w:rsidR="00D93231" w:rsidRPr="007D3E64" w:rsidTr="007D3E64">
        <w:trPr>
          <w:trHeight w:val="360"/>
          <w:jc w:val="center"/>
        </w:trPr>
        <w:tc>
          <w:tcPr>
            <w:tcW w:w="5300" w:type="dxa"/>
            <w:shd w:val="clear" w:color="auto" w:fill="auto"/>
            <w:hideMark/>
          </w:tcPr>
          <w:p w:rsidR="00D93231" w:rsidRPr="007D3E64" w:rsidRDefault="00D93231" w:rsidP="00D93231">
            <w:pPr>
              <w:rPr>
                <w:rFonts w:ascii="Arial" w:hAnsi="Arial" w:cs="Arial"/>
                <w:color w:val="000000"/>
                <w:sz w:val="19"/>
                <w:szCs w:val="19"/>
                <w:lang w:eastAsia="es-MX"/>
              </w:rPr>
            </w:pPr>
            <w:r w:rsidRPr="007D3E64">
              <w:rPr>
                <w:rFonts w:ascii="Arial" w:hAnsi="Arial" w:cs="Arial"/>
                <w:color w:val="000000"/>
                <w:sz w:val="19"/>
                <w:szCs w:val="19"/>
                <w:lang w:eastAsia="es-MX"/>
              </w:rPr>
              <w:t>Oficina de Pensiones del Estado de Oaxaca</w:t>
            </w:r>
          </w:p>
        </w:tc>
        <w:tc>
          <w:tcPr>
            <w:tcW w:w="1643" w:type="dxa"/>
            <w:shd w:val="clear" w:color="auto" w:fill="auto"/>
            <w:noWrap/>
            <w:hideMark/>
          </w:tcPr>
          <w:p w:rsidR="00D93231" w:rsidRPr="007D3E64" w:rsidRDefault="00D93231" w:rsidP="00D93231">
            <w:pPr>
              <w:jc w:val="right"/>
              <w:rPr>
                <w:rFonts w:ascii="Arial" w:hAnsi="Arial" w:cs="Arial"/>
                <w:color w:val="000000"/>
                <w:sz w:val="19"/>
                <w:szCs w:val="19"/>
                <w:lang w:eastAsia="es-MX"/>
              </w:rPr>
            </w:pPr>
            <w:r w:rsidRPr="007D3E64">
              <w:rPr>
                <w:rFonts w:ascii="Arial" w:hAnsi="Arial" w:cs="Arial"/>
                <w:color w:val="000000"/>
                <w:sz w:val="19"/>
                <w:szCs w:val="19"/>
                <w:lang w:eastAsia="es-MX"/>
              </w:rPr>
              <w:t>53,029,008.94</w:t>
            </w:r>
          </w:p>
        </w:tc>
      </w:tr>
      <w:tr w:rsidR="00D93231" w:rsidRPr="007D3E64" w:rsidTr="007D3E64">
        <w:trPr>
          <w:trHeight w:val="255"/>
          <w:jc w:val="center"/>
        </w:trPr>
        <w:tc>
          <w:tcPr>
            <w:tcW w:w="5300" w:type="dxa"/>
            <w:shd w:val="clear" w:color="auto" w:fill="auto"/>
            <w:hideMark/>
          </w:tcPr>
          <w:p w:rsidR="00D93231" w:rsidRPr="007D3E64" w:rsidRDefault="00D93231" w:rsidP="00D93231">
            <w:pPr>
              <w:rPr>
                <w:rFonts w:ascii="Arial" w:hAnsi="Arial" w:cs="Arial"/>
                <w:b/>
                <w:bCs/>
                <w:color w:val="000000"/>
                <w:sz w:val="19"/>
                <w:szCs w:val="19"/>
                <w:lang w:eastAsia="es-MX"/>
              </w:rPr>
            </w:pPr>
            <w:r w:rsidRPr="007D3E64">
              <w:rPr>
                <w:rFonts w:ascii="Arial" w:hAnsi="Arial" w:cs="Arial"/>
                <w:b/>
                <w:bCs/>
                <w:color w:val="000000"/>
                <w:sz w:val="19"/>
                <w:szCs w:val="19"/>
                <w:lang w:eastAsia="es-MX"/>
              </w:rPr>
              <w:t>Total General</w:t>
            </w:r>
          </w:p>
        </w:tc>
        <w:tc>
          <w:tcPr>
            <w:tcW w:w="1643" w:type="dxa"/>
            <w:shd w:val="clear" w:color="auto" w:fill="auto"/>
            <w:noWrap/>
            <w:hideMark/>
          </w:tcPr>
          <w:p w:rsidR="00D93231" w:rsidRPr="007D3E64" w:rsidRDefault="00D93231" w:rsidP="00D93231">
            <w:pPr>
              <w:jc w:val="right"/>
              <w:rPr>
                <w:rFonts w:ascii="Arial" w:hAnsi="Arial" w:cs="Arial"/>
                <w:b/>
                <w:bCs/>
                <w:color w:val="000000"/>
                <w:sz w:val="19"/>
                <w:szCs w:val="19"/>
                <w:lang w:eastAsia="es-MX"/>
              </w:rPr>
            </w:pPr>
            <w:r w:rsidRPr="007D3E64">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39.</w:t>
      </w:r>
      <w:r w:rsidRPr="00D93231">
        <w:rPr>
          <w:rFonts w:ascii="Arial" w:hAnsi="Arial" w:cs="Arial"/>
          <w:sz w:val="19"/>
          <w:szCs w:val="19"/>
        </w:rPr>
        <w:t xml:space="preserve"> En Clasificación Económica, el Presupuesto de egresos tendrá la siguiente conformación, atendiendo al Clasificador por Tipo de Gasto homologado a nivel nacional por el Consejo Nacional de Armonización Contable:</w:t>
      </w:r>
    </w:p>
    <w:p w:rsidR="00D93231" w:rsidRPr="00D93231" w:rsidRDefault="00D93231" w:rsidP="00D93231">
      <w:pPr>
        <w:jc w:val="both"/>
        <w:rPr>
          <w:rFonts w:ascii="Arial" w:hAnsi="Arial" w:cs="Arial"/>
          <w:sz w:val="19"/>
          <w:szCs w:val="19"/>
        </w:rPr>
      </w:pPr>
    </w:p>
    <w:tbl>
      <w:tblPr>
        <w:tblW w:w="6777" w:type="dxa"/>
        <w:jc w:val="center"/>
        <w:tblInd w:w="-486" w:type="dxa"/>
        <w:tblCellMar>
          <w:left w:w="70" w:type="dxa"/>
          <w:right w:w="70" w:type="dxa"/>
        </w:tblCellMar>
        <w:tblLook w:val="04A0" w:firstRow="1" w:lastRow="0" w:firstColumn="1" w:lastColumn="0" w:noHBand="0" w:noVBand="1"/>
      </w:tblPr>
      <w:tblGrid>
        <w:gridCol w:w="4479"/>
        <w:gridCol w:w="2298"/>
      </w:tblGrid>
      <w:tr w:rsidR="00D93231" w:rsidRPr="00D93231" w:rsidTr="007D3E64">
        <w:trPr>
          <w:trHeight w:val="30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p>
        </w:tc>
        <w:tc>
          <w:tcPr>
            <w:tcW w:w="2298" w:type="dxa"/>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36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Gasto Corriente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42,224,551,485.54</w:t>
            </w:r>
          </w:p>
        </w:tc>
      </w:tr>
      <w:tr w:rsidR="00D93231" w:rsidRPr="00D93231" w:rsidTr="007D3E64">
        <w:trPr>
          <w:trHeight w:val="36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Gasto de Capital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12,366,117,619.66</w:t>
            </w:r>
          </w:p>
        </w:tc>
      </w:tr>
      <w:tr w:rsidR="00D93231" w:rsidRPr="00D93231" w:rsidTr="007D3E64">
        <w:trPr>
          <w:trHeight w:val="510"/>
          <w:jc w:val="center"/>
        </w:trPr>
        <w:tc>
          <w:tcPr>
            <w:tcW w:w="4479" w:type="dxa"/>
            <w:shd w:val="clear" w:color="auto" w:fill="auto"/>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Amortización de la Deuda y Disminución de Pasivos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1,206,955,483.00</w:t>
            </w:r>
          </w:p>
        </w:tc>
      </w:tr>
      <w:tr w:rsidR="00D93231" w:rsidRPr="00D93231" w:rsidTr="007D3E64">
        <w:trPr>
          <w:trHeight w:val="36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Pensiones y Jubilaciones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312,877,775.80</w:t>
            </w:r>
          </w:p>
        </w:tc>
      </w:tr>
      <w:tr w:rsidR="00D93231" w:rsidRPr="00D93231" w:rsidTr="007D3E64">
        <w:trPr>
          <w:trHeight w:val="360"/>
          <w:jc w:val="center"/>
        </w:trPr>
        <w:tc>
          <w:tcPr>
            <w:tcW w:w="4479" w:type="dxa"/>
            <w:shd w:val="clear" w:color="auto" w:fill="auto"/>
            <w:noWrap/>
            <w:vAlign w:val="center"/>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Participaciones </w:t>
            </w:r>
          </w:p>
        </w:tc>
        <w:tc>
          <w:tcPr>
            <w:tcW w:w="2298" w:type="dxa"/>
            <w:shd w:val="clear" w:color="auto" w:fill="auto"/>
            <w:noWrap/>
            <w:vAlign w:val="center"/>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4,384,546,915.00</w:t>
            </w:r>
          </w:p>
          <w:p w:rsidR="00D93231" w:rsidRPr="00D93231" w:rsidRDefault="00D93231" w:rsidP="00D93231">
            <w:pPr>
              <w:jc w:val="right"/>
              <w:rPr>
                <w:rFonts w:ascii="Arial" w:hAnsi="Arial" w:cs="Arial"/>
                <w:color w:val="000000"/>
                <w:sz w:val="19"/>
                <w:szCs w:val="19"/>
                <w:lang w:eastAsia="es-MX"/>
              </w:rPr>
            </w:pPr>
          </w:p>
        </w:tc>
      </w:tr>
      <w:tr w:rsidR="00D93231" w:rsidRPr="00D93231" w:rsidTr="007D3E64">
        <w:trPr>
          <w:trHeight w:val="300"/>
          <w:jc w:val="center"/>
        </w:trPr>
        <w:tc>
          <w:tcPr>
            <w:tcW w:w="4479" w:type="dxa"/>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298" w:type="dxa"/>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r w:rsidRPr="00D93231">
        <w:rPr>
          <w:rFonts w:ascii="Arial" w:hAnsi="Arial" w:cs="Arial"/>
          <w:sz w:val="19"/>
          <w:szCs w:val="19"/>
        </w:rPr>
        <w:tab/>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40.</w:t>
      </w:r>
      <w:r w:rsidRPr="00D93231">
        <w:rPr>
          <w:rFonts w:ascii="Arial" w:hAnsi="Arial" w:cs="Arial"/>
          <w:sz w:val="19"/>
          <w:szCs w:val="19"/>
        </w:rPr>
        <w:t xml:space="preserve"> Como parte de la Clasificación Económica, el Presupuesto de egresos tendrá la siguiente conformación, atendiendo al Clasificador por Objeto del Gasto homologado a nivel nacional por el Consejo Nacional de Armonización Contable:</w:t>
      </w:r>
    </w:p>
    <w:tbl>
      <w:tblPr>
        <w:tblpPr w:leftFromText="141" w:rightFromText="141" w:vertAnchor="text" w:horzAnchor="margin" w:tblpXSpec="center" w:tblpY="250"/>
        <w:tblW w:w="6732" w:type="dxa"/>
        <w:tblLayout w:type="fixed"/>
        <w:tblCellMar>
          <w:left w:w="70" w:type="dxa"/>
          <w:right w:w="70" w:type="dxa"/>
        </w:tblCellMar>
        <w:tblLook w:val="04A0" w:firstRow="1" w:lastRow="0" w:firstColumn="1" w:lastColumn="0" w:noHBand="0" w:noVBand="1"/>
      </w:tblPr>
      <w:tblGrid>
        <w:gridCol w:w="4606"/>
        <w:gridCol w:w="2126"/>
      </w:tblGrid>
      <w:tr w:rsidR="00D93231" w:rsidRPr="00D93231" w:rsidTr="007D3E64">
        <w:trPr>
          <w:trHeight w:val="310"/>
        </w:trPr>
        <w:tc>
          <w:tcPr>
            <w:tcW w:w="4606"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sz w:val="19"/>
                <w:szCs w:val="19"/>
                <w:lang w:eastAsia="es-MX"/>
              </w:rPr>
            </w:pPr>
          </w:p>
        </w:tc>
        <w:tc>
          <w:tcPr>
            <w:tcW w:w="2126"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lang w:eastAsia="es-MX"/>
              </w:rPr>
            </w:pPr>
            <w:r w:rsidRPr="00D93231">
              <w:rPr>
                <w:rFonts w:ascii="Arial" w:hAnsi="Arial" w:cs="Arial"/>
                <w:b/>
                <w:bCs/>
                <w:sz w:val="19"/>
                <w:szCs w:val="19"/>
                <w:lang w:eastAsia="es-MX"/>
              </w:rPr>
              <w:t xml:space="preserve">               Pesos</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Servicios Personales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4,679,049,199.06</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Materiales y Suministros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336,996,746.99</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Servicios Generales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1,983,963,491.49</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lastRenderedPageBreak/>
              <w:t xml:space="preserve"> Transferencias, Asignaciones, Subsidios y Otras Ayudas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33,491,883,949.80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Bienes Muebles, Inmuebles e Intangibles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69,796,627.00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 xml:space="preserve"> Inversión Pública </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7,007,216,372.66</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Participaciones y Aportaciones</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11,719,187,409.00</w:t>
            </w:r>
          </w:p>
        </w:tc>
      </w:tr>
      <w:tr w:rsidR="00D93231" w:rsidRPr="00D93231" w:rsidTr="007D3E64">
        <w:trPr>
          <w:trHeight w:val="373"/>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sz w:val="19"/>
                <w:szCs w:val="19"/>
                <w:lang w:eastAsia="es-MX"/>
              </w:rPr>
            </w:pPr>
            <w:r w:rsidRPr="00D93231">
              <w:rPr>
                <w:rFonts w:ascii="Arial" w:hAnsi="Arial" w:cs="Arial"/>
                <w:sz w:val="19"/>
                <w:szCs w:val="19"/>
                <w:lang w:eastAsia="es-MX"/>
              </w:rPr>
              <w:t>Deuda Pública</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sz w:val="19"/>
                <w:szCs w:val="19"/>
                <w:lang w:eastAsia="es-MX"/>
              </w:rPr>
            </w:pPr>
            <w:r w:rsidRPr="00D93231">
              <w:rPr>
                <w:rFonts w:ascii="Arial" w:hAnsi="Arial" w:cs="Arial"/>
                <w:sz w:val="19"/>
                <w:szCs w:val="19"/>
                <w:lang w:eastAsia="es-MX"/>
              </w:rPr>
              <w:t>1,206,955,483.00</w:t>
            </w:r>
          </w:p>
        </w:tc>
      </w:tr>
      <w:tr w:rsidR="00D93231" w:rsidRPr="00D93231" w:rsidTr="007D3E64">
        <w:trPr>
          <w:trHeight w:val="341"/>
        </w:trPr>
        <w:tc>
          <w:tcPr>
            <w:tcW w:w="4606" w:type="dxa"/>
            <w:tcBorders>
              <w:top w:val="nil"/>
              <w:left w:val="nil"/>
              <w:bottom w:val="nil"/>
              <w:right w:val="nil"/>
            </w:tcBorders>
            <w:shd w:val="clear" w:color="auto" w:fill="auto"/>
            <w:hideMark/>
          </w:tcPr>
          <w:p w:rsidR="00D93231" w:rsidRPr="00D93231" w:rsidRDefault="00D93231" w:rsidP="00D93231">
            <w:pPr>
              <w:rPr>
                <w:rFonts w:ascii="Arial" w:hAnsi="Arial" w:cs="Arial"/>
                <w:b/>
                <w:bCs/>
                <w:sz w:val="19"/>
                <w:szCs w:val="19"/>
                <w:lang w:eastAsia="es-MX"/>
              </w:rPr>
            </w:pPr>
            <w:r w:rsidRPr="00D93231">
              <w:rPr>
                <w:rFonts w:ascii="Arial" w:hAnsi="Arial" w:cs="Arial"/>
                <w:b/>
                <w:bCs/>
                <w:sz w:val="19"/>
                <w:szCs w:val="19"/>
                <w:lang w:eastAsia="es-MX"/>
              </w:rPr>
              <w:t>Total General</w:t>
            </w:r>
          </w:p>
        </w:tc>
        <w:tc>
          <w:tcPr>
            <w:tcW w:w="212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sz w:val="19"/>
                <w:szCs w:val="19"/>
                <w:lang w:eastAsia="es-MX"/>
              </w:rPr>
            </w:pPr>
            <w:r w:rsidRPr="00D93231">
              <w:rPr>
                <w:rFonts w:ascii="Arial" w:hAnsi="Arial" w:cs="Arial"/>
                <w:b/>
                <w:bCs/>
                <w:sz w:val="19"/>
                <w:szCs w:val="19"/>
                <w:lang w:eastAsia="es-MX"/>
              </w:rPr>
              <w:t>60,495,049,279.00</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41.</w:t>
      </w:r>
      <w:r w:rsidRPr="00D93231">
        <w:rPr>
          <w:rFonts w:ascii="Arial" w:hAnsi="Arial" w:cs="Arial"/>
          <w:sz w:val="19"/>
          <w:szCs w:val="19"/>
        </w:rPr>
        <w:t xml:space="preserve"> El gasto público atendiendo a la Clasificación Funcional, homologada a las disposiciones emitidas a nivel nacional por el Consejo Nacional de Armonización, se distribuye de la siguiente manera:</w:t>
      </w:r>
    </w:p>
    <w:p w:rsidR="009F7B86" w:rsidRPr="00D93231" w:rsidRDefault="009F7B86" w:rsidP="00D93231">
      <w:pPr>
        <w:jc w:val="both"/>
        <w:rPr>
          <w:rFonts w:ascii="Arial" w:hAnsi="Arial" w:cs="Arial"/>
          <w:sz w:val="19"/>
          <w:szCs w:val="19"/>
        </w:rPr>
      </w:pPr>
    </w:p>
    <w:tbl>
      <w:tblPr>
        <w:tblW w:w="6947" w:type="dxa"/>
        <w:jc w:val="center"/>
        <w:tblInd w:w="55" w:type="dxa"/>
        <w:tblCellMar>
          <w:left w:w="70" w:type="dxa"/>
          <w:right w:w="70" w:type="dxa"/>
        </w:tblCellMar>
        <w:tblLook w:val="04A0" w:firstRow="1" w:lastRow="0" w:firstColumn="1" w:lastColumn="0" w:noHBand="0" w:noVBand="1"/>
      </w:tblPr>
      <w:tblGrid>
        <w:gridCol w:w="180"/>
        <w:gridCol w:w="200"/>
        <w:gridCol w:w="3204"/>
        <w:gridCol w:w="1725"/>
        <w:gridCol w:w="1725"/>
      </w:tblGrid>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GOBIERNO</w:t>
            </w:r>
          </w:p>
        </w:tc>
        <w:tc>
          <w:tcPr>
            <w:tcW w:w="1725"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8,525,083,114.12</w:t>
            </w:r>
          </w:p>
        </w:tc>
      </w:tr>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Legislación</w:t>
            </w:r>
          </w:p>
        </w:tc>
        <w:tc>
          <w:tcPr>
            <w:tcW w:w="1725"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676,300,000.00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Legislación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587,000,000.00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Fiscalización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89,300,000.00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Justicia</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1,710,617,632.37</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Impartición de justicia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827,192,551.00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Procuración de justicia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654,544,541.40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Reclusión y readaptación social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171,728,477.99</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Derechos humanos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57,152,061.98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Coordinación de la política de gobierno</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1,874,644,121.04</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Presidencia/gubernatura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177,928,003.23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Política interior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222,426,846.53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Preservación y cuidado del patrimonio público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680,284,114.92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Función pública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82,811,131.22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jurídicos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12,599,276.20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Organización de procesos electorales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698,594,748.94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financieros y hacendarios</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1,076,514,611.87</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financieros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262,148,067.85</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hacendarios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814,366,544.02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de orden público y de seguridad</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1,432,971,195.01</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Policía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266,618,548.00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Protección civil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5,699,257.00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asuntos de orden público y seguridad</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1,138,260,331.81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Sistema nacional de seguridad pública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22,393,058.20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Otros servicios generales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1,754,035,553.83</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registrales, administrativos y patrimoniales</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1,397,197,717.87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de comunicación y medios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295,322,386.97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Acceso a la información pública gubernamental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31,381,833.83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30,133,615.16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DESARROLLO SOCIAL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34,754,125,669.45</w:t>
            </w: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Protección ambiental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167,162,322.39</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Administración del agua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121,352,601.00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Ordenación de aguas residuales, drenaje y alcantarillado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21,020,449.39</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de protección ambiental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24,789,272.00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Vivienda y servicios a la comunidad</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2,310,661,327.11</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Urbanización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1,341,907,219.66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Desarrollo comunitario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77,431,813.97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Abastecimiento de agua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326,774,901.61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Vivienda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69,415,675.00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Desarrollo regional</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495,131,716.87</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Salud</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5,783,138,618.76</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Prestación de servicios de salud a la comunidad</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85,409,704.28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Prestación de servicios de salud a la persona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4,726,464,175.04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Generación de recursos para la salud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902,131,590.68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Protección social en salud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69,133,148.76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5129"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Recreación, cultura y otras manifestaciones sociales</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536,937,884.36</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Deporte y recreación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265,680,850.00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Cultura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271,257,034.36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Educación</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24,279,375,378.24</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básica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20,237,852,134.41</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media superior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2,209,777,711.75</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superior</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1,294,898,209.52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Posgrado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Educación para adultos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servicios educativos y actividades inherentes</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476,847,322.56</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Protección social</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1,639,969,215.16</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Enfermedad e incapacidad</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3,258,748.00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Edad avanzada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53,029,008.94</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Familia e hijos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13,773,548.00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Alimentación y nutrición</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566,573,245.00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Indígenas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24,546,196.60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grupos vulnerables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968,788,468.62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Otras de seguridad social y asistencia social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10,000,000.00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Otros asuntos sociales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36,880,923.43</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asuntos sociales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36,880,923.43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3584" w:type="dxa"/>
            <w:gridSpan w:val="3"/>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DESARROLLO ECONÓMICO </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4,203,433,419.43</w:t>
            </w:r>
          </w:p>
        </w:tc>
      </w:tr>
      <w:tr w:rsidR="00D93231" w:rsidRPr="00D93231" w:rsidTr="00EE6297">
        <w:trPr>
          <w:trHeight w:val="300"/>
          <w:jc w:val="center"/>
        </w:trPr>
        <w:tc>
          <w:tcPr>
            <w:tcW w:w="180" w:type="dxa"/>
            <w:vMerge w:val="restart"/>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Asuntos económicos, comerciales</w:t>
            </w:r>
          </w:p>
        </w:tc>
        <w:tc>
          <w:tcPr>
            <w:tcW w:w="1725" w:type="dxa"/>
            <w:vMerge w:val="restart"/>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1638" w:type="dxa"/>
            <w:vMerge w:val="restart"/>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1,479,121,288.68</w:t>
            </w:r>
          </w:p>
        </w:tc>
      </w:tr>
      <w:tr w:rsidR="00D93231" w:rsidRPr="00D93231" w:rsidTr="00EE6297">
        <w:trPr>
          <w:trHeight w:val="300"/>
          <w:jc w:val="center"/>
        </w:trPr>
        <w:tc>
          <w:tcPr>
            <w:tcW w:w="180" w:type="dxa"/>
            <w:vMerge/>
            <w:tcBorders>
              <w:top w:val="nil"/>
              <w:left w:val="nil"/>
              <w:bottom w:val="nil"/>
              <w:right w:val="nil"/>
            </w:tcBorders>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y laborales en general</w:t>
            </w:r>
          </w:p>
        </w:tc>
        <w:tc>
          <w:tcPr>
            <w:tcW w:w="1725" w:type="dxa"/>
            <w:vMerge/>
            <w:tcBorders>
              <w:top w:val="nil"/>
              <w:left w:val="nil"/>
              <w:bottom w:val="nil"/>
              <w:right w:val="nil"/>
            </w:tcBorders>
            <w:vAlign w:val="center"/>
            <w:hideMark/>
          </w:tcPr>
          <w:p w:rsidR="00D93231" w:rsidRPr="00D93231" w:rsidRDefault="00D93231" w:rsidP="007D3E64">
            <w:pPr>
              <w:rPr>
                <w:rFonts w:ascii="Arial" w:hAnsi="Arial" w:cs="Arial"/>
                <w:color w:val="000000"/>
                <w:sz w:val="19"/>
                <w:szCs w:val="19"/>
                <w:lang w:eastAsia="es-MX"/>
              </w:rPr>
            </w:pPr>
          </w:p>
        </w:tc>
        <w:tc>
          <w:tcPr>
            <w:tcW w:w="1638" w:type="dxa"/>
            <w:vMerge/>
            <w:tcBorders>
              <w:top w:val="nil"/>
              <w:left w:val="nil"/>
              <w:bottom w:val="nil"/>
              <w:right w:val="nil"/>
            </w:tcBorders>
            <w:vAlign w:val="center"/>
            <w:hideMark/>
          </w:tcPr>
          <w:p w:rsidR="00D93231" w:rsidRPr="00D93231" w:rsidRDefault="00D93231" w:rsidP="007D3E64">
            <w:pPr>
              <w:rPr>
                <w:rFonts w:ascii="Arial" w:hAnsi="Arial" w:cs="Arial"/>
                <w:b/>
                <w:bCs/>
                <w:color w:val="000000"/>
                <w:sz w:val="19"/>
                <w:szCs w:val="19"/>
                <w:lang w:eastAsia="es-MX"/>
              </w:rPr>
            </w:pP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económicos y comerciales en general</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1,226,929,592.68</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Asuntos laborales generales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252,191,696.00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2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Agropecuaria, silvicultura, pesca y caza</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244,664,547.00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Agropecuaria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227,131,386.10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Silvicultura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5,492,415.00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Acuacultura, pesca y caza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12,040,745.90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Transporte</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1,652,311,968.00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Transporte por carretera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1,630,311,968.00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Otros relacionados con transporte</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22,000,000.00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Comunicaciones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52,282,992.93</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Comunicaciones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52,282,992.93</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Turismo</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619,522,649.72</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Turismo</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619,522,649.72</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Ciencia, tecnología e innovación</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155,529,973.10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 xml:space="preserve">Investigación científica </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151,327,380.10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Servicios científicos y tecnológicos</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4,202,593.00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510"/>
          <w:jc w:val="center"/>
        </w:trPr>
        <w:tc>
          <w:tcPr>
            <w:tcW w:w="3584" w:type="dxa"/>
            <w:gridSpan w:val="3"/>
            <w:tcBorders>
              <w:top w:val="nil"/>
              <w:left w:val="nil"/>
              <w:bottom w:val="nil"/>
              <w:right w:val="nil"/>
            </w:tcBorders>
            <w:shd w:val="clear" w:color="auto" w:fill="auto"/>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OTRAS NO CLASIFICADAS EN FUNCIONES ANTERIORES</w:t>
            </w: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13,012,407,076.00</w:t>
            </w:r>
          </w:p>
        </w:tc>
      </w:tr>
      <w:tr w:rsidR="00D93231" w:rsidRPr="00D93231" w:rsidTr="00EE6297">
        <w:trPr>
          <w:trHeight w:val="55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Transacciones de la deuda pública/costo financiero de la deuda</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1,206,955,483.00</w:t>
            </w:r>
          </w:p>
        </w:tc>
      </w:tr>
      <w:tr w:rsidR="00D93231" w:rsidRPr="00D93231" w:rsidTr="00EE6297">
        <w:trPr>
          <w:trHeight w:val="36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Deuda pública interna</w:t>
            </w:r>
          </w:p>
        </w:tc>
        <w:tc>
          <w:tcPr>
            <w:tcW w:w="1725" w:type="dxa"/>
            <w:tcBorders>
              <w:top w:val="nil"/>
              <w:left w:val="nil"/>
              <w:bottom w:val="nil"/>
              <w:right w:val="nil"/>
            </w:tcBorders>
            <w:shd w:val="clear" w:color="auto" w:fill="auto"/>
            <w:noWrap/>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1,206,955,483.00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79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3404" w:type="dxa"/>
            <w:gridSpan w:val="2"/>
            <w:tcBorders>
              <w:top w:val="nil"/>
              <w:left w:val="nil"/>
              <w:bottom w:val="nil"/>
              <w:right w:val="nil"/>
            </w:tcBorders>
            <w:shd w:val="clear" w:color="auto" w:fill="auto"/>
            <w:vAlign w:val="center"/>
            <w:hideMark/>
          </w:tcPr>
          <w:p w:rsidR="00D93231" w:rsidRPr="00D93231" w:rsidRDefault="00D93231" w:rsidP="007D3E64">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Transferencias, participaciones y aportaciones entre diferentes niveles y órdenes de gobierno</w:t>
            </w:r>
          </w:p>
        </w:tc>
        <w:tc>
          <w:tcPr>
            <w:tcW w:w="1725" w:type="dxa"/>
            <w:tcBorders>
              <w:top w:val="nil"/>
              <w:left w:val="nil"/>
              <w:bottom w:val="nil"/>
              <w:right w:val="nil"/>
            </w:tcBorders>
            <w:shd w:val="clear" w:color="auto" w:fill="auto"/>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p>
          <w:p w:rsidR="00D93231" w:rsidRPr="00D93231" w:rsidRDefault="00D93231" w:rsidP="007D3E64">
            <w:pPr>
              <w:jc w:val="right"/>
              <w:rPr>
                <w:rFonts w:ascii="Arial" w:hAnsi="Arial" w:cs="Arial"/>
                <w:b/>
                <w:bCs/>
                <w:color w:val="000000"/>
                <w:sz w:val="19"/>
                <w:szCs w:val="19"/>
                <w:lang w:eastAsia="es-MX"/>
              </w:rPr>
            </w:pPr>
          </w:p>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11,805,451,593.00</w:t>
            </w:r>
          </w:p>
        </w:tc>
      </w:tr>
      <w:tr w:rsidR="00D93231" w:rsidRPr="00D93231" w:rsidTr="00EE6297">
        <w:trPr>
          <w:trHeight w:val="510"/>
          <w:jc w:val="center"/>
        </w:trPr>
        <w:tc>
          <w:tcPr>
            <w:tcW w:w="18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vAlign w:val="center"/>
            <w:hideMark/>
          </w:tcPr>
          <w:p w:rsidR="00D93231" w:rsidRPr="00D93231" w:rsidRDefault="00D93231" w:rsidP="007D3E64">
            <w:pPr>
              <w:rPr>
                <w:rFonts w:ascii="Arial" w:hAnsi="Arial" w:cs="Arial"/>
                <w:color w:val="000000"/>
                <w:sz w:val="19"/>
                <w:szCs w:val="19"/>
                <w:lang w:eastAsia="es-MX"/>
              </w:rPr>
            </w:pPr>
            <w:r w:rsidRPr="00D93231">
              <w:rPr>
                <w:rFonts w:ascii="Arial" w:hAnsi="Arial" w:cs="Arial"/>
                <w:color w:val="000000"/>
                <w:sz w:val="19"/>
                <w:szCs w:val="19"/>
                <w:lang w:eastAsia="es-MX"/>
              </w:rPr>
              <w:t>Participaciones entre diferentes niveles y órdenes de gobierno</w:t>
            </w:r>
          </w:p>
        </w:tc>
        <w:tc>
          <w:tcPr>
            <w:tcW w:w="1725"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color w:val="000000"/>
                <w:sz w:val="19"/>
                <w:szCs w:val="19"/>
                <w:lang w:eastAsia="es-MX"/>
              </w:rPr>
            </w:pPr>
            <w:r w:rsidRPr="00D93231">
              <w:rPr>
                <w:rFonts w:ascii="Arial" w:hAnsi="Arial" w:cs="Arial"/>
                <w:color w:val="000000"/>
                <w:sz w:val="19"/>
                <w:szCs w:val="19"/>
                <w:lang w:eastAsia="es-MX"/>
              </w:rPr>
              <w:t>11,805,451,593.00</w:t>
            </w:r>
          </w:p>
        </w:tc>
        <w:tc>
          <w:tcPr>
            <w:tcW w:w="1638" w:type="dxa"/>
            <w:tcBorders>
              <w:top w:val="nil"/>
              <w:left w:val="nil"/>
              <w:bottom w:val="nil"/>
              <w:right w:val="nil"/>
            </w:tcBorders>
            <w:shd w:val="clear" w:color="auto" w:fill="auto"/>
            <w:noWrap/>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105"/>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638"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r>
      <w:tr w:rsidR="00D93231" w:rsidRPr="00D93231" w:rsidTr="00EE6297">
        <w:trPr>
          <w:trHeight w:val="300"/>
          <w:jc w:val="center"/>
        </w:trPr>
        <w:tc>
          <w:tcPr>
            <w:tcW w:w="180"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color w:val="000000"/>
                <w:sz w:val="19"/>
                <w:szCs w:val="19"/>
                <w:lang w:eastAsia="es-MX"/>
              </w:rPr>
            </w:pPr>
          </w:p>
        </w:tc>
        <w:tc>
          <w:tcPr>
            <w:tcW w:w="200"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3204" w:type="dxa"/>
            <w:tcBorders>
              <w:top w:val="nil"/>
              <w:left w:val="nil"/>
              <w:bottom w:val="nil"/>
              <w:right w:val="nil"/>
            </w:tcBorders>
            <w:shd w:val="clear" w:color="auto" w:fill="auto"/>
            <w:noWrap/>
            <w:vAlign w:val="bottom"/>
            <w:hideMark/>
          </w:tcPr>
          <w:p w:rsidR="00D93231" w:rsidRPr="00D93231" w:rsidRDefault="00D93231" w:rsidP="007D3E64">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vAlign w:val="center"/>
            <w:hideMark/>
          </w:tcPr>
          <w:p w:rsidR="00D93231" w:rsidRPr="00D93231" w:rsidRDefault="00D93231" w:rsidP="007D3E64">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1638" w:type="dxa"/>
            <w:tcBorders>
              <w:top w:val="nil"/>
              <w:left w:val="nil"/>
              <w:bottom w:val="nil"/>
              <w:right w:val="nil"/>
            </w:tcBorders>
            <w:shd w:val="clear" w:color="auto" w:fill="auto"/>
            <w:noWrap/>
            <w:vAlign w:val="center"/>
            <w:hideMark/>
          </w:tcPr>
          <w:p w:rsidR="00D93231" w:rsidRPr="00D93231" w:rsidRDefault="00D93231" w:rsidP="007D3E64">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b/>
          <w:sz w:val="19"/>
          <w:szCs w:val="19"/>
        </w:rPr>
      </w:pPr>
    </w:p>
    <w:p w:rsidR="00D93231" w:rsidRDefault="00D93231" w:rsidP="00D93231">
      <w:pPr>
        <w:jc w:val="both"/>
        <w:rPr>
          <w:rFonts w:ascii="Arial" w:hAnsi="Arial" w:cs="Arial"/>
          <w:sz w:val="19"/>
          <w:szCs w:val="19"/>
        </w:rPr>
      </w:pPr>
      <w:r w:rsidRPr="00D93231">
        <w:rPr>
          <w:rFonts w:ascii="Arial" w:hAnsi="Arial" w:cs="Arial"/>
          <w:b/>
          <w:sz w:val="19"/>
          <w:szCs w:val="19"/>
        </w:rPr>
        <w:t>Artículo 42.</w:t>
      </w:r>
      <w:r w:rsidRPr="00D93231">
        <w:rPr>
          <w:rFonts w:ascii="Arial" w:hAnsi="Arial" w:cs="Arial"/>
          <w:sz w:val="19"/>
          <w:szCs w:val="19"/>
        </w:rPr>
        <w:t xml:space="preserve"> Las asignaciones presupuestarias a los ejes de gobierno contenidos en el Plan Estatal de Desarrollo de Oaxaca 2011-2016, son las siguientes:</w:t>
      </w:r>
    </w:p>
    <w:p w:rsidR="00EE6297" w:rsidRPr="00D93231" w:rsidRDefault="00EE6297" w:rsidP="00D93231">
      <w:pPr>
        <w:jc w:val="both"/>
        <w:rPr>
          <w:rFonts w:ascii="Arial" w:hAnsi="Arial" w:cs="Arial"/>
          <w:sz w:val="19"/>
          <w:szCs w:val="19"/>
        </w:rPr>
      </w:pPr>
    </w:p>
    <w:tbl>
      <w:tblPr>
        <w:tblW w:w="6906" w:type="dxa"/>
        <w:jc w:val="center"/>
        <w:tblInd w:w="55" w:type="dxa"/>
        <w:tblCellMar>
          <w:left w:w="70" w:type="dxa"/>
          <w:right w:w="70" w:type="dxa"/>
        </w:tblCellMar>
        <w:tblLook w:val="04A0" w:firstRow="1" w:lastRow="0" w:firstColumn="1" w:lastColumn="0" w:noHBand="0" w:noVBand="1"/>
      </w:tblPr>
      <w:tblGrid>
        <w:gridCol w:w="4700"/>
        <w:gridCol w:w="2206"/>
      </w:tblGrid>
      <w:tr w:rsidR="00D93231" w:rsidRPr="00D93231" w:rsidTr="00D93231">
        <w:trPr>
          <w:trHeight w:val="300"/>
          <w:jc w:val="center"/>
        </w:trPr>
        <w:tc>
          <w:tcPr>
            <w:tcW w:w="47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2206"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Estado de Derecho, Gobernabilidad y Seguridad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17,342,079,539.88</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Crecimiento Económico, Competitividad y Empleo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4,628,959,990.50</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Desarrollo Social y Humano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34,146,954,363.88</w:t>
            </w:r>
          </w:p>
        </w:tc>
      </w:tr>
      <w:tr w:rsidR="00D93231" w:rsidRPr="00D93231" w:rsidTr="00D93231">
        <w:trPr>
          <w:trHeight w:val="360"/>
          <w:jc w:val="center"/>
        </w:trPr>
        <w:tc>
          <w:tcPr>
            <w:tcW w:w="4700"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 xml:space="preserve">Gobierno Honesto y de Resultados </w:t>
            </w:r>
          </w:p>
        </w:tc>
        <w:tc>
          <w:tcPr>
            <w:tcW w:w="2206"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4,377,055,384.74</w:t>
            </w:r>
          </w:p>
        </w:tc>
      </w:tr>
      <w:tr w:rsidR="00D93231" w:rsidRPr="00D93231" w:rsidTr="00D93231">
        <w:trPr>
          <w:trHeight w:val="300"/>
          <w:jc w:val="center"/>
        </w:trPr>
        <w:tc>
          <w:tcPr>
            <w:tcW w:w="4700" w:type="dxa"/>
            <w:tcBorders>
              <w:top w:val="nil"/>
              <w:left w:val="nil"/>
              <w:bottom w:val="nil"/>
              <w:right w:val="nil"/>
            </w:tcBorders>
            <w:shd w:val="clear" w:color="auto" w:fill="auto"/>
            <w:noWrap/>
            <w:vAlign w:val="center"/>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Total General</w:t>
            </w:r>
          </w:p>
        </w:tc>
        <w:tc>
          <w:tcPr>
            <w:tcW w:w="2206" w:type="dxa"/>
            <w:tcBorders>
              <w:top w:val="nil"/>
              <w:left w:val="nil"/>
              <w:bottom w:val="nil"/>
              <w:right w:val="nil"/>
            </w:tcBorders>
            <w:shd w:val="clear" w:color="auto" w:fill="auto"/>
            <w:noWrap/>
            <w:vAlign w:val="center"/>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60,495,049,279.00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43.</w:t>
      </w:r>
      <w:r w:rsidRPr="00D93231">
        <w:rPr>
          <w:rFonts w:ascii="Arial" w:hAnsi="Arial" w:cs="Arial"/>
          <w:sz w:val="19"/>
          <w:szCs w:val="19"/>
        </w:rPr>
        <w:t xml:space="preserve"> Las asignaciones presupuestarias a las Políticas Transversales contenidas en el Plan Estatal de Desarrollo de Oaxaca 2011-2016, se consideran conforme al </w:t>
      </w:r>
      <w:r w:rsidRPr="00D93231">
        <w:rPr>
          <w:rFonts w:ascii="Arial" w:hAnsi="Arial" w:cs="Arial"/>
          <w:b/>
          <w:sz w:val="19"/>
          <w:szCs w:val="19"/>
        </w:rPr>
        <w:t>Anexo 3</w:t>
      </w:r>
      <w:r w:rsidRPr="00D93231">
        <w:rPr>
          <w:rFonts w:ascii="Arial" w:hAnsi="Arial" w:cs="Arial"/>
          <w:sz w:val="19"/>
          <w:szCs w:val="19"/>
        </w:rPr>
        <w:t xml:space="preserve"> son:</w:t>
      </w:r>
    </w:p>
    <w:p w:rsidR="00D93231" w:rsidRPr="00D93231" w:rsidRDefault="00D93231" w:rsidP="00D93231">
      <w:pPr>
        <w:jc w:val="both"/>
        <w:rPr>
          <w:rFonts w:ascii="Arial" w:hAnsi="Arial" w:cs="Arial"/>
          <w:sz w:val="19"/>
          <w:szCs w:val="19"/>
        </w:rPr>
      </w:pPr>
    </w:p>
    <w:tbl>
      <w:tblPr>
        <w:tblW w:w="6806" w:type="dxa"/>
        <w:jc w:val="center"/>
        <w:tblInd w:w="55" w:type="dxa"/>
        <w:tblCellMar>
          <w:left w:w="70" w:type="dxa"/>
          <w:right w:w="70" w:type="dxa"/>
        </w:tblCellMar>
        <w:tblLook w:val="04A0" w:firstRow="1" w:lastRow="0" w:firstColumn="1" w:lastColumn="0" w:noHBand="0" w:noVBand="1"/>
      </w:tblPr>
      <w:tblGrid>
        <w:gridCol w:w="5027"/>
        <w:gridCol w:w="1779"/>
      </w:tblGrid>
      <w:tr w:rsidR="00D93231" w:rsidRPr="00D93231" w:rsidTr="007D3E64">
        <w:trPr>
          <w:trHeight w:val="30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1779"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Derechos Humanos</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31,487,376,847.18</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Equidad de Género</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4,443,700,054.58</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Pueblos Indígenas</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3,375,138,684.16</w:t>
            </w:r>
          </w:p>
        </w:tc>
      </w:tr>
      <w:tr w:rsidR="00D93231" w:rsidRPr="00D93231" w:rsidTr="007D3E64">
        <w:trPr>
          <w:trHeight w:val="360"/>
          <w:jc w:val="center"/>
        </w:trPr>
        <w:tc>
          <w:tcPr>
            <w:tcW w:w="5027"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Política transversal de Sustentabilidad</w:t>
            </w:r>
          </w:p>
        </w:tc>
        <w:tc>
          <w:tcPr>
            <w:tcW w:w="1779"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1,319,860,605.22</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lastRenderedPageBreak/>
        <w:t>Artículo 44.</w:t>
      </w:r>
      <w:r w:rsidRPr="00D93231">
        <w:rPr>
          <w:rFonts w:ascii="Arial" w:hAnsi="Arial" w:cs="Arial"/>
          <w:sz w:val="19"/>
          <w:szCs w:val="19"/>
        </w:rPr>
        <w:t xml:space="preserve"> Las asignaciones de la clasificación de Programas Presupuestarios, de acuerdo con las disposiciones emitidas por el Consejo Nacional de Armonización Contable, se distribuyen conforme a lo siguiente:</w:t>
      </w:r>
    </w:p>
    <w:p w:rsidR="00D93231" w:rsidRDefault="00D93231" w:rsidP="00D93231">
      <w:pPr>
        <w:jc w:val="both"/>
        <w:rPr>
          <w:rFonts w:ascii="Arial" w:hAnsi="Arial" w:cs="Arial"/>
          <w:sz w:val="2"/>
          <w:szCs w:val="19"/>
        </w:rPr>
      </w:pPr>
    </w:p>
    <w:p w:rsidR="00A22233" w:rsidRDefault="00A22233" w:rsidP="00D93231">
      <w:pPr>
        <w:jc w:val="both"/>
        <w:rPr>
          <w:rFonts w:ascii="Arial" w:hAnsi="Arial" w:cs="Arial"/>
          <w:sz w:val="2"/>
          <w:szCs w:val="19"/>
        </w:rPr>
      </w:pPr>
    </w:p>
    <w:p w:rsidR="00A22233" w:rsidRDefault="00A22233" w:rsidP="00D93231">
      <w:pPr>
        <w:jc w:val="both"/>
        <w:rPr>
          <w:rFonts w:ascii="Arial" w:hAnsi="Arial" w:cs="Arial"/>
          <w:sz w:val="2"/>
          <w:szCs w:val="19"/>
        </w:rPr>
      </w:pPr>
    </w:p>
    <w:p w:rsidR="00A22233" w:rsidRPr="00A22233" w:rsidRDefault="00A22233" w:rsidP="00D93231">
      <w:pPr>
        <w:jc w:val="both"/>
        <w:rPr>
          <w:rFonts w:ascii="Arial" w:hAnsi="Arial" w:cs="Arial"/>
          <w:sz w:val="2"/>
          <w:szCs w:val="19"/>
        </w:rPr>
      </w:pPr>
    </w:p>
    <w:tbl>
      <w:tblPr>
        <w:tblW w:w="6957" w:type="dxa"/>
        <w:tblInd w:w="59" w:type="dxa"/>
        <w:tblCellMar>
          <w:left w:w="70" w:type="dxa"/>
          <w:right w:w="70" w:type="dxa"/>
        </w:tblCellMar>
        <w:tblLook w:val="04A0" w:firstRow="1" w:lastRow="0" w:firstColumn="1" w:lastColumn="0" w:noHBand="0" w:noVBand="1"/>
      </w:tblPr>
      <w:tblGrid>
        <w:gridCol w:w="235"/>
        <w:gridCol w:w="236"/>
        <w:gridCol w:w="3108"/>
        <w:gridCol w:w="1725"/>
        <w:gridCol w:w="1725"/>
      </w:tblGrid>
      <w:tr w:rsidR="007D3E64" w:rsidRPr="00EE6297" w:rsidTr="00EE6297">
        <w:trPr>
          <w:trHeight w:val="450"/>
        </w:trPr>
        <w:tc>
          <w:tcPr>
            <w:tcW w:w="235"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center"/>
              <w:rPr>
                <w:rFonts w:ascii="Arial" w:hAnsi="Arial" w:cs="Arial"/>
                <w:b/>
                <w:bCs/>
                <w:color w:val="000000"/>
                <w:sz w:val="19"/>
                <w:szCs w:val="19"/>
                <w:lang w:eastAsia="es-MX"/>
              </w:rPr>
            </w:pPr>
            <w:r w:rsidRPr="00EE6297">
              <w:rPr>
                <w:rFonts w:ascii="Arial" w:hAnsi="Arial" w:cs="Arial"/>
                <w:b/>
                <w:bCs/>
                <w:color w:val="000000"/>
                <w:sz w:val="19"/>
                <w:szCs w:val="19"/>
                <w:lang w:eastAsia="es-MX"/>
              </w:rPr>
              <w:t>Pesos</w:t>
            </w:r>
          </w:p>
        </w:tc>
      </w:tr>
      <w:tr w:rsidR="007D3E64" w:rsidRPr="00EE6297" w:rsidTr="00EE6297">
        <w:trPr>
          <w:trHeight w:val="405"/>
        </w:trPr>
        <w:tc>
          <w:tcPr>
            <w:tcW w:w="3579" w:type="dxa"/>
            <w:gridSpan w:val="3"/>
            <w:tcBorders>
              <w:top w:val="nil"/>
              <w:left w:val="nil"/>
              <w:bottom w:val="nil"/>
              <w:right w:val="nil"/>
            </w:tcBorders>
            <w:shd w:val="clear" w:color="auto" w:fill="auto"/>
            <w:noWrap/>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Programas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46,707,454,705.33</w:t>
            </w:r>
          </w:p>
        </w:tc>
      </w:tr>
      <w:tr w:rsidR="007D3E64" w:rsidRPr="00EE6297" w:rsidTr="00EE6297">
        <w:trPr>
          <w:trHeight w:val="51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Subsidios: Sector Social y Privado o Entidades Federativas y Municipios</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746,485,173.39</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Sujetos a reglas de operación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660,000,539.06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Otros subsidios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86,484,634.33</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Desempeño de las Funciones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44,270,679,128.88</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Provisión de bienes públicos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22,000,000.00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Prestación de servicios públicos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39,104,599,748.48</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Promoción y fomento</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340,738,781.44</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Regulación y supervisión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115,805,334.16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Proyectos de inversión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3,875,530,924.66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Planeación, seguimiento y evaluación de políticas públicas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338,023,272.16</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Específicos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473,981,067.98</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Administrativos y de Apoyo</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1,634,002,646.12</w:t>
            </w:r>
          </w:p>
        </w:tc>
      </w:tr>
      <w:tr w:rsidR="007D3E64" w:rsidRPr="00EE6297" w:rsidTr="00EE6297">
        <w:trPr>
          <w:trHeight w:val="525"/>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Apoyo al proceso presupuestario y para mejorar la eficiencia institucional</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1,565,380,713.90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Apoyo a la función pública y al mejoramiento de la gestión</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68,621,932.22</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Obligaciones</w:t>
            </w:r>
          </w:p>
        </w:tc>
        <w:tc>
          <w:tcPr>
            <w:tcW w:w="1725"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56,287,756.94</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Pensiones y jubilaciones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56,287,756.94</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510"/>
        </w:trPr>
        <w:tc>
          <w:tcPr>
            <w:tcW w:w="357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lastRenderedPageBreak/>
              <w:t>Participaciones a Entidades Federativas y Municipios</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11,956,639,090.67</w:t>
            </w:r>
          </w:p>
        </w:tc>
      </w:tr>
      <w:tr w:rsidR="00D93231"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506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Participaciones a Entidades Federativas y Municipios</w:t>
            </w: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11,956,639,090.67</w:t>
            </w:r>
          </w:p>
        </w:tc>
      </w:tr>
      <w:tr w:rsidR="007D3E64" w:rsidRPr="00EE6297" w:rsidTr="00EE6297">
        <w:trPr>
          <w:trHeight w:val="42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Participaciones a Entidades Federativas y Municipios</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11,956,639,090.67</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7D3E64" w:rsidRPr="00EE6297" w:rsidTr="00EE6297">
        <w:trPr>
          <w:trHeight w:val="540"/>
        </w:trPr>
        <w:tc>
          <w:tcPr>
            <w:tcW w:w="3579" w:type="dxa"/>
            <w:gridSpan w:val="3"/>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1,830,955,483.00</w:t>
            </w:r>
          </w:p>
        </w:tc>
      </w:tr>
      <w:tr w:rsidR="007D3E64" w:rsidRPr="00EE6297" w:rsidTr="00EE6297">
        <w:trPr>
          <w:trHeight w:val="540"/>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344"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1,830,955,483.00</w:t>
            </w:r>
          </w:p>
        </w:tc>
      </w:tr>
      <w:tr w:rsidR="007D3E64" w:rsidRPr="00EE6297" w:rsidTr="00EE6297">
        <w:trPr>
          <w:trHeight w:val="525"/>
        </w:trPr>
        <w:tc>
          <w:tcPr>
            <w:tcW w:w="235"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center"/>
            <w:hideMark/>
          </w:tcPr>
          <w:p w:rsidR="00D93231" w:rsidRPr="00EE6297" w:rsidRDefault="00D93231" w:rsidP="00D93231">
            <w:pPr>
              <w:rPr>
                <w:rFonts w:ascii="Arial" w:hAnsi="Arial" w:cs="Arial"/>
                <w:color w:val="000000"/>
                <w:sz w:val="19"/>
                <w:szCs w:val="19"/>
                <w:lang w:eastAsia="es-MX"/>
              </w:rPr>
            </w:pPr>
          </w:p>
        </w:tc>
        <w:tc>
          <w:tcPr>
            <w:tcW w:w="3108" w:type="dxa"/>
            <w:tcBorders>
              <w:top w:val="nil"/>
              <w:left w:val="nil"/>
              <w:bottom w:val="nil"/>
              <w:right w:val="nil"/>
            </w:tcBorders>
            <w:shd w:val="clear" w:color="auto" w:fill="auto"/>
            <w:vAlign w:val="center"/>
            <w:hideMark/>
          </w:tcPr>
          <w:p w:rsidR="00D93231" w:rsidRPr="00EE6297" w:rsidRDefault="00D93231" w:rsidP="00D93231">
            <w:pPr>
              <w:rPr>
                <w:rFonts w:ascii="Arial" w:hAnsi="Arial" w:cs="Arial"/>
                <w:color w:val="000000"/>
                <w:sz w:val="19"/>
                <w:szCs w:val="19"/>
                <w:lang w:eastAsia="es-MX"/>
              </w:rPr>
            </w:pPr>
            <w:r w:rsidRPr="00EE6297">
              <w:rPr>
                <w:rFonts w:ascii="Arial" w:hAnsi="Arial" w:cs="Arial"/>
                <w:color w:val="000000"/>
                <w:sz w:val="19"/>
                <w:szCs w:val="19"/>
                <w:lang w:eastAsia="es-MX"/>
              </w:rPr>
              <w:t>Costo financiero, deuda o apoyos a deudores y ahorradores de la banca</w:t>
            </w:r>
          </w:p>
        </w:tc>
        <w:tc>
          <w:tcPr>
            <w:tcW w:w="1725"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color w:val="000000"/>
                <w:sz w:val="19"/>
                <w:szCs w:val="19"/>
                <w:lang w:eastAsia="es-MX"/>
              </w:rPr>
            </w:pPr>
            <w:r w:rsidRPr="00EE6297">
              <w:rPr>
                <w:rFonts w:ascii="Arial" w:hAnsi="Arial" w:cs="Arial"/>
                <w:color w:val="000000"/>
                <w:sz w:val="19"/>
                <w:szCs w:val="19"/>
                <w:lang w:eastAsia="es-MX"/>
              </w:rPr>
              <w:t>1,830,955,483.00</w:t>
            </w:r>
          </w:p>
        </w:tc>
        <w:tc>
          <w:tcPr>
            <w:tcW w:w="1653" w:type="dxa"/>
            <w:tcBorders>
              <w:top w:val="nil"/>
              <w:left w:val="nil"/>
              <w:bottom w:val="nil"/>
              <w:right w:val="nil"/>
            </w:tcBorders>
            <w:shd w:val="clear" w:color="auto" w:fill="auto"/>
            <w:noWrap/>
            <w:hideMark/>
          </w:tcPr>
          <w:p w:rsidR="00D93231" w:rsidRPr="00EE6297" w:rsidRDefault="00D93231" w:rsidP="00D93231">
            <w:pPr>
              <w:rPr>
                <w:rFonts w:ascii="Arial" w:hAnsi="Arial" w:cs="Arial"/>
                <w:color w:val="000000"/>
                <w:sz w:val="19"/>
                <w:szCs w:val="19"/>
                <w:lang w:eastAsia="es-MX"/>
              </w:rPr>
            </w:pPr>
          </w:p>
        </w:tc>
      </w:tr>
      <w:tr w:rsidR="00D93231" w:rsidRPr="00EE6297" w:rsidTr="00EE6297">
        <w:trPr>
          <w:trHeight w:val="420"/>
        </w:trPr>
        <w:tc>
          <w:tcPr>
            <w:tcW w:w="235"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236" w:type="dxa"/>
            <w:tcBorders>
              <w:top w:val="nil"/>
              <w:left w:val="nil"/>
              <w:bottom w:val="nil"/>
              <w:right w:val="nil"/>
            </w:tcBorders>
            <w:shd w:val="clear" w:color="auto" w:fill="auto"/>
            <w:noWrap/>
            <w:vAlign w:val="bottom"/>
            <w:hideMark/>
          </w:tcPr>
          <w:p w:rsidR="00D93231" w:rsidRPr="00EE6297" w:rsidRDefault="00D93231" w:rsidP="00D93231">
            <w:pPr>
              <w:rPr>
                <w:rFonts w:ascii="Arial" w:hAnsi="Arial" w:cs="Arial"/>
                <w:color w:val="000000"/>
                <w:sz w:val="19"/>
                <w:szCs w:val="19"/>
                <w:lang w:eastAsia="es-MX"/>
              </w:rPr>
            </w:pPr>
          </w:p>
        </w:tc>
        <w:tc>
          <w:tcPr>
            <w:tcW w:w="4833" w:type="dxa"/>
            <w:gridSpan w:val="2"/>
            <w:tcBorders>
              <w:top w:val="nil"/>
              <w:left w:val="nil"/>
              <w:bottom w:val="nil"/>
              <w:right w:val="nil"/>
            </w:tcBorders>
            <w:shd w:val="clear" w:color="auto" w:fill="auto"/>
            <w:vAlign w:val="center"/>
            <w:hideMark/>
          </w:tcPr>
          <w:p w:rsidR="00D93231" w:rsidRPr="00EE6297" w:rsidRDefault="00D93231" w:rsidP="00D93231">
            <w:pPr>
              <w:rPr>
                <w:rFonts w:ascii="Arial" w:hAnsi="Arial" w:cs="Arial"/>
                <w:b/>
                <w:bCs/>
                <w:color w:val="000000"/>
                <w:sz w:val="19"/>
                <w:szCs w:val="19"/>
                <w:lang w:eastAsia="es-MX"/>
              </w:rPr>
            </w:pPr>
            <w:r w:rsidRPr="00EE6297">
              <w:rPr>
                <w:rFonts w:ascii="Arial" w:hAnsi="Arial" w:cs="Arial"/>
                <w:b/>
                <w:bCs/>
                <w:color w:val="000000"/>
                <w:sz w:val="19"/>
                <w:szCs w:val="19"/>
                <w:lang w:eastAsia="es-MX"/>
              </w:rPr>
              <w:t>Total General</w:t>
            </w:r>
          </w:p>
        </w:tc>
        <w:tc>
          <w:tcPr>
            <w:tcW w:w="1653" w:type="dxa"/>
            <w:tcBorders>
              <w:top w:val="nil"/>
              <w:left w:val="nil"/>
              <w:bottom w:val="nil"/>
              <w:right w:val="nil"/>
            </w:tcBorders>
            <w:shd w:val="clear" w:color="auto" w:fill="auto"/>
            <w:noWrap/>
            <w:hideMark/>
          </w:tcPr>
          <w:p w:rsidR="00D93231" w:rsidRPr="00EE6297" w:rsidRDefault="00D93231" w:rsidP="00D93231">
            <w:pPr>
              <w:jc w:val="right"/>
              <w:rPr>
                <w:rFonts w:ascii="Arial" w:hAnsi="Arial" w:cs="Arial"/>
                <w:b/>
                <w:bCs/>
                <w:color w:val="000000"/>
                <w:sz w:val="19"/>
                <w:szCs w:val="19"/>
                <w:lang w:eastAsia="es-MX"/>
              </w:rPr>
            </w:pPr>
            <w:r w:rsidRPr="00EE6297">
              <w:rPr>
                <w:rFonts w:ascii="Arial" w:hAnsi="Arial" w:cs="Arial"/>
                <w:b/>
                <w:bCs/>
                <w:color w:val="000000"/>
                <w:sz w:val="19"/>
                <w:szCs w:val="19"/>
                <w:lang w:eastAsia="es-MX"/>
              </w:rPr>
              <w:t>60,495,049,279.00</w:t>
            </w:r>
          </w:p>
        </w:tc>
      </w:tr>
    </w:tbl>
    <w:p w:rsidR="00A22233" w:rsidRDefault="00A22233" w:rsidP="00D93231">
      <w:pPr>
        <w:jc w:val="both"/>
        <w:rPr>
          <w:rFonts w:ascii="Arial" w:hAnsi="Arial" w:cs="Arial"/>
          <w:b/>
          <w:sz w:val="19"/>
          <w:szCs w:val="19"/>
        </w:rPr>
      </w:pPr>
    </w:p>
    <w:p w:rsidR="00EE6297" w:rsidRPr="00D93231" w:rsidRDefault="00D93231" w:rsidP="00D93231">
      <w:pPr>
        <w:jc w:val="both"/>
        <w:rPr>
          <w:rFonts w:ascii="Arial" w:hAnsi="Arial" w:cs="Arial"/>
          <w:sz w:val="19"/>
          <w:szCs w:val="19"/>
        </w:rPr>
      </w:pPr>
      <w:r w:rsidRPr="00D93231">
        <w:rPr>
          <w:rFonts w:ascii="Arial" w:hAnsi="Arial" w:cs="Arial"/>
          <w:b/>
          <w:sz w:val="19"/>
          <w:szCs w:val="19"/>
        </w:rPr>
        <w:t>Artículo 45.</w:t>
      </w:r>
      <w:r w:rsidRPr="00D93231">
        <w:rPr>
          <w:rFonts w:ascii="Arial" w:hAnsi="Arial" w:cs="Arial"/>
          <w:sz w:val="19"/>
          <w:szCs w:val="19"/>
        </w:rPr>
        <w:t xml:space="preserve"> Las asignaciones atendiendo a la clasificación por fuentes de financiamiento, de acuerdo con las disposiciones emitidas por el Consejo Nacional de Armonización Contable, se distribuyen conforme a lo siguiente:</w:t>
      </w:r>
    </w:p>
    <w:tbl>
      <w:tblPr>
        <w:tblpPr w:leftFromText="141" w:rightFromText="141" w:vertAnchor="text" w:horzAnchor="margin" w:tblpXSpec="center" w:tblpY="500"/>
        <w:tblW w:w="6591" w:type="dxa"/>
        <w:tblLayout w:type="fixed"/>
        <w:tblCellMar>
          <w:left w:w="70" w:type="dxa"/>
          <w:right w:w="70" w:type="dxa"/>
        </w:tblCellMar>
        <w:tblLook w:val="04A0" w:firstRow="1" w:lastRow="0" w:firstColumn="1" w:lastColumn="0" w:noHBand="0" w:noVBand="1"/>
      </w:tblPr>
      <w:tblGrid>
        <w:gridCol w:w="3898"/>
        <w:gridCol w:w="2693"/>
      </w:tblGrid>
      <w:tr w:rsidR="00D93231" w:rsidRPr="00D93231" w:rsidTr="00A22233">
        <w:trPr>
          <w:trHeight w:val="300"/>
        </w:trPr>
        <w:tc>
          <w:tcPr>
            <w:tcW w:w="3898"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c>
          <w:tcPr>
            <w:tcW w:w="2693" w:type="dxa"/>
            <w:tcBorders>
              <w:top w:val="nil"/>
              <w:left w:val="nil"/>
              <w:bottom w:val="nil"/>
              <w:right w:val="nil"/>
            </w:tcBorders>
            <w:shd w:val="clear" w:color="auto" w:fill="auto"/>
            <w:noWrap/>
            <w:vAlign w:val="center"/>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Pesos</w:t>
            </w:r>
          </w:p>
          <w:p w:rsidR="00D93231" w:rsidRPr="00D93231" w:rsidRDefault="00D93231" w:rsidP="00D93231">
            <w:pPr>
              <w:jc w:val="center"/>
              <w:rPr>
                <w:rFonts w:ascii="Arial" w:hAnsi="Arial" w:cs="Arial"/>
                <w:b/>
                <w:bCs/>
                <w:color w:val="000000"/>
                <w:sz w:val="19"/>
                <w:szCs w:val="19"/>
                <w:lang w:eastAsia="es-MX"/>
              </w:rPr>
            </w:pPr>
          </w:p>
        </w:tc>
      </w:tr>
      <w:tr w:rsidR="00D93231" w:rsidRPr="00D93231" w:rsidTr="00A22233">
        <w:trPr>
          <w:trHeight w:val="360"/>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Recursos Fiscales</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3,021,824,292.00</w:t>
            </w:r>
          </w:p>
        </w:tc>
      </w:tr>
      <w:tr w:rsidR="00D93231" w:rsidRPr="00D93231" w:rsidTr="00A22233">
        <w:trPr>
          <w:trHeight w:val="345"/>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Recursos Federales</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 xml:space="preserve">57,473,224,987.00 </w:t>
            </w:r>
          </w:p>
        </w:tc>
      </w:tr>
      <w:tr w:rsidR="00D93231" w:rsidRPr="00D93231" w:rsidTr="00A22233">
        <w:trPr>
          <w:trHeight w:val="120"/>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2693"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color w:val="000000"/>
                <w:sz w:val="19"/>
                <w:szCs w:val="19"/>
                <w:lang w:eastAsia="es-MX"/>
              </w:rPr>
            </w:pPr>
          </w:p>
        </w:tc>
      </w:tr>
      <w:tr w:rsidR="00D93231" w:rsidRPr="00D93231" w:rsidTr="00A22233">
        <w:trPr>
          <w:trHeight w:val="495"/>
        </w:trPr>
        <w:tc>
          <w:tcPr>
            <w:tcW w:w="3898"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2693"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 60,495,049,279.00 </w:t>
            </w:r>
          </w:p>
        </w:tc>
      </w:tr>
    </w:tbl>
    <w:p w:rsidR="00A22233" w:rsidRDefault="00A22233" w:rsidP="00DC475F">
      <w:pPr>
        <w:rPr>
          <w:rFonts w:ascii="Arial" w:hAnsi="Arial" w:cs="Arial"/>
          <w:b/>
          <w:sz w:val="19"/>
          <w:szCs w:val="19"/>
        </w:rPr>
      </w:pPr>
    </w:p>
    <w:p w:rsidR="007F7F7F" w:rsidRDefault="007F7F7F" w:rsidP="00DC475F">
      <w:pPr>
        <w:rPr>
          <w:rFonts w:ascii="Arial" w:hAnsi="Arial" w:cs="Arial"/>
          <w:b/>
          <w:sz w:val="19"/>
          <w:szCs w:val="19"/>
        </w:rPr>
      </w:pPr>
    </w:p>
    <w:p w:rsidR="00A22233" w:rsidRDefault="00A22233" w:rsidP="00DC475F">
      <w:pPr>
        <w:rPr>
          <w:rFonts w:ascii="Arial" w:hAnsi="Arial" w:cs="Arial"/>
          <w:b/>
          <w:sz w:val="19"/>
          <w:szCs w:val="19"/>
        </w:rPr>
      </w:pPr>
    </w:p>
    <w:p w:rsidR="00A22233" w:rsidRDefault="00A22233" w:rsidP="00A22233">
      <w:pPr>
        <w:jc w:val="center"/>
        <w:rPr>
          <w:rFonts w:ascii="Arial" w:hAnsi="Arial" w:cs="Arial"/>
          <w:b/>
          <w:sz w:val="19"/>
          <w:szCs w:val="19"/>
        </w:rPr>
      </w:pPr>
    </w:p>
    <w:p w:rsidR="00A22233" w:rsidRDefault="00D93231" w:rsidP="00A22233">
      <w:pPr>
        <w:jc w:val="center"/>
        <w:rPr>
          <w:rFonts w:ascii="Arial" w:hAnsi="Arial" w:cs="Arial"/>
          <w:b/>
          <w:sz w:val="19"/>
          <w:szCs w:val="19"/>
        </w:rPr>
      </w:pPr>
      <w:r w:rsidRPr="00D93231">
        <w:rPr>
          <w:rFonts w:ascii="Arial" w:hAnsi="Arial" w:cs="Arial"/>
          <w:b/>
          <w:sz w:val="19"/>
          <w:szCs w:val="19"/>
        </w:rPr>
        <w:t>Título Cuarto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Fondos de Aportaciones Federales</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46.</w:t>
      </w:r>
      <w:r w:rsidRPr="00D93231">
        <w:rPr>
          <w:rFonts w:ascii="Arial" w:hAnsi="Arial" w:cs="Arial"/>
          <w:sz w:val="19"/>
          <w:szCs w:val="19"/>
        </w:rPr>
        <w:t xml:space="preserve"> Los Fondos de Aportaciones Federales, se constituyen con los recursos que para el ejercicio fiscal 2016, el Gobierno Federal transfiere al Estado a través del Ramo 33, condicionando su gasto al cumplimiento de los objetivos que para cada tipo de aportaciones se establezca.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Su ejercicio deberá cumplir con las disposiciones contenidas en la Ley de Coordinación Fiscal, Decreto de Presupuesto de Egresos de la Federación, Ley </w:t>
      </w:r>
      <w:r w:rsidRPr="00D93231">
        <w:rPr>
          <w:rFonts w:ascii="Arial" w:hAnsi="Arial" w:cs="Arial"/>
          <w:sz w:val="19"/>
          <w:szCs w:val="19"/>
        </w:rPr>
        <w:lastRenderedPageBreak/>
        <w:t xml:space="preserve">de Coordinación Fiscal para el Estado de Oaxaca, la Ley y demás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47.</w:t>
      </w:r>
      <w:r w:rsidRPr="00D93231">
        <w:rPr>
          <w:rFonts w:ascii="Arial" w:hAnsi="Arial" w:cs="Arial"/>
          <w:sz w:val="19"/>
          <w:szCs w:val="19"/>
        </w:rPr>
        <w:t xml:space="preserve"> Del Fondo de Aportaciones para la Nómina Educativa y Gasto Operativo, el Estado ejercerá la cantidad de $20,177,897,713.00 (Veinte mil ciento setenta y siete millones ochocientos noventa y siete mil setecientos trece pesos 00/100 M.N.), de acuerdo a las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48.</w:t>
      </w:r>
      <w:r w:rsidRPr="00D93231">
        <w:rPr>
          <w:rFonts w:ascii="Arial" w:hAnsi="Arial" w:cs="Arial"/>
          <w:sz w:val="19"/>
          <w:szCs w:val="19"/>
        </w:rPr>
        <w:t xml:space="preserve"> Del Fondo de Aportaciones para los Servicios de Salud, el Estado ejercerá la cantidad de $3</w:t>
      </w:r>
      <w:proofErr w:type="gramStart"/>
      <w:r w:rsidRPr="00D93231">
        <w:rPr>
          <w:rFonts w:ascii="Arial" w:hAnsi="Arial" w:cs="Arial"/>
          <w:sz w:val="19"/>
          <w:szCs w:val="19"/>
        </w:rPr>
        <w:t>,570,251,541.00</w:t>
      </w:r>
      <w:proofErr w:type="gramEnd"/>
      <w:r w:rsidRPr="00D93231">
        <w:rPr>
          <w:rFonts w:ascii="Arial" w:hAnsi="Arial" w:cs="Arial"/>
          <w:sz w:val="19"/>
          <w:szCs w:val="19"/>
        </w:rPr>
        <w:t xml:space="preserve"> (Tres mil quinientos setenta millones doscientos cincuenta y un mil quinientos cuarenta y un pesos 00/100 M.N.), de acuerdo a las disposiciones normativas aplicables.</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49.</w:t>
      </w:r>
      <w:r w:rsidRPr="00D93231">
        <w:rPr>
          <w:rFonts w:ascii="Arial" w:hAnsi="Arial" w:cs="Arial"/>
          <w:sz w:val="19"/>
          <w:szCs w:val="19"/>
        </w:rPr>
        <w:t xml:space="preserve"> Del Fondo de Aportaciones para l</w:t>
      </w:r>
      <w:r w:rsidR="0008416E">
        <w:rPr>
          <w:rFonts w:ascii="Arial" w:hAnsi="Arial" w:cs="Arial"/>
          <w:sz w:val="19"/>
          <w:szCs w:val="19"/>
        </w:rPr>
        <w:t>a Infraestructura Social</w:t>
      </w:r>
      <w:r w:rsidRPr="00D93231">
        <w:rPr>
          <w:rFonts w:ascii="Arial" w:hAnsi="Arial" w:cs="Arial"/>
          <w:sz w:val="19"/>
          <w:szCs w:val="19"/>
        </w:rPr>
        <w:t>, el Estado ejercerá la cantidad de $</w:t>
      </w:r>
      <w:r w:rsidR="0008416E">
        <w:rPr>
          <w:rFonts w:ascii="Arial" w:hAnsi="Arial" w:cs="Arial"/>
          <w:sz w:val="19"/>
          <w:szCs w:val="19"/>
        </w:rPr>
        <w:t>6</w:t>
      </w:r>
      <w:proofErr w:type="gramStart"/>
      <w:r w:rsidR="0008416E">
        <w:rPr>
          <w:rFonts w:ascii="Arial" w:hAnsi="Arial" w:cs="Arial"/>
          <w:sz w:val="19"/>
          <w:szCs w:val="19"/>
        </w:rPr>
        <w:t>,018,652,702</w:t>
      </w:r>
      <w:r w:rsidRPr="00D93231">
        <w:rPr>
          <w:rFonts w:ascii="Arial" w:hAnsi="Arial" w:cs="Arial"/>
          <w:sz w:val="19"/>
          <w:szCs w:val="19"/>
        </w:rPr>
        <w:t>.00</w:t>
      </w:r>
      <w:proofErr w:type="gramEnd"/>
      <w:r w:rsidRPr="00D93231">
        <w:rPr>
          <w:rFonts w:ascii="Arial" w:hAnsi="Arial" w:cs="Arial"/>
          <w:sz w:val="19"/>
          <w:szCs w:val="19"/>
        </w:rPr>
        <w:t xml:space="preserve"> (Se</w:t>
      </w:r>
      <w:r w:rsidR="0008416E">
        <w:rPr>
          <w:rFonts w:ascii="Arial" w:hAnsi="Arial" w:cs="Arial"/>
          <w:sz w:val="19"/>
          <w:szCs w:val="19"/>
        </w:rPr>
        <w:t>is mil dieciocho millones seis</w:t>
      </w:r>
      <w:r w:rsidRPr="00D93231">
        <w:rPr>
          <w:rFonts w:ascii="Arial" w:hAnsi="Arial" w:cs="Arial"/>
          <w:sz w:val="19"/>
          <w:szCs w:val="19"/>
        </w:rPr>
        <w:t xml:space="preserve">cientos </w:t>
      </w:r>
      <w:r w:rsidR="0008416E">
        <w:rPr>
          <w:rFonts w:ascii="Arial" w:hAnsi="Arial" w:cs="Arial"/>
          <w:sz w:val="19"/>
          <w:szCs w:val="19"/>
        </w:rPr>
        <w:t>cincuenta y dos mil setecientos dos</w:t>
      </w:r>
      <w:r w:rsidRPr="00D93231">
        <w:rPr>
          <w:rFonts w:ascii="Arial" w:hAnsi="Arial" w:cs="Arial"/>
          <w:sz w:val="19"/>
          <w:szCs w:val="19"/>
        </w:rPr>
        <w:t xml:space="preserve"> pesos 00/100 M.N.), de acuerdo a las disposiciones legales aplicables.</w:t>
      </w:r>
    </w:p>
    <w:p w:rsidR="0008416E" w:rsidRPr="00D93231" w:rsidRDefault="00D93231" w:rsidP="00D93231">
      <w:pPr>
        <w:jc w:val="both"/>
        <w:rPr>
          <w:rFonts w:ascii="Arial" w:hAnsi="Arial" w:cs="Arial"/>
          <w:sz w:val="19"/>
          <w:szCs w:val="19"/>
        </w:rPr>
      </w:pPr>
      <w:r w:rsidRPr="00D93231">
        <w:rPr>
          <w:rFonts w:ascii="Arial" w:hAnsi="Arial" w:cs="Arial"/>
          <w:sz w:val="19"/>
          <w:szCs w:val="19"/>
        </w:rPr>
        <w:t> </w:t>
      </w:r>
    </w:p>
    <w:tbl>
      <w:tblPr>
        <w:tblW w:w="7028" w:type="dxa"/>
        <w:jc w:val="center"/>
        <w:tblInd w:w="57" w:type="dxa"/>
        <w:tblLayout w:type="fixed"/>
        <w:tblCellMar>
          <w:left w:w="70" w:type="dxa"/>
          <w:right w:w="70" w:type="dxa"/>
        </w:tblCellMar>
        <w:tblLook w:val="04A0" w:firstRow="1" w:lastRow="0" w:firstColumn="1" w:lastColumn="0" w:noHBand="0" w:noVBand="1"/>
      </w:tblPr>
      <w:tblGrid>
        <w:gridCol w:w="402"/>
        <w:gridCol w:w="4884"/>
        <w:gridCol w:w="1742"/>
      </w:tblGrid>
      <w:tr w:rsidR="0008416E" w:rsidRPr="00D93231" w:rsidTr="004F141F">
        <w:trPr>
          <w:trHeight w:val="451"/>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p>
        </w:tc>
        <w:tc>
          <w:tcPr>
            <w:tcW w:w="1742" w:type="dxa"/>
            <w:tcBorders>
              <w:top w:val="nil"/>
              <w:left w:val="nil"/>
              <w:bottom w:val="nil"/>
              <w:right w:val="nil"/>
            </w:tcBorders>
            <w:shd w:val="clear" w:color="auto" w:fill="auto"/>
            <w:noWrap/>
            <w:hideMark/>
          </w:tcPr>
          <w:p w:rsidR="0008416E" w:rsidRPr="00D93231" w:rsidRDefault="0008416E" w:rsidP="004F141F">
            <w:pPr>
              <w:jc w:val="center"/>
              <w:rPr>
                <w:rFonts w:ascii="Arial" w:hAnsi="Arial" w:cs="Arial"/>
                <w:b/>
                <w:bCs/>
                <w:sz w:val="19"/>
                <w:szCs w:val="19"/>
              </w:rPr>
            </w:pPr>
            <w:r w:rsidRPr="00D93231">
              <w:rPr>
                <w:rFonts w:ascii="Arial" w:hAnsi="Arial" w:cs="Arial"/>
                <w:b/>
                <w:bCs/>
                <w:sz w:val="19"/>
                <w:szCs w:val="19"/>
              </w:rPr>
              <w:t xml:space="preserve">         Pesos</w:t>
            </w:r>
          </w:p>
        </w:tc>
      </w:tr>
      <w:tr w:rsidR="0008416E" w:rsidRPr="00D93231" w:rsidTr="004F141F">
        <w:trPr>
          <w:trHeight w:val="550"/>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r w:rsidRPr="00D93231">
              <w:rPr>
                <w:rFonts w:ascii="Arial" w:hAnsi="Arial" w:cs="Arial"/>
                <w:sz w:val="19"/>
                <w:szCs w:val="19"/>
              </w:rPr>
              <w:t>I</w:t>
            </w:r>
          </w:p>
        </w:tc>
        <w:tc>
          <w:tcPr>
            <w:tcW w:w="4884" w:type="dxa"/>
            <w:tcBorders>
              <w:top w:val="nil"/>
              <w:left w:val="nil"/>
              <w:bottom w:val="nil"/>
              <w:right w:val="nil"/>
            </w:tcBorders>
            <w:shd w:val="clear" w:color="auto" w:fill="auto"/>
            <w:hideMark/>
          </w:tcPr>
          <w:p w:rsidR="0008416E" w:rsidRPr="00D93231" w:rsidRDefault="0008416E" w:rsidP="0008416E">
            <w:pPr>
              <w:jc w:val="both"/>
              <w:rPr>
                <w:rFonts w:ascii="Arial" w:hAnsi="Arial" w:cs="Arial"/>
                <w:sz w:val="19"/>
                <w:szCs w:val="19"/>
              </w:rPr>
            </w:pPr>
            <w:r w:rsidRPr="00D93231">
              <w:rPr>
                <w:rFonts w:ascii="Arial" w:hAnsi="Arial" w:cs="Arial"/>
                <w:sz w:val="19"/>
                <w:szCs w:val="19"/>
              </w:rPr>
              <w:t xml:space="preserve">Fondo de Aportaciones </w:t>
            </w:r>
            <w:r>
              <w:rPr>
                <w:rFonts w:ascii="Arial" w:hAnsi="Arial" w:cs="Arial"/>
                <w:sz w:val="19"/>
                <w:szCs w:val="19"/>
              </w:rPr>
              <w:t>para la Infraestructura Social Estatal</w:t>
            </w:r>
            <w:r w:rsidRPr="00D93231">
              <w:rPr>
                <w:rFonts w:ascii="Arial" w:hAnsi="Arial" w:cs="Arial"/>
                <w:sz w:val="19"/>
                <w:szCs w:val="19"/>
              </w:rPr>
              <w:t xml:space="preserve"> </w:t>
            </w:r>
            <w:r w:rsidRPr="00D93231">
              <w:rPr>
                <w:rFonts w:ascii="Arial" w:hAnsi="Arial" w:cs="Arial"/>
                <w:b/>
                <w:bCs/>
                <w:sz w:val="19"/>
                <w:szCs w:val="19"/>
              </w:rPr>
              <w:t>(F</w:t>
            </w:r>
            <w:r>
              <w:rPr>
                <w:rFonts w:ascii="Arial" w:hAnsi="Arial" w:cs="Arial"/>
                <w:b/>
                <w:bCs/>
                <w:sz w:val="19"/>
                <w:szCs w:val="19"/>
              </w:rPr>
              <w:t>ISE</w:t>
            </w:r>
            <w:r w:rsidRPr="00D93231">
              <w:rPr>
                <w:rFonts w:ascii="Arial" w:hAnsi="Arial" w:cs="Arial"/>
                <w:b/>
                <w:bCs/>
                <w:sz w:val="19"/>
                <w:szCs w:val="19"/>
              </w:rPr>
              <w:t>)</w:t>
            </w: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r>
              <w:rPr>
                <w:rFonts w:ascii="Arial" w:hAnsi="Arial" w:cs="Arial"/>
                <w:sz w:val="19"/>
                <w:szCs w:val="19"/>
              </w:rPr>
              <w:t>729,548,082</w:t>
            </w:r>
            <w:r w:rsidRPr="00D93231">
              <w:rPr>
                <w:rFonts w:ascii="Arial" w:hAnsi="Arial" w:cs="Arial"/>
                <w:sz w:val="19"/>
                <w:szCs w:val="19"/>
              </w:rPr>
              <w:t>.00</w:t>
            </w:r>
          </w:p>
        </w:tc>
      </w:tr>
      <w:tr w:rsidR="0008416E" w:rsidRPr="00D93231" w:rsidTr="004F141F">
        <w:trPr>
          <w:trHeight w:val="550"/>
          <w:jc w:val="center"/>
        </w:trPr>
        <w:tc>
          <w:tcPr>
            <w:tcW w:w="402" w:type="dxa"/>
            <w:tcBorders>
              <w:top w:val="nil"/>
              <w:left w:val="nil"/>
              <w:bottom w:val="nil"/>
              <w:right w:val="nil"/>
            </w:tcBorders>
            <w:shd w:val="clear" w:color="auto" w:fill="auto"/>
            <w:noWrap/>
            <w:hideMark/>
          </w:tcPr>
          <w:p w:rsidR="0008416E" w:rsidRPr="00D93231" w:rsidRDefault="0008416E" w:rsidP="004F141F">
            <w:pPr>
              <w:rPr>
                <w:rFonts w:ascii="Arial" w:hAnsi="Arial" w:cs="Arial"/>
                <w:sz w:val="19"/>
                <w:szCs w:val="19"/>
              </w:rPr>
            </w:pPr>
            <w:r w:rsidRPr="00D93231">
              <w:rPr>
                <w:rFonts w:ascii="Arial" w:hAnsi="Arial" w:cs="Arial"/>
                <w:sz w:val="19"/>
                <w:szCs w:val="19"/>
              </w:rPr>
              <w:t>II</w:t>
            </w:r>
          </w:p>
        </w:tc>
        <w:tc>
          <w:tcPr>
            <w:tcW w:w="4884" w:type="dxa"/>
            <w:tcBorders>
              <w:top w:val="nil"/>
              <w:left w:val="nil"/>
              <w:bottom w:val="nil"/>
              <w:right w:val="nil"/>
            </w:tcBorders>
            <w:shd w:val="clear" w:color="auto" w:fill="auto"/>
            <w:hideMark/>
          </w:tcPr>
          <w:p w:rsidR="0008416E" w:rsidRPr="00D93231" w:rsidRDefault="0008416E" w:rsidP="0008416E">
            <w:pPr>
              <w:jc w:val="both"/>
              <w:rPr>
                <w:rFonts w:ascii="Arial" w:hAnsi="Arial" w:cs="Arial"/>
                <w:sz w:val="19"/>
                <w:szCs w:val="19"/>
              </w:rPr>
            </w:pPr>
            <w:r w:rsidRPr="00D93231">
              <w:rPr>
                <w:rFonts w:ascii="Arial" w:hAnsi="Arial" w:cs="Arial"/>
                <w:sz w:val="19"/>
                <w:szCs w:val="19"/>
              </w:rPr>
              <w:t xml:space="preserve">Fondo de Aportaciones </w:t>
            </w:r>
            <w:r>
              <w:rPr>
                <w:rFonts w:ascii="Arial" w:hAnsi="Arial" w:cs="Arial"/>
                <w:sz w:val="19"/>
                <w:szCs w:val="19"/>
              </w:rPr>
              <w:t xml:space="preserve">para la Infraestructura Social Municipal </w:t>
            </w:r>
            <w:r w:rsidRPr="00D93231">
              <w:rPr>
                <w:rFonts w:ascii="Arial" w:hAnsi="Arial" w:cs="Arial"/>
                <w:b/>
                <w:bCs/>
                <w:sz w:val="19"/>
                <w:szCs w:val="19"/>
              </w:rPr>
              <w:t>(FA</w:t>
            </w:r>
            <w:r>
              <w:rPr>
                <w:rFonts w:ascii="Arial" w:hAnsi="Arial" w:cs="Arial"/>
                <w:b/>
                <w:bCs/>
                <w:sz w:val="19"/>
                <w:szCs w:val="19"/>
              </w:rPr>
              <w:t>IS</w:t>
            </w:r>
            <w:r w:rsidRPr="00D93231">
              <w:rPr>
                <w:rFonts w:ascii="Arial" w:hAnsi="Arial" w:cs="Arial"/>
                <w:b/>
                <w:bCs/>
                <w:sz w:val="19"/>
                <w:szCs w:val="19"/>
              </w:rPr>
              <w:t>M</w:t>
            </w:r>
            <w:r>
              <w:rPr>
                <w:rFonts w:ascii="Arial" w:hAnsi="Arial" w:cs="Arial"/>
                <w:b/>
                <w:bCs/>
                <w:sz w:val="19"/>
                <w:szCs w:val="19"/>
              </w:rPr>
              <w:t>UN</w:t>
            </w:r>
            <w:r w:rsidRPr="00D93231">
              <w:rPr>
                <w:rFonts w:ascii="Arial" w:hAnsi="Arial" w:cs="Arial"/>
                <w:b/>
                <w:bCs/>
                <w:sz w:val="19"/>
                <w:szCs w:val="19"/>
              </w:rPr>
              <w:t>)</w:t>
            </w:r>
          </w:p>
        </w:tc>
        <w:tc>
          <w:tcPr>
            <w:tcW w:w="1742" w:type="dxa"/>
            <w:tcBorders>
              <w:top w:val="nil"/>
              <w:left w:val="nil"/>
              <w:bottom w:val="nil"/>
              <w:right w:val="nil"/>
            </w:tcBorders>
            <w:shd w:val="clear" w:color="auto" w:fill="auto"/>
            <w:noWrap/>
          </w:tcPr>
          <w:p w:rsidR="0008416E" w:rsidRPr="00D93231" w:rsidRDefault="0008416E" w:rsidP="0008416E">
            <w:pPr>
              <w:jc w:val="right"/>
              <w:rPr>
                <w:rFonts w:ascii="Arial" w:hAnsi="Arial" w:cs="Arial"/>
                <w:sz w:val="19"/>
                <w:szCs w:val="19"/>
              </w:rPr>
            </w:pPr>
            <w:r>
              <w:rPr>
                <w:rFonts w:ascii="Arial" w:hAnsi="Arial" w:cs="Arial"/>
                <w:sz w:val="19"/>
                <w:szCs w:val="19"/>
              </w:rPr>
              <w:t>5,289,104,620</w:t>
            </w:r>
            <w:r w:rsidRPr="00D93231">
              <w:rPr>
                <w:rFonts w:ascii="Arial" w:hAnsi="Arial" w:cs="Arial"/>
                <w:sz w:val="19"/>
                <w:szCs w:val="19"/>
              </w:rPr>
              <w:t>.00</w:t>
            </w:r>
          </w:p>
        </w:tc>
      </w:tr>
      <w:tr w:rsidR="0008416E" w:rsidRPr="00D93231" w:rsidTr="00E263ED">
        <w:trPr>
          <w:trHeight w:val="550"/>
          <w:jc w:val="center"/>
        </w:trPr>
        <w:tc>
          <w:tcPr>
            <w:tcW w:w="402" w:type="dxa"/>
            <w:tcBorders>
              <w:top w:val="nil"/>
              <w:left w:val="nil"/>
              <w:bottom w:val="nil"/>
              <w:right w:val="nil"/>
            </w:tcBorders>
            <w:shd w:val="clear" w:color="auto" w:fill="auto"/>
            <w:noWrap/>
            <w:vAlign w:val="bottom"/>
            <w:hideMark/>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hideMark/>
          </w:tcPr>
          <w:p w:rsidR="0008416E" w:rsidRPr="00D93231" w:rsidRDefault="0008416E" w:rsidP="004F141F">
            <w:pPr>
              <w:jc w:val="both"/>
              <w:rPr>
                <w:rFonts w:ascii="Arial" w:hAnsi="Arial" w:cs="Arial"/>
                <w:sz w:val="19"/>
                <w:szCs w:val="19"/>
              </w:rPr>
            </w:pPr>
            <w:r w:rsidRPr="00D93231">
              <w:rPr>
                <w:rFonts w:ascii="Arial" w:hAnsi="Arial" w:cs="Arial"/>
                <w:b/>
                <w:bCs/>
                <w:sz w:val="19"/>
                <w:szCs w:val="19"/>
              </w:rPr>
              <w:t>Total General</w:t>
            </w: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r>
              <w:rPr>
                <w:rFonts w:ascii="Arial" w:hAnsi="Arial" w:cs="Arial"/>
                <w:b/>
                <w:bCs/>
                <w:sz w:val="19"/>
                <w:szCs w:val="19"/>
              </w:rPr>
              <w:t>6,018,652,702</w:t>
            </w:r>
            <w:r w:rsidRPr="00D93231">
              <w:rPr>
                <w:rFonts w:ascii="Arial" w:hAnsi="Arial" w:cs="Arial"/>
                <w:b/>
                <w:bCs/>
                <w:sz w:val="19"/>
                <w:szCs w:val="19"/>
              </w:rPr>
              <w:t>.00</w:t>
            </w:r>
          </w:p>
        </w:tc>
      </w:tr>
      <w:tr w:rsidR="0008416E" w:rsidRPr="00D93231" w:rsidTr="004D231B">
        <w:trPr>
          <w:trHeight w:val="550"/>
          <w:jc w:val="center"/>
        </w:trPr>
        <w:tc>
          <w:tcPr>
            <w:tcW w:w="402" w:type="dxa"/>
            <w:tcBorders>
              <w:top w:val="nil"/>
              <w:left w:val="nil"/>
              <w:bottom w:val="nil"/>
              <w:right w:val="nil"/>
            </w:tcBorders>
            <w:shd w:val="clear" w:color="auto" w:fill="auto"/>
            <w:noWrap/>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tcPr>
          <w:p w:rsidR="0008416E" w:rsidRPr="00D93231" w:rsidRDefault="0008416E" w:rsidP="004F141F">
            <w:pPr>
              <w:jc w:val="both"/>
              <w:rPr>
                <w:rFonts w:ascii="Arial" w:hAnsi="Arial" w:cs="Arial"/>
                <w:sz w:val="19"/>
                <w:szCs w:val="19"/>
              </w:rPr>
            </w:pP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sz w:val="19"/>
                <w:szCs w:val="19"/>
              </w:rPr>
            </w:pPr>
          </w:p>
        </w:tc>
      </w:tr>
      <w:tr w:rsidR="0008416E" w:rsidRPr="00D93231" w:rsidTr="004D231B">
        <w:trPr>
          <w:trHeight w:val="329"/>
          <w:jc w:val="center"/>
        </w:trPr>
        <w:tc>
          <w:tcPr>
            <w:tcW w:w="402" w:type="dxa"/>
            <w:tcBorders>
              <w:top w:val="nil"/>
              <w:left w:val="nil"/>
              <w:bottom w:val="nil"/>
              <w:right w:val="nil"/>
            </w:tcBorders>
            <w:shd w:val="clear" w:color="auto" w:fill="auto"/>
            <w:noWrap/>
            <w:vAlign w:val="bottom"/>
          </w:tcPr>
          <w:p w:rsidR="0008416E" w:rsidRPr="00D93231" w:rsidRDefault="0008416E" w:rsidP="004F141F">
            <w:pPr>
              <w:rPr>
                <w:rFonts w:ascii="Arial" w:hAnsi="Arial" w:cs="Arial"/>
                <w:sz w:val="19"/>
                <w:szCs w:val="19"/>
              </w:rPr>
            </w:pPr>
          </w:p>
        </w:tc>
        <w:tc>
          <w:tcPr>
            <w:tcW w:w="4884" w:type="dxa"/>
            <w:tcBorders>
              <w:top w:val="nil"/>
              <w:left w:val="nil"/>
              <w:bottom w:val="nil"/>
              <w:right w:val="nil"/>
            </w:tcBorders>
            <w:shd w:val="clear" w:color="auto" w:fill="auto"/>
            <w:noWrap/>
          </w:tcPr>
          <w:p w:rsidR="0008416E" w:rsidRPr="00D93231" w:rsidRDefault="0008416E" w:rsidP="004F141F">
            <w:pPr>
              <w:rPr>
                <w:rFonts w:ascii="Arial" w:hAnsi="Arial" w:cs="Arial"/>
                <w:b/>
                <w:bCs/>
                <w:sz w:val="19"/>
                <w:szCs w:val="19"/>
              </w:rPr>
            </w:pPr>
          </w:p>
        </w:tc>
        <w:tc>
          <w:tcPr>
            <w:tcW w:w="1742" w:type="dxa"/>
            <w:tcBorders>
              <w:top w:val="nil"/>
              <w:left w:val="nil"/>
              <w:bottom w:val="nil"/>
              <w:right w:val="nil"/>
            </w:tcBorders>
            <w:shd w:val="clear" w:color="auto" w:fill="auto"/>
            <w:noWrap/>
          </w:tcPr>
          <w:p w:rsidR="0008416E" w:rsidRPr="00D93231" w:rsidRDefault="0008416E" w:rsidP="004F141F">
            <w:pPr>
              <w:jc w:val="right"/>
              <w:rPr>
                <w:rFonts w:ascii="Arial" w:hAnsi="Arial" w:cs="Arial"/>
                <w:b/>
                <w:bCs/>
                <w:sz w:val="19"/>
                <w:szCs w:val="19"/>
              </w:rPr>
            </w:pPr>
          </w:p>
        </w:tc>
      </w:tr>
    </w:tbl>
    <w:p w:rsidR="00D93231" w:rsidRPr="00D93231" w:rsidRDefault="00D93231" w:rsidP="00D93231">
      <w:pPr>
        <w:jc w:val="both"/>
        <w:rPr>
          <w:rFonts w:ascii="Arial" w:hAnsi="Arial" w:cs="Arial"/>
          <w:sz w:val="19"/>
          <w:szCs w:val="19"/>
        </w:rPr>
      </w:pPr>
    </w:p>
    <w:p w:rsidR="00A22233" w:rsidRDefault="00D93231" w:rsidP="00D93231">
      <w:pPr>
        <w:jc w:val="both"/>
        <w:rPr>
          <w:rFonts w:ascii="Arial" w:hAnsi="Arial" w:cs="Arial"/>
          <w:sz w:val="19"/>
          <w:szCs w:val="19"/>
        </w:rPr>
      </w:pPr>
      <w:r w:rsidRPr="00D93231">
        <w:rPr>
          <w:rFonts w:ascii="Arial" w:hAnsi="Arial" w:cs="Arial"/>
          <w:b/>
          <w:sz w:val="19"/>
          <w:szCs w:val="19"/>
        </w:rPr>
        <w:t>Artículo 50.</w:t>
      </w:r>
      <w:r w:rsidRPr="00D93231">
        <w:rPr>
          <w:rFonts w:ascii="Arial" w:hAnsi="Arial" w:cs="Arial"/>
          <w:sz w:val="19"/>
          <w:szCs w:val="19"/>
        </w:rPr>
        <w:t xml:space="preserve"> Del Fondo de Aportaciones Múltiples, el Estado ejercerá la cantidad de $925</w:t>
      </w:r>
      <w:proofErr w:type="gramStart"/>
      <w:r w:rsidRPr="00D93231">
        <w:rPr>
          <w:rFonts w:ascii="Arial" w:hAnsi="Arial" w:cs="Arial"/>
          <w:sz w:val="19"/>
          <w:szCs w:val="19"/>
        </w:rPr>
        <w:t>,429,987.00</w:t>
      </w:r>
      <w:proofErr w:type="gramEnd"/>
      <w:r w:rsidRPr="00D93231">
        <w:rPr>
          <w:rFonts w:ascii="Arial" w:hAnsi="Arial" w:cs="Arial"/>
          <w:sz w:val="19"/>
          <w:szCs w:val="19"/>
        </w:rPr>
        <w:t xml:space="preserve"> (Novecientos veinticinco millones cuatrocientos veintinueve mil novecientos ochenta y siete pesos 00/100 M.N.), misma que se integra de los siguientes Sub-fondos:</w:t>
      </w:r>
    </w:p>
    <w:p w:rsidR="00A22233" w:rsidRPr="00D93231" w:rsidRDefault="00A22233" w:rsidP="00D93231">
      <w:pPr>
        <w:jc w:val="both"/>
        <w:rPr>
          <w:rFonts w:ascii="Arial" w:hAnsi="Arial" w:cs="Arial"/>
          <w:sz w:val="19"/>
          <w:szCs w:val="19"/>
        </w:rPr>
      </w:pPr>
    </w:p>
    <w:tbl>
      <w:tblPr>
        <w:tblW w:w="7028" w:type="dxa"/>
        <w:jc w:val="center"/>
        <w:tblInd w:w="57" w:type="dxa"/>
        <w:tblLayout w:type="fixed"/>
        <w:tblCellMar>
          <w:left w:w="70" w:type="dxa"/>
          <w:right w:w="70" w:type="dxa"/>
        </w:tblCellMar>
        <w:tblLook w:val="04A0" w:firstRow="1" w:lastRow="0" w:firstColumn="1" w:lastColumn="0" w:noHBand="0" w:noVBand="1"/>
      </w:tblPr>
      <w:tblGrid>
        <w:gridCol w:w="402"/>
        <w:gridCol w:w="4884"/>
        <w:gridCol w:w="1742"/>
      </w:tblGrid>
      <w:tr w:rsidR="00D93231" w:rsidRPr="00D93231" w:rsidTr="00EE6297">
        <w:trPr>
          <w:trHeight w:val="451"/>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p>
        </w:tc>
        <w:tc>
          <w:tcPr>
            <w:tcW w:w="4884"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p>
        </w:tc>
        <w:tc>
          <w:tcPr>
            <w:tcW w:w="1742"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sz w:val="19"/>
                <w:szCs w:val="19"/>
              </w:rPr>
            </w:pPr>
            <w:r w:rsidRPr="00D93231">
              <w:rPr>
                <w:rFonts w:ascii="Arial" w:hAnsi="Arial" w:cs="Arial"/>
                <w:b/>
                <w:bCs/>
                <w:sz w:val="19"/>
                <w:szCs w:val="19"/>
              </w:rPr>
              <w:t xml:space="preserve">         Pesos</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Asistencia Social </w:t>
            </w:r>
            <w:r w:rsidRPr="00D93231">
              <w:rPr>
                <w:rFonts w:ascii="Arial" w:hAnsi="Arial" w:cs="Arial"/>
                <w:b/>
                <w:bCs/>
                <w:sz w:val="19"/>
                <w:szCs w:val="19"/>
              </w:rPr>
              <w:t>(FAM-FASS)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566,573,245.00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lastRenderedPageBreak/>
              <w:t>II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Básica </w:t>
            </w:r>
            <w:r w:rsidRPr="00D93231">
              <w:rPr>
                <w:rFonts w:ascii="Arial" w:hAnsi="Arial" w:cs="Arial"/>
                <w:b/>
                <w:bCs/>
                <w:sz w:val="19"/>
                <w:szCs w:val="19"/>
              </w:rPr>
              <w:t>(FAM-FAIEB)</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317,041,447.00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III</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Superior </w:t>
            </w:r>
            <w:r w:rsidRPr="00D93231">
              <w:rPr>
                <w:rFonts w:ascii="Arial" w:hAnsi="Arial" w:cs="Arial"/>
                <w:b/>
                <w:bCs/>
                <w:sz w:val="19"/>
                <w:szCs w:val="19"/>
              </w:rPr>
              <w:t>(FAM-FAIES)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25,488,615.00</w:t>
            </w:r>
          </w:p>
        </w:tc>
      </w:tr>
      <w:tr w:rsidR="00D93231" w:rsidRPr="00D93231" w:rsidTr="00EE6297">
        <w:trPr>
          <w:trHeight w:val="550"/>
          <w:jc w:val="center"/>
        </w:trPr>
        <w:tc>
          <w:tcPr>
            <w:tcW w:w="402" w:type="dxa"/>
            <w:tcBorders>
              <w:top w:val="nil"/>
              <w:left w:val="nil"/>
              <w:bottom w:val="nil"/>
              <w:right w:val="nil"/>
            </w:tcBorders>
            <w:shd w:val="clear" w:color="auto" w:fill="auto"/>
            <w:noWrap/>
            <w:hideMark/>
          </w:tcPr>
          <w:p w:rsidR="00D93231" w:rsidRPr="00D93231" w:rsidRDefault="00D93231" w:rsidP="00D93231">
            <w:pPr>
              <w:rPr>
                <w:rFonts w:ascii="Arial" w:hAnsi="Arial" w:cs="Arial"/>
                <w:sz w:val="19"/>
                <w:szCs w:val="19"/>
              </w:rPr>
            </w:pPr>
            <w:r w:rsidRPr="00D93231">
              <w:rPr>
                <w:rFonts w:ascii="Arial" w:hAnsi="Arial" w:cs="Arial"/>
                <w:sz w:val="19"/>
                <w:szCs w:val="19"/>
              </w:rPr>
              <w:t>IV</w:t>
            </w:r>
          </w:p>
        </w:tc>
        <w:tc>
          <w:tcPr>
            <w:tcW w:w="4884" w:type="dxa"/>
            <w:tcBorders>
              <w:top w:val="nil"/>
              <w:left w:val="nil"/>
              <w:bottom w:val="nil"/>
              <w:right w:val="nil"/>
            </w:tcBorders>
            <w:shd w:val="clear" w:color="auto" w:fill="auto"/>
            <w:hideMark/>
          </w:tcPr>
          <w:p w:rsidR="00D93231" w:rsidRPr="00D93231" w:rsidRDefault="00D93231" w:rsidP="00D93231">
            <w:pPr>
              <w:jc w:val="both"/>
              <w:rPr>
                <w:rFonts w:ascii="Arial" w:hAnsi="Arial" w:cs="Arial"/>
                <w:sz w:val="19"/>
                <w:szCs w:val="19"/>
              </w:rPr>
            </w:pPr>
            <w:r w:rsidRPr="00D93231">
              <w:rPr>
                <w:rFonts w:ascii="Arial" w:hAnsi="Arial" w:cs="Arial"/>
                <w:sz w:val="19"/>
                <w:szCs w:val="19"/>
              </w:rPr>
              <w:t xml:space="preserve">Fondo de Aportaciones Múltiples para la Infraestructura Educativa Media Superior </w:t>
            </w:r>
            <w:r w:rsidRPr="00D93231">
              <w:rPr>
                <w:rFonts w:ascii="Arial" w:hAnsi="Arial" w:cs="Arial"/>
                <w:b/>
                <w:bCs/>
                <w:sz w:val="19"/>
                <w:szCs w:val="19"/>
              </w:rPr>
              <w:t>(FAM-FAIEMS)</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sz w:val="19"/>
                <w:szCs w:val="19"/>
              </w:rPr>
            </w:pPr>
            <w:r w:rsidRPr="00D93231">
              <w:rPr>
                <w:rFonts w:ascii="Arial" w:hAnsi="Arial" w:cs="Arial"/>
                <w:sz w:val="19"/>
                <w:szCs w:val="19"/>
              </w:rPr>
              <w:t>16,326,680.00</w:t>
            </w:r>
          </w:p>
        </w:tc>
      </w:tr>
      <w:tr w:rsidR="00D93231" w:rsidRPr="00D93231" w:rsidTr="00EE6297">
        <w:trPr>
          <w:trHeight w:val="329"/>
          <w:jc w:val="center"/>
        </w:trPr>
        <w:tc>
          <w:tcPr>
            <w:tcW w:w="402" w:type="dxa"/>
            <w:tcBorders>
              <w:top w:val="nil"/>
              <w:left w:val="nil"/>
              <w:bottom w:val="nil"/>
              <w:right w:val="nil"/>
            </w:tcBorders>
            <w:shd w:val="clear" w:color="auto" w:fill="auto"/>
            <w:noWrap/>
            <w:vAlign w:val="bottom"/>
            <w:hideMark/>
          </w:tcPr>
          <w:p w:rsidR="00D93231" w:rsidRPr="00D93231" w:rsidRDefault="00D93231" w:rsidP="00D93231">
            <w:pPr>
              <w:rPr>
                <w:rFonts w:ascii="Arial" w:hAnsi="Arial" w:cs="Arial"/>
                <w:sz w:val="19"/>
                <w:szCs w:val="19"/>
              </w:rPr>
            </w:pPr>
          </w:p>
        </w:tc>
        <w:tc>
          <w:tcPr>
            <w:tcW w:w="4884" w:type="dxa"/>
            <w:tcBorders>
              <w:top w:val="nil"/>
              <w:left w:val="nil"/>
              <w:bottom w:val="nil"/>
              <w:right w:val="nil"/>
            </w:tcBorders>
            <w:shd w:val="clear" w:color="auto" w:fill="auto"/>
            <w:noWrap/>
            <w:hideMark/>
          </w:tcPr>
          <w:p w:rsidR="00D93231" w:rsidRPr="00D93231" w:rsidRDefault="00D93231" w:rsidP="00D93231">
            <w:pPr>
              <w:rPr>
                <w:rFonts w:ascii="Arial" w:hAnsi="Arial" w:cs="Arial"/>
                <w:b/>
                <w:bCs/>
                <w:sz w:val="19"/>
                <w:szCs w:val="19"/>
              </w:rPr>
            </w:pPr>
            <w:r w:rsidRPr="00D93231">
              <w:rPr>
                <w:rFonts w:ascii="Arial" w:hAnsi="Arial" w:cs="Arial"/>
                <w:b/>
                <w:bCs/>
                <w:sz w:val="19"/>
                <w:szCs w:val="19"/>
              </w:rPr>
              <w:t>Total General</w:t>
            </w:r>
          </w:p>
        </w:tc>
        <w:tc>
          <w:tcPr>
            <w:tcW w:w="1742" w:type="dxa"/>
            <w:tcBorders>
              <w:top w:val="nil"/>
              <w:left w:val="nil"/>
              <w:bottom w:val="nil"/>
              <w:right w:val="nil"/>
            </w:tcBorders>
            <w:shd w:val="clear" w:color="auto" w:fill="auto"/>
            <w:noWrap/>
          </w:tcPr>
          <w:p w:rsidR="00D93231" w:rsidRPr="00D93231" w:rsidRDefault="00D93231" w:rsidP="00D93231">
            <w:pPr>
              <w:jc w:val="right"/>
              <w:rPr>
                <w:rFonts w:ascii="Arial" w:hAnsi="Arial" w:cs="Arial"/>
                <w:b/>
                <w:bCs/>
                <w:sz w:val="19"/>
                <w:szCs w:val="19"/>
              </w:rPr>
            </w:pPr>
            <w:r w:rsidRPr="00D93231">
              <w:rPr>
                <w:rFonts w:ascii="Arial" w:hAnsi="Arial" w:cs="Arial"/>
                <w:b/>
                <w:bCs/>
                <w:sz w:val="19"/>
                <w:szCs w:val="19"/>
              </w:rPr>
              <w:t>925,429,987.00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51.</w:t>
      </w:r>
      <w:r w:rsidRPr="00D93231">
        <w:rPr>
          <w:rFonts w:ascii="Arial" w:hAnsi="Arial" w:cs="Arial"/>
          <w:sz w:val="19"/>
          <w:szCs w:val="19"/>
        </w:rPr>
        <w:t xml:space="preserve"> Del Fondo de Aportaciones para la Educación Tecnológica y de Adultos, el Estado ejercerá la cantidad de $127</w:t>
      </w:r>
      <w:proofErr w:type="gramStart"/>
      <w:r w:rsidRPr="00D93231">
        <w:rPr>
          <w:rFonts w:ascii="Arial" w:hAnsi="Arial" w:cs="Arial"/>
          <w:sz w:val="19"/>
          <w:szCs w:val="19"/>
        </w:rPr>
        <w:t>,866,611.00</w:t>
      </w:r>
      <w:proofErr w:type="gramEnd"/>
      <w:r w:rsidRPr="00D93231">
        <w:rPr>
          <w:rFonts w:ascii="Arial" w:hAnsi="Arial" w:cs="Arial"/>
          <w:sz w:val="19"/>
          <w:szCs w:val="19"/>
        </w:rPr>
        <w:t xml:space="preserve"> (Ciento veintisiete millones ochocientos sesenta y seis mil seiscientos once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52.</w:t>
      </w:r>
      <w:r w:rsidRPr="00D93231">
        <w:rPr>
          <w:rFonts w:ascii="Arial" w:hAnsi="Arial" w:cs="Arial"/>
          <w:sz w:val="19"/>
          <w:szCs w:val="19"/>
        </w:rPr>
        <w:t xml:space="preserve"> Del Fondo de Aportaciones para la Seguridad Pública de los Estados y del Distrito Federal, el Estado ejercerá la cantidad de $266</w:t>
      </w:r>
      <w:proofErr w:type="gramStart"/>
      <w:r w:rsidRPr="00D93231">
        <w:rPr>
          <w:rFonts w:ascii="Arial" w:hAnsi="Arial" w:cs="Arial"/>
          <w:sz w:val="19"/>
          <w:szCs w:val="19"/>
        </w:rPr>
        <w:t>,618,548.00</w:t>
      </w:r>
      <w:proofErr w:type="gramEnd"/>
      <w:r w:rsidRPr="00D93231">
        <w:rPr>
          <w:rFonts w:ascii="Arial" w:hAnsi="Arial" w:cs="Arial"/>
          <w:sz w:val="19"/>
          <w:szCs w:val="19"/>
        </w:rPr>
        <w:t xml:space="preserve"> (Doscientos sesenta y seis millones seiscientos dieciocho mil quinientos cuarenta y ocho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53.</w:t>
      </w:r>
      <w:r w:rsidRPr="00D93231">
        <w:rPr>
          <w:rFonts w:ascii="Arial" w:hAnsi="Arial" w:cs="Arial"/>
          <w:sz w:val="19"/>
          <w:szCs w:val="19"/>
        </w:rPr>
        <w:t xml:space="preserve"> Del Fondo de Aportaciones para el Fortalecimiento de las Entidades Federativas, el Estado ejercerá la cantidad de $1</w:t>
      </w:r>
      <w:proofErr w:type="gramStart"/>
      <w:r w:rsidRPr="00D93231">
        <w:rPr>
          <w:rFonts w:ascii="Arial" w:hAnsi="Arial" w:cs="Arial"/>
          <w:sz w:val="19"/>
          <w:szCs w:val="19"/>
        </w:rPr>
        <w:t>,335,817,022.00</w:t>
      </w:r>
      <w:proofErr w:type="gramEnd"/>
      <w:r w:rsidRPr="00D93231">
        <w:rPr>
          <w:rFonts w:ascii="Arial" w:hAnsi="Arial" w:cs="Arial"/>
          <w:sz w:val="19"/>
          <w:szCs w:val="19"/>
        </w:rPr>
        <w:t xml:space="preserve"> (Un mil trescientos treinta y cinco millones ochocientos diecisiete mil veintidós pesos 00/100 M.N.).</w:t>
      </w:r>
    </w:p>
    <w:p w:rsidR="00D93231" w:rsidRPr="00D93231" w:rsidRDefault="00D93231" w:rsidP="00D93231">
      <w:pPr>
        <w:jc w:val="both"/>
        <w:rPr>
          <w:rFonts w:ascii="Arial" w:hAnsi="Arial" w:cs="Arial"/>
          <w:sz w:val="19"/>
          <w:szCs w:val="19"/>
        </w:rPr>
      </w:pPr>
      <w:r w:rsidRPr="00D93231">
        <w:rPr>
          <w:rFonts w:ascii="Arial" w:hAnsi="Arial" w:cs="Arial"/>
          <w:sz w:val="19"/>
          <w:szCs w:val="19"/>
        </w:rPr>
        <w:t> </w:t>
      </w: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54.</w:t>
      </w:r>
      <w:r w:rsidRPr="00D93231">
        <w:rPr>
          <w:rFonts w:ascii="Arial" w:hAnsi="Arial" w:cs="Arial"/>
          <w:sz w:val="19"/>
          <w:szCs w:val="19"/>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Los montos señalados en este Título estarán sujetos a reducción o ampliación, según sea el caso, dependiendo del importe que oficialmente comuniquen al Estado las Dependencias o Entidades Federales que correspondan.</w:t>
      </w:r>
    </w:p>
    <w:p w:rsidR="00DC475F" w:rsidRPr="00D93231" w:rsidRDefault="00DC475F" w:rsidP="00D93231">
      <w:pP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Quinto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Gasto Federal</w:t>
      </w:r>
      <w:r w:rsidR="0008416E">
        <w:rPr>
          <w:rFonts w:ascii="Arial" w:hAnsi="Arial" w:cs="Arial"/>
          <w:b/>
          <w:sz w:val="19"/>
          <w:szCs w:val="19"/>
        </w:rPr>
        <w:t>izado</w:t>
      </w:r>
    </w:p>
    <w:p w:rsidR="00D93231" w:rsidRPr="00D93231" w:rsidRDefault="00D93231" w:rsidP="00D93231">
      <w:pPr>
        <w:jc w:val="center"/>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55.</w:t>
      </w:r>
      <w:r w:rsidRPr="00D93231">
        <w:rPr>
          <w:rFonts w:ascii="Arial" w:hAnsi="Arial" w:cs="Arial"/>
          <w:sz w:val="19"/>
          <w:szCs w:val="19"/>
        </w:rPr>
        <w:t xml:space="preserve"> El Gasto Federal</w:t>
      </w:r>
      <w:r w:rsidR="00C21C89">
        <w:rPr>
          <w:rFonts w:ascii="Arial" w:hAnsi="Arial" w:cs="Arial"/>
          <w:sz w:val="19"/>
          <w:szCs w:val="19"/>
        </w:rPr>
        <w:t>izado</w:t>
      </w:r>
      <w:r w:rsidRPr="00D93231">
        <w:rPr>
          <w:rFonts w:ascii="Arial" w:hAnsi="Arial" w:cs="Arial"/>
          <w:sz w:val="19"/>
          <w:szCs w:val="19"/>
        </w:rPr>
        <w:t xml:space="preserve"> se constituye con los recursos que para el ejercicio fiscal 2016, el Gobierno Federal transfiere al Estado. Su ejercicio deberá cumplir con las disposiciones contenidas en el Decreto de Presupuesto de Egresos de la Federación del Ejercicio Fiscal 2016, Ley Federal de Presupuesto y Responsabilidad Hacendaria, Reglas de Operación y/o </w:t>
      </w:r>
      <w:r w:rsidRPr="00D93231">
        <w:rPr>
          <w:rFonts w:ascii="Arial" w:hAnsi="Arial" w:cs="Arial"/>
          <w:sz w:val="19"/>
          <w:szCs w:val="19"/>
        </w:rPr>
        <w:lastRenderedPageBreak/>
        <w:t>disposiciones contenidas en otros instrumentos jurídicos por los cuales se lleve a cabo la reasignación de recursos.</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56.</w:t>
      </w:r>
      <w:r w:rsidRPr="00D93231">
        <w:rPr>
          <w:rFonts w:ascii="Arial" w:hAnsi="Arial" w:cs="Arial"/>
          <w:sz w:val="19"/>
          <w:szCs w:val="19"/>
        </w:rPr>
        <w:t xml:space="preserve"> Por c</w:t>
      </w:r>
      <w:r w:rsidR="00C21C89">
        <w:rPr>
          <w:rFonts w:ascii="Arial" w:hAnsi="Arial" w:cs="Arial"/>
          <w:sz w:val="19"/>
          <w:szCs w:val="19"/>
        </w:rPr>
        <w:t>oncepto de Gasto Federaliz</w:t>
      </w:r>
      <w:r w:rsidRPr="00D93231">
        <w:rPr>
          <w:rFonts w:ascii="Arial" w:hAnsi="Arial" w:cs="Arial"/>
          <w:sz w:val="19"/>
          <w:szCs w:val="19"/>
        </w:rPr>
        <w:t>ado, se ejercerá la cantidad de $</w:t>
      </w:r>
      <w:r w:rsidRPr="00D93231">
        <w:rPr>
          <w:rFonts w:ascii="Arial" w:hAnsi="Arial" w:cs="Arial"/>
          <w:bCs/>
          <w:sz w:val="19"/>
          <w:szCs w:val="19"/>
          <w:lang w:eastAsia="es-MX"/>
        </w:rPr>
        <w:t>6</w:t>
      </w:r>
      <w:proofErr w:type="gramStart"/>
      <w:r w:rsidRPr="00D93231">
        <w:rPr>
          <w:rFonts w:ascii="Arial" w:hAnsi="Arial" w:cs="Arial"/>
          <w:bCs/>
          <w:sz w:val="19"/>
          <w:szCs w:val="19"/>
          <w:lang w:eastAsia="es-MX"/>
        </w:rPr>
        <w:t>,969,980,705.00</w:t>
      </w:r>
      <w:proofErr w:type="gramEnd"/>
      <w:r w:rsidRPr="00D93231">
        <w:rPr>
          <w:rFonts w:ascii="Arial" w:hAnsi="Arial" w:cs="Arial"/>
          <w:sz w:val="19"/>
          <w:szCs w:val="19"/>
        </w:rPr>
        <w:t xml:space="preserve"> (Seis mil novecientos sesenta y nueve millones novecientos ochenta mil setecientos cinco pesos 00/100 M.N.), integrada de las transferencias siguientes:</w:t>
      </w:r>
    </w:p>
    <w:tbl>
      <w:tblPr>
        <w:tblW w:w="6883" w:type="dxa"/>
        <w:jc w:val="center"/>
        <w:tblInd w:w="-145" w:type="dxa"/>
        <w:tblCellMar>
          <w:left w:w="70" w:type="dxa"/>
          <w:right w:w="70" w:type="dxa"/>
        </w:tblCellMar>
        <w:tblLook w:val="04A0" w:firstRow="1" w:lastRow="0" w:firstColumn="1" w:lastColumn="0" w:noHBand="0" w:noVBand="1"/>
      </w:tblPr>
      <w:tblGrid>
        <w:gridCol w:w="500"/>
        <w:gridCol w:w="4763"/>
        <w:gridCol w:w="1620"/>
      </w:tblGrid>
      <w:tr w:rsidR="00D93231" w:rsidRPr="00D93231" w:rsidTr="00EE6297">
        <w:trPr>
          <w:trHeight w:val="390"/>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4763" w:type="dxa"/>
            <w:tcBorders>
              <w:top w:val="nil"/>
              <w:left w:val="nil"/>
              <w:bottom w:val="nil"/>
              <w:right w:val="nil"/>
            </w:tcBorders>
            <w:shd w:val="clear" w:color="auto" w:fill="auto"/>
            <w:hideMark/>
          </w:tcPr>
          <w:p w:rsidR="00D93231" w:rsidRPr="00D93231" w:rsidRDefault="00D93231" w:rsidP="00D93231">
            <w:pPr>
              <w:rPr>
                <w:rFonts w:ascii="Arial" w:hAnsi="Arial" w:cs="Arial"/>
                <w:color w:val="000000"/>
                <w:sz w:val="19"/>
                <w:szCs w:val="19"/>
                <w:lang w:eastAsia="es-MX"/>
              </w:rPr>
            </w:pPr>
          </w:p>
        </w:tc>
        <w:tc>
          <w:tcPr>
            <w:tcW w:w="1620" w:type="dxa"/>
            <w:tcBorders>
              <w:top w:val="nil"/>
              <w:left w:val="nil"/>
              <w:bottom w:val="nil"/>
              <w:right w:val="nil"/>
            </w:tcBorders>
            <w:shd w:val="clear" w:color="auto" w:fill="auto"/>
            <w:noWrap/>
            <w:hideMark/>
          </w:tcPr>
          <w:p w:rsidR="00D93231" w:rsidRPr="00D93231" w:rsidRDefault="00D93231" w:rsidP="00D93231">
            <w:pPr>
              <w:jc w:val="center"/>
              <w:rPr>
                <w:rFonts w:ascii="Arial" w:hAnsi="Arial" w:cs="Arial"/>
                <w:b/>
                <w:bCs/>
                <w:color w:val="000000"/>
                <w:sz w:val="19"/>
                <w:szCs w:val="19"/>
                <w:lang w:eastAsia="es-MX"/>
              </w:rPr>
            </w:pPr>
            <w:r w:rsidRPr="00D93231">
              <w:rPr>
                <w:rFonts w:ascii="Arial" w:hAnsi="Arial" w:cs="Arial"/>
                <w:b/>
                <w:bCs/>
                <w:color w:val="000000"/>
                <w:sz w:val="19"/>
                <w:szCs w:val="19"/>
                <w:lang w:eastAsia="es-MX"/>
              </w:rPr>
              <w:t>Pesos</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Subsidio a Educación Media Superior y Superior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2,018,483,987.00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de Infraestructura Indígena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460,721,566.00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Proyectos para el Cuidado del Medio Ambiente y Recursos Naturales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141,338,718.00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Regional</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1,340,550,920.00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Metropolitano</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77,733,029.00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Accesibilidad en el Transporte Público para Personas con Discapacidad</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18,773,785.00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Prospera, Programa de Inclusión Social</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180,000,000.00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VIII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Reforma del Sistema de Justicia Penal a favor de las Entidades Federativas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34,430,873.00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IX</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Nacional de Prevención del Delito</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32,029,557.00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para Ampliar y Diversificar la Oferta Educativa en Educación Superior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16,950,318.00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Programa de Apoyo a Instancias de Mujeres</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13,773,548.00</w:t>
            </w:r>
          </w:p>
        </w:tc>
      </w:tr>
      <w:tr w:rsidR="00D93231" w:rsidRPr="00D93231" w:rsidTr="00EE6297">
        <w:trPr>
          <w:trHeight w:val="55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Pavimentación , Espacios Deportivos, Alumbrado Público y Rehabilitación de Infraestructura Educativa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267,125,045.00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Apoyo al Migrante</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10,912,978.00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XIV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Cultura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80,682,000.00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lastRenderedPageBreak/>
              <w:t>XV</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Fondo de Infraestructura Deportiva</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224,668,966.00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XVI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Seguro Popular</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2,000,000,000.00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r w:rsidRPr="00D93231">
              <w:rPr>
                <w:rFonts w:ascii="Arial" w:hAnsi="Arial" w:cs="Arial"/>
                <w:color w:val="000000"/>
                <w:sz w:val="19"/>
                <w:szCs w:val="19"/>
                <w:lang w:eastAsia="es-MX"/>
              </w:rPr>
              <w:t>XVII</w:t>
            </w:r>
          </w:p>
        </w:tc>
        <w:tc>
          <w:tcPr>
            <w:tcW w:w="4763" w:type="dxa"/>
            <w:tcBorders>
              <w:top w:val="nil"/>
              <w:left w:val="nil"/>
              <w:bottom w:val="nil"/>
              <w:right w:val="nil"/>
            </w:tcBorders>
            <w:shd w:val="clear" w:color="auto" w:fill="auto"/>
            <w:hideMark/>
          </w:tcPr>
          <w:p w:rsidR="00D93231" w:rsidRPr="00D93231" w:rsidRDefault="00D93231" w:rsidP="00D93231">
            <w:pPr>
              <w:jc w:val="both"/>
              <w:rPr>
                <w:rFonts w:ascii="Arial" w:hAnsi="Arial" w:cs="Arial"/>
                <w:color w:val="000000"/>
                <w:sz w:val="19"/>
                <w:szCs w:val="19"/>
                <w:lang w:eastAsia="es-MX"/>
              </w:rPr>
            </w:pPr>
            <w:r w:rsidRPr="00D93231">
              <w:rPr>
                <w:rFonts w:ascii="Arial" w:hAnsi="Arial" w:cs="Arial"/>
                <w:color w:val="000000"/>
                <w:sz w:val="19"/>
                <w:szCs w:val="19"/>
                <w:lang w:eastAsia="es-MX"/>
              </w:rPr>
              <w:t xml:space="preserve">Subsidio de Capacitación para el Trabajo </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color w:val="000000"/>
                <w:sz w:val="19"/>
                <w:szCs w:val="19"/>
                <w:lang w:eastAsia="es-MX"/>
              </w:rPr>
            </w:pPr>
            <w:r w:rsidRPr="00D93231">
              <w:rPr>
                <w:rFonts w:ascii="Arial" w:hAnsi="Arial" w:cs="Arial"/>
                <w:color w:val="000000"/>
                <w:sz w:val="19"/>
                <w:szCs w:val="19"/>
                <w:lang w:eastAsia="es-MX"/>
              </w:rPr>
              <w:t>51,805,415.00</w:t>
            </w:r>
          </w:p>
        </w:tc>
      </w:tr>
      <w:tr w:rsidR="00D93231" w:rsidRPr="00D93231" w:rsidTr="00EE6297">
        <w:trPr>
          <w:trHeight w:val="499"/>
          <w:jc w:val="center"/>
        </w:trPr>
        <w:tc>
          <w:tcPr>
            <w:tcW w:w="500" w:type="dxa"/>
            <w:tcBorders>
              <w:top w:val="nil"/>
              <w:left w:val="nil"/>
              <w:bottom w:val="nil"/>
              <w:right w:val="nil"/>
            </w:tcBorders>
            <w:shd w:val="clear" w:color="auto" w:fill="auto"/>
            <w:noWrap/>
            <w:hideMark/>
          </w:tcPr>
          <w:p w:rsidR="00D93231" w:rsidRPr="00D93231" w:rsidRDefault="00D93231" w:rsidP="00D93231">
            <w:pPr>
              <w:rPr>
                <w:rFonts w:ascii="Arial" w:hAnsi="Arial" w:cs="Arial"/>
                <w:color w:val="000000"/>
                <w:sz w:val="19"/>
                <w:szCs w:val="19"/>
                <w:lang w:eastAsia="es-MX"/>
              </w:rPr>
            </w:pPr>
          </w:p>
        </w:tc>
        <w:tc>
          <w:tcPr>
            <w:tcW w:w="4763" w:type="dxa"/>
            <w:tcBorders>
              <w:top w:val="nil"/>
              <w:left w:val="nil"/>
              <w:bottom w:val="nil"/>
              <w:right w:val="nil"/>
            </w:tcBorders>
            <w:shd w:val="clear" w:color="auto" w:fill="auto"/>
            <w:hideMark/>
          </w:tcPr>
          <w:p w:rsidR="00D93231" w:rsidRPr="00D93231" w:rsidRDefault="00D93231" w:rsidP="00EE6297">
            <w:pPr>
              <w:jc w:val="both"/>
              <w:rPr>
                <w:rFonts w:ascii="Arial" w:hAnsi="Arial" w:cs="Arial"/>
                <w:b/>
                <w:bCs/>
                <w:color w:val="000000"/>
                <w:sz w:val="19"/>
                <w:szCs w:val="19"/>
                <w:lang w:eastAsia="es-MX"/>
              </w:rPr>
            </w:pPr>
            <w:r w:rsidRPr="00D93231">
              <w:rPr>
                <w:rFonts w:ascii="Arial" w:hAnsi="Arial" w:cs="Arial"/>
                <w:b/>
                <w:bCs/>
                <w:color w:val="000000"/>
                <w:sz w:val="19"/>
                <w:szCs w:val="19"/>
                <w:lang w:eastAsia="es-MX"/>
              </w:rPr>
              <w:t xml:space="preserve">Total General </w:t>
            </w:r>
          </w:p>
        </w:tc>
        <w:tc>
          <w:tcPr>
            <w:tcW w:w="1620" w:type="dxa"/>
            <w:tcBorders>
              <w:top w:val="nil"/>
              <w:left w:val="nil"/>
              <w:bottom w:val="nil"/>
              <w:right w:val="nil"/>
            </w:tcBorders>
            <w:shd w:val="clear" w:color="auto" w:fill="auto"/>
            <w:noWrap/>
            <w:hideMark/>
          </w:tcPr>
          <w:p w:rsidR="00D93231" w:rsidRPr="00D93231" w:rsidRDefault="00D93231" w:rsidP="00D93231">
            <w:pPr>
              <w:jc w:val="right"/>
              <w:rPr>
                <w:rFonts w:ascii="Arial" w:hAnsi="Arial" w:cs="Arial"/>
                <w:b/>
                <w:bCs/>
                <w:color w:val="000000"/>
                <w:sz w:val="19"/>
                <w:szCs w:val="19"/>
                <w:lang w:eastAsia="es-MX"/>
              </w:rPr>
            </w:pPr>
            <w:r w:rsidRPr="00D93231">
              <w:rPr>
                <w:rFonts w:ascii="Arial" w:hAnsi="Arial" w:cs="Arial"/>
                <w:b/>
                <w:bCs/>
                <w:color w:val="000000"/>
                <w:sz w:val="19"/>
                <w:szCs w:val="19"/>
                <w:lang w:eastAsia="es-MX"/>
              </w:rPr>
              <w:t>6,969,980,705.00</w:t>
            </w:r>
          </w:p>
        </w:tc>
      </w:tr>
    </w:tbl>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57.</w:t>
      </w:r>
      <w:r w:rsidRPr="00D93231">
        <w:rPr>
          <w:rFonts w:ascii="Arial" w:hAnsi="Arial" w:cs="Arial"/>
          <w:sz w:val="19"/>
          <w:szCs w:val="19"/>
        </w:rPr>
        <w:t xml:space="preserve"> Los Ejecutores de gasto, serán directamente responsables de la administración, ejercicio, control, evaluación, información, validación, remisión, guarda y custodia de la documentación comprobatoria derivada de la asignación de recursos co</w:t>
      </w:r>
      <w:r w:rsidR="00C21C89">
        <w:rPr>
          <w:rFonts w:ascii="Arial" w:hAnsi="Arial" w:cs="Arial"/>
          <w:sz w:val="19"/>
          <w:szCs w:val="19"/>
        </w:rPr>
        <w:t>rrespondientes al Gasto Federaliz</w:t>
      </w:r>
      <w:r w:rsidRPr="00D93231">
        <w:rPr>
          <w:rFonts w:ascii="Arial" w:hAnsi="Arial" w:cs="Arial"/>
          <w:sz w:val="19"/>
          <w:szCs w:val="19"/>
        </w:rPr>
        <w:t xml:space="preserve">ado, verificando que se realice conforme a las disposiciones del Decreto de Presupuesto de Egresos de la Federación para el Ejercicio Fiscal 2016, reglas de operación, acuerdos o convenios que les den origen y demás disposiciones legales aplicables. </w:t>
      </w:r>
    </w:p>
    <w:p w:rsidR="00D93231" w:rsidRPr="00D93231" w:rsidRDefault="00D93231" w:rsidP="00D93231">
      <w:pPr>
        <w:jc w:val="both"/>
        <w:rPr>
          <w:rFonts w:ascii="Arial" w:hAnsi="Arial" w:cs="Arial"/>
          <w:sz w:val="19"/>
          <w:szCs w:val="19"/>
        </w:rPr>
      </w:pPr>
    </w:p>
    <w:p w:rsidR="00D93231" w:rsidRPr="00D93231" w:rsidRDefault="00D93231" w:rsidP="00D93231">
      <w:pPr>
        <w:jc w:val="both"/>
        <w:rPr>
          <w:rFonts w:ascii="Arial" w:hAnsi="Arial" w:cs="Arial"/>
          <w:sz w:val="19"/>
          <w:szCs w:val="19"/>
        </w:rPr>
      </w:pPr>
      <w:r w:rsidRPr="00D93231">
        <w:rPr>
          <w:rFonts w:ascii="Arial" w:hAnsi="Arial" w:cs="Arial"/>
          <w:sz w:val="19"/>
          <w:szCs w:val="19"/>
        </w:rPr>
        <w:t>Lo anterior, sin perjuicio del control, vigilancia, seguimiento y evaluación de los recursos a que se refiere el presente Título, a cargo de los Órganos de Control y Fiscalización federales o estatales.</w:t>
      </w:r>
    </w:p>
    <w:p w:rsidR="00D93231" w:rsidRPr="00D93231" w:rsidRDefault="00D93231" w:rsidP="00D93231">
      <w:pPr>
        <w:jc w:val="center"/>
        <w:rPr>
          <w:rFonts w:ascii="Arial" w:hAnsi="Arial" w:cs="Arial"/>
          <w:b/>
          <w:sz w:val="19"/>
          <w:szCs w:val="19"/>
        </w:rPr>
      </w:pP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Título Sexto</w:t>
      </w:r>
    </w:p>
    <w:p w:rsidR="00D93231" w:rsidRPr="00D93231" w:rsidRDefault="00D93231" w:rsidP="00D93231">
      <w:pPr>
        <w:jc w:val="center"/>
        <w:rPr>
          <w:rFonts w:ascii="Arial" w:hAnsi="Arial" w:cs="Arial"/>
          <w:b/>
          <w:sz w:val="19"/>
          <w:szCs w:val="19"/>
        </w:rPr>
      </w:pPr>
      <w:r w:rsidRPr="00D93231">
        <w:rPr>
          <w:rFonts w:ascii="Arial" w:hAnsi="Arial" w:cs="Arial"/>
          <w:b/>
          <w:sz w:val="19"/>
          <w:szCs w:val="19"/>
        </w:rPr>
        <w:t>Gasto de Capital</w:t>
      </w:r>
    </w:p>
    <w:p w:rsidR="00D93231" w:rsidRPr="00D93231" w:rsidRDefault="00D93231" w:rsidP="00D93231">
      <w:pPr>
        <w:jc w:val="both"/>
        <w:rPr>
          <w:rFonts w:ascii="Arial" w:hAnsi="Arial" w:cs="Arial"/>
          <w:b/>
          <w:sz w:val="19"/>
          <w:szCs w:val="19"/>
        </w:rPr>
      </w:pPr>
    </w:p>
    <w:p w:rsidR="00D93231" w:rsidRPr="00D93231" w:rsidRDefault="00D93231" w:rsidP="00D93231">
      <w:pPr>
        <w:jc w:val="both"/>
        <w:rPr>
          <w:rFonts w:ascii="Arial" w:hAnsi="Arial" w:cs="Arial"/>
          <w:sz w:val="19"/>
          <w:szCs w:val="19"/>
        </w:rPr>
      </w:pPr>
      <w:r w:rsidRPr="00D93231">
        <w:rPr>
          <w:rFonts w:ascii="Arial" w:hAnsi="Arial" w:cs="Arial"/>
          <w:b/>
          <w:sz w:val="19"/>
          <w:szCs w:val="19"/>
        </w:rPr>
        <w:t>Artículo 58.</w:t>
      </w:r>
      <w:r w:rsidRPr="00D93231">
        <w:rPr>
          <w:rFonts w:ascii="Arial" w:hAnsi="Arial" w:cs="Arial"/>
          <w:sz w:val="19"/>
          <w:szCs w:val="19"/>
        </w:rPr>
        <w:t xml:space="preserve"> En el ejercicio del gasto de capital en inversión pública para el año 2016, los Ejecutores de gasto observarán lo siguiente:</w:t>
      </w:r>
    </w:p>
    <w:p w:rsidR="00D93231" w:rsidRPr="00D93231" w:rsidRDefault="00D93231" w:rsidP="00D93231">
      <w:pPr>
        <w:jc w:val="both"/>
        <w:rPr>
          <w:rFonts w:ascii="Arial" w:hAnsi="Arial" w:cs="Arial"/>
          <w:sz w:val="19"/>
          <w:szCs w:val="19"/>
        </w:rPr>
      </w:pP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Iniciar proyectos de inversión cuando tengan garantizada la disponibilidad presupuestaria durante el ejercicio fiscal. En el caso de proyectos de inversión  que abarquen más de un ejercicio fiscal deberán sujetarse a lo dispuesto en la Ley;</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Prever la disponibilidad de recursos para su terminación, puesta en operación y mantenimiento;</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lastRenderedPageBreak/>
        <w:t>Sujetar la programación de la inversión a los Lineamientos estratégicos que señalen los programas de mediano plazo;</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 xml:space="preserve">Procurar la ampliación y diversificación de las fuentes de financiamiento alternativas y/o complementarias al presupuesto de egresos; </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Presentar a través del Sistema electrónico de la Secretaría, los proyectos de inversión pública, para que previa valoración ingrese al Banco de Proyectos de Inversión Pública autorizados por la  Secretaría, y</w:t>
      </w:r>
    </w:p>
    <w:p w:rsidR="00D93231" w:rsidRPr="00D93231" w:rsidRDefault="00D93231" w:rsidP="00DC475F">
      <w:pPr>
        <w:pStyle w:val="Prrafodelista"/>
        <w:numPr>
          <w:ilvl w:val="0"/>
          <w:numId w:val="20"/>
        </w:numPr>
        <w:spacing w:after="120"/>
        <w:ind w:left="714" w:hanging="714"/>
        <w:contextualSpacing w:val="0"/>
        <w:jc w:val="both"/>
        <w:rPr>
          <w:rFonts w:ascii="Arial" w:hAnsi="Arial" w:cs="Arial"/>
          <w:sz w:val="19"/>
          <w:szCs w:val="19"/>
        </w:rPr>
      </w:pPr>
      <w:r w:rsidRPr="00D93231">
        <w:rPr>
          <w:rFonts w:ascii="Arial" w:hAnsi="Arial" w:cs="Arial"/>
          <w:sz w:val="19"/>
          <w:szCs w:val="19"/>
        </w:rPr>
        <w:t>Sujetarse a los montos máximos y mínimos que a continuación se establecen:</w:t>
      </w:r>
    </w:p>
    <w:p w:rsidR="00D93231" w:rsidRDefault="00D93231" w:rsidP="00D93231">
      <w:pPr>
        <w:jc w:val="both"/>
        <w:rPr>
          <w:rFonts w:ascii="Arial" w:hAnsi="Arial" w:cs="Arial"/>
          <w:noProof/>
          <w:lang w:eastAsia="es-MX"/>
        </w:rPr>
      </w:pPr>
    </w:p>
    <w:tbl>
      <w:tblPr>
        <w:tblW w:w="6984" w:type="dxa"/>
        <w:jc w:val="center"/>
        <w:tblInd w:w="-27" w:type="dxa"/>
        <w:tblCellMar>
          <w:left w:w="70" w:type="dxa"/>
          <w:right w:w="70" w:type="dxa"/>
        </w:tblCellMar>
        <w:tblLook w:val="04A0" w:firstRow="1" w:lastRow="0" w:firstColumn="1" w:lastColumn="0" w:noHBand="0" w:noVBand="1"/>
      </w:tblPr>
      <w:tblGrid>
        <w:gridCol w:w="1114"/>
        <w:gridCol w:w="1114"/>
        <w:gridCol w:w="1195"/>
        <w:gridCol w:w="1194"/>
        <w:gridCol w:w="1185"/>
        <w:gridCol w:w="1182"/>
      </w:tblGrid>
      <w:tr w:rsidR="00D93231" w:rsidRPr="00EE6297" w:rsidTr="00DC475F">
        <w:trPr>
          <w:trHeight w:val="950"/>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3231" w:rsidRPr="00EE6297" w:rsidRDefault="00D93231" w:rsidP="00D93231">
            <w:pPr>
              <w:jc w:val="both"/>
              <w:rPr>
                <w:rFonts w:ascii="Arial" w:hAnsi="Arial" w:cs="Arial"/>
                <w:b/>
                <w:bCs/>
                <w:color w:val="000000"/>
                <w:sz w:val="15"/>
                <w:szCs w:val="15"/>
                <w:lang w:eastAsia="es-MX"/>
              </w:rPr>
            </w:pPr>
            <w:r w:rsidRPr="00EE6297">
              <w:rPr>
                <w:rFonts w:ascii="Arial" w:hAnsi="Arial" w:cs="Arial"/>
                <w:b/>
                <w:bCs/>
                <w:color w:val="000000"/>
                <w:sz w:val="13"/>
                <w:szCs w:val="15"/>
                <w:lang w:eastAsia="es-MX"/>
              </w:rPr>
              <w:t>Presupuesto anual para realizar obras públicas y servicios relacionados con las mismas</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OBRA que podrá adjudicarse directamente</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OBRA que podrá adjudicarse mediante invitación</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D93231">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SERVICIO relacionado con obra pública que podrá adjudicarse directamente</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231" w:rsidRPr="00EE6297" w:rsidRDefault="00D93231" w:rsidP="00EE6297">
            <w:pPr>
              <w:jc w:val="center"/>
              <w:rPr>
                <w:rFonts w:ascii="Arial" w:hAnsi="Arial" w:cs="Arial"/>
                <w:color w:val="000000"/>
                <w:sz w:val="15"/>
                <w:szCs w:val="15"/>
                <w:lang w:eastAsia="es-MX"/>
              </w:rPr>
            </w:pPr>
            <w:r w:rsidRPr="00EE6297">
              <w:rPr>
                <w:rFonts w:ascii="Arial" w:hAnsi="Arial" w:cs="Arial"/>
                <w:color w:val="000000"/>
                <w:sz w:val="13"/>
                <w:szCs w:val="15"/>
                <w:lang w:eastAsia="es-MX"/>
              </w:rPr>
              <w:t>Monto máximo total de cada SERVICIO relacionado con obra pública que podrá adjudicarse mediante invitación</w:t>
            </w:r>
          </w:p>
        </w:tc>
      </w:tr>
      <w:tr w:rsidR="00D93231" w:rsidRPr="00EE6297" w:rsidTr="00DC475F">
        <w:trPr>
          <w:trHeight w:val="300"/>
          <w:jc w:val="center"/>
        </w:trPr>
        <w:tc>
          <w:tcPr>
            <w:tcW w:w="1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center"/>
              <w:rPr>
                <w:rFonts w:ascii="Arial" w:hAnsi="Arial" w:cs="Arial"/>
                <w:b/>
                <w:bCs/>
                <w:color w:val="000000"/>
                <w:sz w:val="13"/>
                <w:szCs w:val="15"/>
                <w:lang w:eastAsia="es-MX"/>
              </w:rPr>
            </w:pPr>
            <w:r w:rsidRPr="00EE6297">
              <w:rPr>
                <w:rFonts w:ascii="Arial" w:hAnsi="Arial" w:cs="Arial"/>
                <w:b/>
                <w:bCs/>
                <w:color w:val="000000"/>
                <w:sz w:val="13"/>
                <w:szCs w:val="15"/>
                <w:lang w:eastAsia="es-MX"/>
              </w:rPr>
              <w:t>Mayor de</w:t>
            </w:r>
          </w:p>
        </w:tc>
        <w:tc>
          <w:tcPr>
            <w:tcW w:w="11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center"/>
              <w:rPr>
                <w:rFonts w:ascii="Arial" w:hAnsi="Arial" w:cs="Arial"/>
                <w:b/>
                <w:bCs/>
                <w:color w:val="000000"/>
                <w:sz w:val="13"/>
                <w:szCs w:val="15"/>
                <w:lang w:eastAsia="es-MX"/>
              </w:rPr>
            </w:pPr>
            <w:r w:rsidRPr="00EE6297">
              <w:rPr>
                <w:rFonts w:ascii="Arial" w:hAnsi="Arial" w:cs="Arial"/>
                <w:b/>
                <w:bCs/>
                <w:color w:val="000000"/>
                <w:sz w:val="13"/>
                <w:szCs w:val="15"/>
                <w:lang w:eastAsia="es-MX"/>
              </w:rPr>
              <w:t>Hasta</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r>
      <w:tr w:rsidR="00D93231" w:rsidRPr="00EE6297" w:rsidTr="00DC475F">
        <w:trPr>
          <w:trHeight w:val="172"/>
          <w:jc w:val="center"/>
        </w:trPr>
        <w:tc>
          <w:tcPr>
            <w:tcW w:w="1114" w:type="dxa"/>
            <w:vMerge/>
            <w:tcBorders>
              <w:top w:val="nil"/>
              <w:left w:val="single" w:sz="4" w:space="0" w:color="auto"/>
              <w:bottom w:val="single" w:sz="4" w:space="0" w:color="auto"/>
              <w:right w:val="single" w:sz="4" w:space="0" w:color="auto"/>
            </w:tcBorders>
            <w:vAlign w:val="center"/>
            <w:hideMark/>
          </w:tcPr>
          <w:p w:rsidR="00D93231" w:rsidRPr="00EE6297" w:rsidRDefault="00D93231" w:rsidP="00D93231">
            <w:pPr>
              <w:rPr>
                <w:rFonts w:ascii="Arial" w:hAnsi="Arial" w:cs="Arial"/>
                <w:b/>
                <w:bCs/>
                <w:color w:val="000000"/>
                <w:sz w:val="15"/>
                <w:szCs w:val="15"/>
                <w:lang w:eastAsia="es-MX"/>
              </w:rPr>
            </w:pPr>
          </w:p>
        </w:tc>
        <w:tc>
          <w:tcPr>
            <w:tcW w:w="1114" w:type="dxa"/>
            <w:vMerge/>
            <w:tcBorders>
              <w:top w:val="nil"/>
              <w:left w:val="single" w:sz="4" w:space="0" w:color="auto"/>
              <w:bottom w:val="single" w:sz="4" w:space="0" w:color="auto"/>
              <w:right w:val="single" w:sz="4" w:space="0" w:color="auto"/>
            </w:tcBorders>
            <w:vAlign w:val="center"/>
            <w:hideMark/>
          </w:tcPr>
          <w:p w:rsidR="00D93231" w:rsidRPr="00EE6297" w:rsidRDefault="00D93231" w:rsidP="00D93231">
            <w:pPr>
              <w:rPr>
                <w:rFonts w:ascii="Arial" w:hAnsi="Arial" w:cs="Arial"/>
                <w:b/>
                <w:bCs/>
                <w:color w:val="000000"/>
                <w:sz w:val="15"/>
                <w:szCs w:val="15"/>
                <w:lang w:eastAsia="es-MX"/>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D93231" w:rsidRPr="00EE6297" w:rsidRDefault="00D93231" w:rsidP="00D93231">
            <w:pPr>
              <w:rPr>
                <w:rFonts w:ascii="Arial" w:hAnsi="Arial" w:cs="Arial"/>
                <w:color w:val="000000"/>
                <w:sz w:val="15"/>
                <w:szCs w:val="15"/>
                <w:lang w:eastAsia="es-MX"/>
              </w:rPr>
            </w:pP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216,000.00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810,000.00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297,000.00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1,485,000.00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148,500.00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1,114,000.00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378,000.00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1,890,000.00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189,000.00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1,418,000.00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459,000.00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2,295,000.00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229,500.00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1,721,000.00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75,000,000.00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2,700,000.00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270,000.00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2,025,000.00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75,000,000.01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100,000,000.00</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810,000.00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3,038,000.00</w:t>
            </w:r>
          </w:p>
        </w:tc>
      </w:tr>
      <w:tr w:rsidR="00D93231" w:rsidRPr="00EE6297" w:rsidTr="00DC475F">
        <w:trPr>
          <w:trHeight w:val="300"/>
          <w:jc w:val="center"/>
        </w:trPr>
        <w:tc>
          <w:tcPr>
            <w:tcW w:w="1114" w:type="dxa"/>
            <w:tcBorders>
              <w:top w:val="nil"/>
              <w:left w:val="single" w:sz="4" w:space="0" w:color="auto"/>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100,000,000.01</w:t>
            </w:r>
          </w:p>
        </w:tc>
        <w:tc>
          <w:tcPr>
            <w:tcW w:w="111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En adelante</w:t>
            </w:r>
          </w:p>
        </w:tc>
        <w:tc>
          <w:tcPr>
            <w:tcW w:w="119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1,080,000.00</w:t>
            </w:r>
          </w:p>
        </w:tc>
        <w:tc>
          <w:tcPr>
            <w:tcW w:w="1194"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5,400,000.00</w:t>
            </w:r>
          </w:p>
        </w:tc>
        <w:tc>
          <w:tcPr>
            <w:tcW w:w="1185"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540,000.00</w:t>
            </w:r>
          </w:p>
        </w:tc>
        <w:tc>
          <w:tcPr>
            <w:tcW w:w="1182" w:type="dxa"/>
            <w:tcBorders>
              <w:top w:val="nil"/>
              <w:left w:val="nil"/>
              <w:bottom w:val="single" w:sz="4" w:space="0" w:color="auto"/>
              <w:right w:val="single" w:sz="4" w:space="0" w:color="auto"/>
            </w:tcBorders>
            <w:shd w:val="clear" w:color="auto" w:fill="auto"/>
            <w:noWrap/>
            <w:vAlign w:val="center"/>
            <w:hideMark/>
          </w:tcPr>
          <w:p w:rsidR="00D93231" w:rsidRPr="00EE6297" w:rsidRDefault="00D93231" w:rsidP="00D93231">
            <w:pPr>
              <w:jc w:val="right"/>
              <w:rPr>
                <w:rFonts w:ascii="Arial" w:hAnsi="Arial" w:cs="Arial"/>
                <w:color w:val="000000"/>
                <w:sz w:val="14"/>
                <w:szCs w:val="14"/>
                <w:lang w:eastAsia="es-MX"/>
              </w:rPr>
            </w:pPr>
            <w:r w:rsidRPr="00EE6297">
              <w:rPr>
                <w:rFonts w:ascii="Arial" w:hAnsi="Arial" w:cs="Arial"/>
                <w:color w:val="000000"/>
                <w:sz w:val="14"/>
                <w:szCs w:val="14"/>
                <w:lang w:eastAsia="es-MX"/>
              </w:rPr>
              <w:t>4,050,000.00</w:t>
            </w:r>
          </w:p>
        </w:tc>
      </w:tr>
    </w:tbl>
    <w:p w:rsidR="00EE6297" w:rsidRDefault="00EE6297" w:rsidP="00D93231">
      <w:pPr>
        <w:jc w:val="both"/>
        <w:rPr>
          <w:rFonts w:ascii="Arial" w:hAnsi="Arial" w:cs="Arial"/>
          <w:noProof/>
          <w:lang w:eastAsia="es-MX"/>
        </w:rPr>
      </w:pPr>
    </w:p>
    <w:p w:rsidR="00D93231" w:rsidRPr="000F4558" w:rsidRDefault="00D93231" w:rsidP="00D93231">
      <w:pPr>
        <w:jc w:val="both"/>
        <w:rPr>
          <w:rFonts w:ascii="Arial" w:hAnsi="Arial" w:cs="Arial"/>
        </w:rPr>
      </w:pPr>
      <w:r w:rsidRPr="000F4558">
        <w:rPr>
          <w:rFonts w:ascii="Arial" w:hAnsi="Arial" w:cs="Arial"/>
        </w:rPr>
        <w:t>Los montos establecidos deberán considerarse sin incluir el importe del Impuesto al Valor Agregado.</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Los Ejecutores de gasto deberán utilizar el presupuesto anual modificado del ejercicio inmediato anterior para efecto de ubicarse en el rango correspondiente.</w:t>
      </w:r>
    </w:p>
    <w:p w:rsidR="00EE6297" w:rsidRPr="000F4558" w:rsidRDefault="00EE6297"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Título Séptimo</w:t>
      </w:r>
    </w:p>
    <w:p w:rsidR="00D93231" w:rsidRDefault="00D93231" w:rsidP="00D93231">
      <w:pPr>
        <w:jc w:val="center"/>
        <w:rPr>
          <w:rFonts w:ascii="Arial" w:hAnsi="Arial" w:cs="Arial"/>
          <w:b/>
        </w:rPr>
      </w:pPr>
      <w:r w:rsidRPr="000F4558">
        <w:rPr>
          <w:rFonts w:ascii="Arial" w:hAnsi="Arial" w:cs="Arial"/>
          <w:b/>
        </w:rPr>
        <w:t>De las Transferencias, Asignaciones, Subsidios y Otras Ayudas</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lastRenderedPageBreak/>
        <w:t>Artículo 59.</w:t>
      </w:r>
      <w:r w:rsidRPr="000F4558">
        <w:rPr>
          <w:rFonts w:ascii="Arial" w:hAnsi="Arial" w:cs="Arial"/>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60.</w:t>
      </w:r>
      <w:r w:rsidRPr="000F4558">
        <w:rPr>
          <w:rFonts w:ascii="Arial" w:hAnsi="Arial" w:cs="Arial"/>
        </w:rPr>
        <w:t xml:space="preserve"> Los titulares de las Dependencias y Entidades</w:t>
      </w:r>
      <w:r>
        <w:rPr>
          <w:rFonts w:ascii="Arial" w:hAnsi="Arial" w:cs="Arial"/>
        </w:rPr>
        <w:t xml:space="preserve"> </w:t>
      </w:r>
      <w:r w:rsidRPr="000F4558">
        <w:rPr>
          <w:rFonts w:ascii="Arial" w:hAnsi="Arial" w:cs="Arial"/>
        </w:rPr>
        <w:t>a los que se autorice la asignación de transferencias y subsidios con cargo al Presupuesto de egresos, serán responsables de su correcta aplicación conforme a lo establecido en la Ley, este Decreto y las demás disposiciones aplicables.</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61.</w:t>
      </w:r>
      <w:r w:rsidRPr="000F4558">
        <w:rPr>
          <w:rFonts w:ascii="Arial" w:hAnsi="Arial" w:cs="Arial"/>
        </w:rPr>
        <w:t xml:space="preserve"> La Secretaría podrá emitir durante el ejercicio fiscal, disposiciones sobre la operación, evaluación y ejercicio del gasto relacionado con el otorgamiento y aplicación de</w:t>
      </w:r>
      <w:r>
        <w:rPr>
          <w:rFonts w:ascii="Arial" w:hAnsi="Arial" w:cs="Arial"/>
        </w:rPr>
        <w:t xml:space="preserve"> </w:t>
      </w:r>
      <w:r w:rsidRPr="000F4558">
        <w:rPr>
          <w:rFonts w:ascii="Arial" w:hAnsi="Arial" w:cs="Arial"/>
        </w:rPr>
        <w:t>subsidios y ayudas.</w:t>
      </w:r>
    </w:p>
    <w:p w:rsidR="00D93231" w:rsidRPr="000F4558" w:rsidRDefault="00D93231" w:rsidP="00D93231">
      <w:pPr>
        <w:jc w:val="both"/>
        <w:rPr>
          <w:rFonts w:ascii="Arial" w:hAnsi="Arial" w:cs="Arial"/>
        </w:rPr>
      </w:pPr>
      <w:r w:rsidRPr="000F4558">
        <w:rPr>
          <w:rFonts w:ascii="Arial" w:hAnsi="Arial" w:cs="Arial"/>
        </w:rPr>
        <w:t> </w:t>
      </w:r>
    </w:p>
    <w:p w:rsidR="00D93231" w:rsidRDefault="00D93231" w:rsidP="00D93231">
      <w:pPr>
        <w:jc w:val="both"/>
        <w:rPr>
          <w:rFonts w:ascii="Arial" w:hAnsi="Arial" w:cs="Arial"/>
        </w:rPr>
      </w:pPr>
      <w:r w:rsidRPr="000F4558">
        <w:rPr>
          <w:rFonts w:ascii="Arial" w:hAnsi="Arial" w:cs="Arial"/>
          <w:b/>
        </w:rPr>
        <w:t>Artículo 62.</w:t>
      </w:r>
      <w:r w:rsidRPr="000F4558">
        <w:rPr>
          <w:rFonts w:ascii="Arial" w:hAnsi="Arial" w:cs="Arial"/>
        </w:rPr>
        <w:t xml:space="preserve"> La Secretaría y los Coordinadores de Sector verificarán en el ámbito de sus respectivas competencias, que las Entidades:</w:t>
      </w:r>
    </w:p>
    <w:p w:rsidR="00D93231" w:rsidRPr="000F4558" w:rsidRDefault="00D93231" w:rsidP="00D93231">
      <w:pPr>
        <w:jc w:val="both"/>
        <w:rPr>
          <w:rFonts w:ascii="Arial" w:hAnsi="Arial" w:cs="Arial"/>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Justifiquen la necesidad de las transferencias autorizadas, en función del estado de liquidez de la Entidad beneficiaria, así como la aplicación de dichos recursos, mediante la presentación periódica de estados financieros</w:t>
      </w:r>
      <w:r>
        <w:rPr>
          <w:rFonts w:ascii="Arial" w:hAnsi="Arial" w:cs="Arial"/>
          <w:sz w:val="20"/>
          <w:szCs w:val="20"/>
        </w:rPr>
        <w:t>;</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No cuenten con recursos ociosos o aplicados en operaciones que originen rendimientos de cualquier clase no autorizados por la Secretaría;</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Realicen los informes trimestrales de avance físico-financiero de sus programas, proyectos y acciones, en el Portal Único de la Secretaría de Hacienda y Crédito Público, y</w:t>
      </w:r>
    </w:p>
    <w:p w:rsidR="00D93231" w:rsidRPr="000F4558" w:rsidRDefault="00D93231" w:rsidP="00DC475F">
      <w:pPr>
        <w:pStyle w:val="Prrafodelista"/>
        <w:ind w:hanging="720"/>
        <w:jc w:val="both"/>
        <w:rPr>
          <w:rFonts w:ascii="Arial" w:hAnsi="Arial" w:cs="Arial"/>
          <w:sz w:val="20"/>
          <w:szCs w:val="20"/>
        </w:rPr>
      </w:pPr>
    </w:p>
    <w:p w:rsidR="00D93231" w:rsidRPr="000F4558" w:rsidRDefault="00D93231" w:rsidP="00DC475F">
      <w:pPr>
        <w:pStyle w:val="Prrafodelista"/>
        <w:numPr>
          <w:ilvl w:val="0"/>
          <w:numId w:val="21"/>
        </w:numPr>
        <w:ind w:hanging="720"/>
        <w:jc w:val="both"/>
        <w:rPr>
          <w:rFonts w:ascii="Arial" w:hAnsi="Arial" w:cs="Arial"/>
          <w:sz w:val="20"/>
          <w:szCs w:val="20"/>
        </w:rPr>
      </w:pPr>
      <w:r w:rsidRPr="000F4558">
        <w:rPr>
          <w:rFonts w:ascii="Arial" w:hAnsi="Arial" w:cs="Arial"/>
          <w:sz w:val="20"/>
          <w:szCs w:val="20"/>
        </w:rPr>
        <w:t>Observen estrictamente lo dispuesto en el artículo 7 de la Ley de Ingresos del Estado de Oaxaca para el Ejercicio Fiscal 2016.</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63.</w:t>
      </w:r>
      <w:r w:rsidRPr="000F4558">
        <w:rPr>
          <w:rFonts w:ascii="Arial" w:hAnsi="Arial" w:cs="Arial"/>
        </w:rPr>
        <w:t xml:space="preserve"> La Secretaría podrá reducir, suspender o terminar las transferencias, ayudas, donativos y subsidios cuando a quien se le otorguen:</w:t>
      </w:r>
    </w:p>
    <w:p w:rsidR="00D93231" w:rsidRPr="000F4558" w:rsidRDefault="00D93231" w:rsidP="00D93231">
      <w:pPr>
        <w:jc w:val="both"/>
        <w:rPr>
          <w:rFonts w:ascii="Arial" w:hAnsi="Arial" w:cs="Arial"/>
        </w:rPr>
      </w:pP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Cuenten con autosuficiencia financiera;</w:t>
      </w: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 xml:space="preserve">No remitan la información referente a la aplicación de los mismos </w:t>
      </w:r>
    </w:p>
    <w:p w:rsidR="00D93231" w:rsidRPr="00DC475F" w:rsidRDefault="00D93231" w:rsidP="004726CD">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lastRenderedPageBreak/>
        <w:t>No cumplan con el objetivo de su otorgamiento, y</w:t>
      </w:r>
    </w:p>
    <w:p w:rsidR="00D47DCC" w:rsidRPr="00A22233" w:rsidRDefault="00D93231" w:rsidP="00D47DCC">
      <w:pPr>
        <w:pStyle w:val="Prrafodelista"/>
        <w:numPr>
          <w:ilvl w:val="0"/>
          <w:numId w:val="22"/>
        </w:numPr>
        <w:spacing w:after="120" w:line="276" w:lineRule="auto"/>
        <w:ind w:left="709" w:hanging="709"/>
        <w:contextualSpacing w:val="0"/>
        <w:jc w:val="both"/>
        <w:rPr>
          <w:rFonts w:ascii="Arial" w:hAnsi="Arial" w:cs="Arial"/>
          <w:sz w:val="20"/>
          <w:szCs w:val="20"/>
        </w:rPr>
      </w:pPr>
      <w:r w:rsidRPr="00DC475F">
        <w:rPr>
          <w:rFonts w:ascii="Arial" w:hAnsi="Arial" w:cs="Arial"/>
          <w:sz w:val="20"/>
          <w:szCs w:val="20"/>
        </w:rPr>
        <w:t>No existan las condiciones presupuestarias para seguir otorgándolas.</w:t>
      </w:r>
    </w:p>
    <w:p w:rsidR="00D93231" w:rsidRPr="000F4558" w:rsidRDefault="00D93231" w:rsidP="00D93231">
      <w:pPr>
        <w:jc w:val="center"/>
        <w:rPr>
          <w:rFonts w:ascii="Arial" w:hAnsi="Arial" w:cs="Arial"/>
          <w:b/>
        </w:rPr>
      </w:pPr>
      <w:r w:rsidRPr="000F4558">
        <w:rPr>
          <w:rFonts w:ascii="Arial" w:hAnsi="Arial" w:cs="Arial"/>
          <w:b/>
        </w:rPr>
        <w:t>Título Octavo</w:t>
      </w:r>
    </w:p>
    <w:p w:rsidR="00D93231" w:rsidRDefault="00D93231" w:rsidP="00D93231">
      <w:pPr>
        <w:jc w:val="center"/>
        <w:rPr>
          <w:rFonts w:ascii="Arial" w:hAnsi="Arial" w:cs="Arial"/>
          <w:b/>
        </w:rPr>
      </w:pPr>
      <w:r w:rsidRPr="000F4558">
        <w:rPr>
          <w:rFonts w:ascii="Arial" w:hAnsi="Arial" w:cs="Arial"/>
          <w:b/>
        </w:rPr>
        <w:t>De las Disposiciones de Racionalidad, Austeridad y Disciplina Presupuestaria</w:t>
      </w:r>
    </w:p>
    <w:p w:rsidR="00D93231" w:rsidRDefault="00D93231" w:rsidP="00D93231">
      <w:pPr>
        <w:jc w:val="center"/>
        <w:rPr>
          <w:rFonts w:ascii="Arial" w:hAnsi="Arial" w:cs="Arial"/>
          <w:b/>
        </w:rPr>
      </w:pPr>
    </w:p>
    <w:p w:rsidR="00D93231" w:rsidRDefault="00D93231" w:rsidP="00D93231">
      <w:pPr>
        <w:jc w:val="both"/>
        <w:rPr>
          <w:rFonts w:ascii="Arial" w:hAnsi="Arial" w:cs="Arial"/>
        </w:rPr>
      </w:pPr>
      <w:r w:rsidRPr="000F4558">
        <w:rPr>
          <w:rFonts w:ascii="Arial" w:hAnsi="Arial" w:cs="Arial"/>
          <w:b/>
        </w:rPr>
        <w:t>Artículo 64.</w:t>
      </w:r>
      <w:r w:rsidRPr="000F4558">
        <w:rPr>
          <w:rFonts w:ascii="Arial" w:hAnsi="Arial" w:cs="Arial"/>
        </w:rPr>
        <w:t xml:space="preserve"> Administración en coordinación con la Secretaría, emitirá disposiciones de racionalidad, austeridad y disciplina presupuestaria en materia de gasto corriente.</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Todo ahorro</w:t>
      </w:r>
      <w:r>
        <w:rPr>
          <w:rFonts w:ascii="Arial" w:hAnsi="Arial" w:cs="Arial"/>
        </w:rPr>
        <w:t xml:space="preserve"> </w:t>
      </w:r>
      <w:r w:rsidRPr="000F4558">
        <w:rPr>
          <w:rFonts w:ascii="Arial" w:hAnsi="Arial" w:cs="Arial"/>
        </w:rPr>
        <w:t>presupuestario que derive de las disposiciones de este Título, podrá ser reducido por la Secretaría sin que medie oficio de solicitud, y deberá ser comunicado a los Ejecutores de gasto.</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65.</w:t>
      </w:r>
      <w:r w:rsidRPr="000F4558">
        <w:rPr>
          <w:rFonts w:ascii="Arial" w:hAnsi="Arial" w:cs="Arial"/>
        </w:rPr>
        <w:t xml:space="preserve"> Las Dependencias y Entidades se sujetarán a las disposiciones de austeridad y ajuste del gasto corriente que se establezcan en los términos del Título Tercero, Capítulo IV de la Ley, conforme a lo siguiente:</w:t>
      </w:r>
    </w:p>
    <w:p w:rsidR="00D93231" w:rsidRPr="000F4558" w:rsidRDefault="00D93231" w:rsidP="00D93231">
      <w:pPr>
        <w:jc w:val="both"/>
        <w:rPr>
          <w:rFonts w:ascii="Arial" w:hAnsi="Arial" w:cs="Arial"/>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D93231" w:rsidRPr="00AF4BB9" w:rsidRDefault="00D93231" w:rsidP="00AF4BB9">
      <w:pPr>
        <w:pStyle w:val="Prrafodelista"/>
        <w:ind w:left="709" w:hanging="709"/>
        <w:jc w:val="both"/>
        <w:rPr>
          <w:rFonts w:ascii="Arial" w:hAnsi="Arial" w:cs="Arial"/>
          <w:sz w:val="20"/>
          <w:szCs w:val="20"/>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No se autoriza la remodelación de oficinas, sólo podrá autorizarse las que reparen daños provenientes de casos fortuitos.</w:t>
      </w:r>
    </w:p>
    <w:p w:rsidR="00D93231" w:rsidRPr="00AF4BB9" w:rsidRDefault="00D93231" w:rsidP="00AF4BB9">
      <w:pPr>
        <w:pStyle w:val="Prrafodelista"/>
        <w:ind w:left="709" w:hanging="709"/>
        <w:jc w:val="both"/>
        <w:rPr>
          <w:rFonts w:ascii="Arial" w:hAnsi="Arial" w:cs="Arial"/>
          <w:sz w:val="20"/>
          <w:szCs w:val="20"/>
        </w:rPr>
      </w:pPr>
    </w:p>
    <w:p w:rsidR="00D93231" w:rsidRPr="00AF4BB9" w:rsidRDefault="00D93231" w:rsidP="00AF4BB9">
      <w:pPr>
        <w:pStyle w:val="Prrafodelista"/>
        <w:numPr>
          <w:ilvl w:val="0"/>
          <w:numId w:val="23"/>
        </w:numPr>
        <w:ind w:left="709" w:hanging="709"/>
        <w:jc w:val="both"/>
        <w:rPr>
          <w:rFonts w:ascii="Arial" w:hAnsi="Arial" w:cs="Arial"/>
          <w:sz w:val="20"/>
          <w:szCs w:val="20"/>
        </w:rPr>
      </w:pPr>
      <w:r w:rsidRPr="00AF4BB9">
        <w:rPr>
          <w:rFonts w:ascii="Arial" w:hAnsi="Arial" w:cs="Arial"/>
          <w:sz w:val="20"/>
          <w:szCs w:val="20"/>
        </w:rPr>
        <w:t>La adquisición de vehículos, estará sujeta a la disponibilidad presupuestaria. Adicionalmente el Ejecutor de gasto deberá contar previamente con autorización expresa de la Secretaría.</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w:t>
      </w:r>
      <w:r w:rsidRPr="000F4558">
        <w:rPr>
          <w:rFonts w:ascii="Arial" w:hAnsi="Arial" w:cs="Arial"/>
        </w:rPr>
        <w:lastRenderedPageBreak/>
        <w:t>día hábil del mes de enero, sus respectivos lineamientos y el monto correspondiente a la meta de ahorro.</w:t>
      </w:r>
    </w:p>
    <w:p w:rsidR="00D93231" w:rsidRDefault="00D93231" w:rsidP="00D93231">
      <w:pPr>
        <w:jc w:val="both"/>
        <w:rPr>
          <w:rFonts w:ascii="Arial" w:hAnsi="Arial" w:cs="Arial"/>
        </w:rPr>
      </w:pPr>
    </w:p>
    <w:p w:rsidR="00D93231" w:rsidRPr="000F4558" w:rsidRDefault="00456770" w:rsidP="00D93231">
      <w:pPr>
        <w:jc w:val="both"/>
        <w:rPr>
          <w:rFonts w:ascii="Arial" w:hAnsi="Arial" w:cs="Arial"/>
        </w:rPr>
      </w:pPr>
      <w:r>
        <w:rPr>
          <w:rFonts w:ascii="Arial" w:hAnsi="Arial" w:cs="Arial"/>
        </w:rPr>
        <w:t>En la</w:t>
      </w:r>
      <w:r w:rsidR="00D93231" w:rsidRPr="000F4558">
        <w:rPr>
          <w:rFonts w:ascii="Arial" w:hAnsi="Arial" w:cs="Arial"/>
        </w:rPr>
        <w:t xml:space="preserve">s </w:t>
      </w:r>
      <w:r>
        <w:rPr>
          <w:rFonts w:ascii="Arial" w:hAnsi="Arial" w:cs="Arial"/>
        </w:rPr>
        <w:t>Cuantas Públicas trimestrales</w:t>
      </w:r>
      <w:r w:rsidR="00D93231" w:rsidRPr="000F4558">
        <w:rPr>
          <w:rFonts w:ascii="Arial" w:hAnsi="Arial" w:cs="Arial"/>
        </w:rPr>
        <w:t>, que envíen al Congreso de forma trimestral, los Poderes y los Órganos Autónomos deberán señalar las medidas adoptadas y los montos de ahorros obtenidos; reportes que serán considerados por la Comisión de Presupuesto y Programación en el proceso de análisis y aprobación de las erogaciones correspondientes al presupuesto de egresos para el siguiente ejercicio fiscal.</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Para el cumplimiento de las presentes medidas de austeridad, racionalidad y disciplina presupuestaria, la Contraloría y la Auditoría estarán facultadas para el seguimiento, revisión y fiscalización en el ámbito de sus respectivas competencias.</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66.</w:t>
      </w:r>
      <w:r w:rsidRPr="000F4558">
        <w:rPr>
          <w:rFonts w:ascii="Arial" w:hAnsi="Arial" w:cs="Arial"/>
        </w:rPr>
        <w:t xml:space="preserve"> Los montos asignados a las partidas presupuestarias: placas de tránsito, formas de registro y control vehicular; alimentación, servicio de comedor y víveres para personas; vestuario administrativo y de campo; prendas de protección personal; blancos y telas, excepto prendas de vestir; energía eléctrica; teléfono convencional; telefonía celular; Internet, redes y procesamiento de información; agua; arrendamiento de terrenos; arrendamiento de edificios; seguros y fianzas de equipo de transporte; seguros y fianzas de edificios; primas de seguros y fianzas; impuestos y derechos vehiculares; impuestos y derechos; suscripciones oficiales; servicios de vigilancia; servicios de investigación científica y desarrollo; servicios de consultoría administrativa, procesos, técnica y en tecnologías de la información; apoyos a damnificados; ayudas por desastres naturales y otros siniestros; servicios de protección y seguridad; y servicios profesionales, científicos y técnicos integrales, se considerarán intransferibles, y los saldos no ejercidos serán reducidos por la Secretaría como ahorro presupuestario.</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67.</w:t>
      </w:r>
      <w:r w:rsidRPr="000F4558">
        <w:rPr>
          <w:rFonts w:ascii="Arial" w:hAnsi="Arial" w:cs="Arial"/>
        </w:rPr>
        <w:t xml:space="preserve"> Con el propósito de optimizar el ejercicio del gasto corriente, la Secretaría definirá los porcentajes de los montos asignados a las partidas presupuestarias susceptibles de consolidarse.</w:t>
      </w:r>
    </w:p>
    <w:p w:rsidR="00D93231" w:rsidRPr="000F4558" w:rsidRDefault="00D93231"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Capítulo Primero</w:t>
      </w:r>
    </w:p>
    <w:p w:rsidR="00D93231" w:rsidRDefault="00D93231" w:rsidP="00D93231">
      <w:pPr>
        <w:jc w:val="center"/>
        <w:rPr>
          <w:rFonts w:ascii="Arial" w:hAnsi="Arial" w:cs="Arial"/>
          <w:b/>
        </w:rPr>
      </w:pPr>
      <w:r w:rsidRPr="000F4558">
        <w:rPr>
          <w:rFonts w:ascii="Arial" w:hAnsi="Arial" w:cs="Arial"/>
          <w:b/>
        </w:rPr>
        <w:t>De los Servicios Personales</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lastRenderedPageBreak/>
        <w:t>Artículo 68.</w:t>
      </w:r>
      <w:r w:rsidRPr="000F4558">
        <w:rPr>
          <w:rFonts w:ascii="Arial" w:hAnsi="Arial" w:cs="Arial"/>
        </w:rPr>
        <w:t xml:space="preserve"> Ningún servidor público del Poder Ejecutivo Estatal podrá percibir un sueldo bruto igual o superior al del Titular del Ejecutivo del Estado.</w:t>
      </w:r>
    </w:p>
    <w:p w:rsidR="00D93231" w:rsidRPr="000F4558" w:rsidRDefault="00D93231" w:rsidP="00D93231">
      <w:pPr>
        <w:jc w:val="both"/>
        <w:rPr>
          <w:rFonts w:ascii="Arial" w:hAnsi="Arial" w:cs="Arial"/>
        </w:rPr>
      </w:pPr>
    </w:p>
    <w:p w:rsidR="00D93231" w:rsidRPr="00EE6297" w:rsidRDefault="00D93231" w:rsidP="00D93231">
      <w:pPr>
        <w:jc w:val="both"/>
        <w:rPr>
          <w:rFonts w:ascii="Arial" w:hAnsi="Arial" w:cs="Arial"/>
        </w:rPr>
      </w:pPr>
      <w:r w:rsidRPr="00CE2363">
        <w:rPr>
          <w:rFonts w:ascii="Arial" w:hAnsi="Arial" w:cs="Arial"/>
          <w:b/>
        </w:rPr>
        <w:t>Artículo 69.</w:t>
      </w:r>
      <w:r w:rsidRPr="00CE2363">
        <w:rPr>
          <w:rFonts w:ascii="Arial" w:hAnsi="Arial" w:cs="Arial"/>
        </w:rPr>
        <w:t xml:space="preserve"> En el ejercicio presupuestario correspondiente a Servicios Personales se deberá cumplir lo siguiente:</w:t>
      </w:r>
    </w:p>
    <w:p w:rsidR="00D93231" w:rsidRPr="00EE6297" w:rsidRDefault="00D93231" w:rsidP="00D93231">
      <w:pPr>
        <w:jc w:val="both"/>
        <w:rPr>
          <w:rFonts w:ascii="Arial" w:hAnsi="Arial" w:cs="Arial"/>
        </w:rPr>
      </w:pPr>
    </w:p>
    <w:p w:rsidR="00D93231" w:rsidRDefault="00D93231" w:rsidP="004321ED">
      <w:pPr>
        <w:numPr>
          <w:ilvl w:val="0"/>
          <w:numId w:val="32"/>
        </w:numPr>
        <w:ind w:left="567" w:hanging="567"/>
        <w:jc w:val="both"/>
        <w:rPr>
          <w:rFonts w:ascii="Arial" w:hAnsi="Arial" w:cs="Arial"/>
        </w:rPr>
      </w:pPr>
      <w:r w:rsidRPr="000F4558">
        <w:rPr>
          <w:rFonts w:ascii="Arial" w:hAnsi="Arial" w:cs="Arial"/>
        </w:rPr>
        <w:t>Administración:</w:t>
      </w:r>
    </w:p>
    <w:p w:rsidR="00D93231" w:rsidRPr="000F4558" w:rsidRDefault="00D93231" w:rsidP="00D93231">
      <w:pPr>
        <w:jc w:val="both"/>
        <w:rPr>
          <w:rFonts w:ascii="Arial" w:hAnsi="Arial" w:cs="Arial"/>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Revisará las funciones y</w:t>
      </w:r>
      <w:r>
        <w:rPr>
          <w:rFonts w:ascii="Arial" w:hAnsi="Arial" w:cs="Arial"/>
          <w:sz w:val="20"/>
          <w:szCs w:val="20"/>
        </w:rPr>
        <w:t xml:space="preserve"> </w:t>
      </w:r>
      <w:r w:rsidRPr="000F4558">
        <w:rPr>
          <w:rFonts w:ascii="Arial" w:hAnsi="Arial" w:cs="Arial"/>
          <w:sz w:val="20"/>
          <w:szCs w:val="20"/>
        </w:rPr>
        <w:t>competencias de las Dependencias y Entidades a fin de identificar duplicidades y, en su caso, compactar áreas, o eliminar aquellas cuya existencia no se justifique a fin de optimizar recursos;</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 xml:space="preserve">No autorizará plazas de nueva creación en ninguna modalidad de contratación, sin </w:t>
      </w:r>
      <w:r>
        <w:rPr>
          <w:rFonts w:ascii="Arial" w:hAnsi="Arial" w:cs="Arial"/>
          <w:sz w:val="20"/>
          <w:szCs w:val="20"/>
        </w:rPr>
        <w:t xml:space="preserve">el comunicado de disponibilidad financiera </w:t>
      </w:r>
      <w:r w:rsidRPr="000F4558">
        <w:rPr>
          <w:rFonts w:ascii="Arial" w:hAnsi="Arial" w:cs="Arial"/>
          <w:sz w:val="20"/>
          <w:szCs w:val="20"/>
        </w:rPr>
        <w:t>de la Secretaría;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Verificará que las plazas de base únicamente sean utilizadas por sus titulares, por lo que las plazas de base de personal con licencia sin goce de sueldo deberán quedar reservadas, y</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6"/>
        </w:numPr>
        <w:ind w:hanging="720"/>
        <w:jc w:val="both"/>
        <w:rPr>
          <w:rFonts w:ascii="Arial" w:hAnsi="Arial" w:cs="Arial"/>
          <w:sz w:val="20"/>
          <w:szCs w:val="20"/>
        </w:rPr>
      </w:pPr>
      <w:r w:rsidRPr="000F4558">
        <w:rPr>
          <w:rFonts w:ascii="Arial" w:hAnsi="Arial" w:cs="Arial"/>
          <w:sz w:val="20"/>
          <w:szCs w:val="20"/>
        </w:rPr>
        <w:t>Verificará que las Dependencias y Entidades únicamente contraten personal de mandos medios y superiores, en estricto apego a la estructura orgánica autorizada.</w:t>
      </w:r>
    </w:p>
    <w:p w:rsidR="00D93231" w:rsidRPr="000F4558" w:rsidRDefault="00D93231" w:rsidP="00D93231">
      <w:pPr>
        <w:jc w:val="both"/>
        <w:rPr>
          <w:rFonts w:ascii="Arial" w:hAnsi="Arial" w:cs="Arial"/>
        </w:rPr>
      </w:pPr>
    </w:p>
    <w:p w:rsidR="00D93231" w:rsidRDefault="00D93231" w:rsidP="004321ED">
      <w:pPr>
        <w:numPr>
          <w:ilvl w:val="0"/>
          <w:numId w:val="32"/>
        </w:numPr>
        <w:ind w:left="567" w:hanging="567"/>
        <w:jc w:val="both"/>
        <w:rPr>
          <w:rFonts w:ascii="Arial" w:hAnsi="Arial" w:cs="Arial"/>
        </w:rPr>
      </w:pPr>
      <w:r w:rsidRPr="000F4558">
        <w:rPr>
          <w:rFonts w:ascii="Arial" w:hAnsi="Arial" w:cs="Arial"/>
        </w:rPr>
        <w:t>Ejecutores de gasto:</w:t>
      </w:r>
    </w:p>
    <w:p w:rsidR="00D93231" w:rsidRPr="000F4558" w:rsidRDefault="00D93231" w:rsidP="00D93231">
      <w:pPr>
        <w:jc w:val="both"/>
        <w:rPr>
          <w:rFonts w:ascii="Arial" w:hAnsi="Arial" w:cs="Arial"/>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apegarán estrictamente a los niveles establecidos en los tabuladores de sueldos del </w:t>
      </w:r>
      <w:r w:rsidRPr="000F4558">
        <w:rPr>
          <w:rFonts w:ascii="Arial" w:hAnsi="Arial" w:cs="Arial"/>
          <w:b/>
          <w:sz w:val="20"/>
          <w:szCs w:val="20"/>
        </w:rPr>
        <w:t>Anexo 4</w:t>
      </w:r>
      <w:r w:rsidRPr="000F4558">
        <w:rPr>
          <w:rFonts w:ascii="Arial" w:hAnsi="Arial" w:cs="Arial"/>
          <w:sz w:val="20"/>
          <w:szCs w:val="20"/>
        </w:rPr>
        <w:t xml:space="preserve"> que forma parte del presente Decreto; </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No crearán plazas, salvo las que sean resultado de reformas jurídicas y en estricto apego a la estructura orgánica autorizada;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Regularán las remuneraciones adicionales por jornadas u horas extraordinarias, de conformidad con las disposiciones que establezcan el Consejo de la Judicatura, la Tesorería o su equivalente de la Legislatura del Estado, las tesorerías o su equivalente de los Órganos Autónomos, el Poder Ejecutivo a través </w:t>
      </w:r>
      <w:r w:rsidRPr="000F4558">
        <w:rPr>
          <w:rFonts w:ascii="Arial" w:hAnsi="Arial" w:cs="Arial"/>
          <w:sz w:val="20"/>
          <w:szCs w:val="20"/>
        </w:rPr>
        <w:lastRenderedPageBreak/>
        <w:t xml:space="preserve">de Administración y la Secretaría, de acuerdo al Presupuesto de egresos aprobado. Asimismo, se deberán poner en práctica mecanismos de trabajo que permitan reducir al mínimo su pago en los casos en que existan las asignaciones correspondientes; </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Solo podrán contratar personal bajo la modalidad de honorarios asimilados a salarios, previa aprobación de la cobertura presupuestaria emitida por la Secretaría, que no podrá ser mayor al monto ejercido en el año fiscal inmediato anterior;</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Las plazas en litigio no deberán ser ocupadas hasta la emisión de sentencia </w:t>
      </w:r>
      <w:r>
        <w:rPr>
          <w:rFonts w:ascii="Arial" w:hAnsi="Arial" w:cs="Arial"/>
          <w:sz w:val="20"/>
          <w:szCs w:val="20"/>
        </w:rPr>
        <w:t>definitiva</w:t>
      </w:r>
      <w:r w:rsidRPr="000F4558">
        <w:rPr>
          <w:rFonts w:ascii="Arial" w:hAnsi="Arial" w:cs="Arial"/>
          <w:sz w:val="20"/>
          <w:szCs w:val="20"/>
        </w:rPr>
        <w:t xml:space="preserve"> y cumplimiento de la misma;</w:t>
      </w:r>
    </w:p>
    <w:p w:rsidR="00D93231" w:rsidRPr="000F4558" w:rsidRDefault="00D93231" w:rsidP="00CE2363">
      <w:pPr>
        <w:pStyle w:val="Prrafodelista"/>
        <w:ind w:hanging="720"/>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abstendrán de proponer traspasos de recursos de otros capítulos de gasto al capítulo de servicios personales y viceversa; </w:t>
      </w:r>
    </w:p>
    <w:p w:rsidR="00D93231" w:rsidRPr="000F4558" w:rsidRDefault="00D93231" w:rsidP="00CE2363">
      <w:pPr>
        <w:pStyle w:val="Prrafodelista"/>
        <w:ind w:hanging="720"/>
        <w:jc w:val="both"/>
        <w:rPr>
          <w:rFonts w:ascii="Arial" w:hAnsi="Arial" w:cs="Arial"/>
          <w:sz w:val="20"/>
          <w:szCs w:val="20"/>
        </w:rPr>
      </w:pPr>
    </w:p>
    <w:p w:rsidR="00D93231"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 xml:space="preserve">Se abstendrán de contratar recursos humanos que generen incompatibilidad en el empleo. </w:t>
      </w:r>
    </w:p>
    <w:p w:rsidR="00D93231" w:rsidRDefault="00D93231" w:rsidP="00D93231">
      <w:pPr>
        <w:pStyle w:val="Prrafodelista"/>
        <w:rPr>
          <w:rFonts w:ascii="Arial" w:hAnsi="Arial" w:cs="Arial"/>
          <w:sz w:val="20"/>
          <w:szCs w:val="20"/>
        </w:rPr>
      </w:pPr>
    </w:p>
    <w:p w:rsidR="00D93231" w:rsidRPr="000F4558" w:rsidRDefault="00D93231" w:rsidP="00CE2363">
      <w:pPr>
        <w:pStyle w:val="Prrafodelista"/>
        <w:ind w:left="709"/>
        <w:jc w:val="both"/>
        <w:rPr>
          <w:rFonts w:ascii="Arial" w:hAnsi="Arial" w:cs="Arial"/>
          <w:sz w:val="20"/>
          <w:szCs w:val="20"/>
        </w:rPr>
      </w:pPr>
      <w:r w:rsidRPr="000F4558">
        <w:rPr>
          <w:rFonts w:ascii="Arial" w:hAnsi="Arial" w:cs="Arial"/>
          <w:sz w:val="20"/>
          <w:szCs w:val="20"/>
        </w:rPr>
        <w:t>Se considerará la existencia de incompatibilidad en el empleo, cuando una sola persona ocupe dos o más puestos o comisiones remunerados con cargo al Decreto, o cuando se ocupen más de un puesto en cualquier Municipio, en el Gobierno del Estado o en la Federación</w:t>
      </w:r>
      <w:r>
        <w:rPr>
          <w:rFonts w:ascii="Arial" w:hAnsi="Arial" w:cs="Arial"/>
          <w:sz w:val="20"/>
          <w:szCs w:val="20"/>
        </w:rPr>
        <w:t>,</w:t>
      </w:r>
      <w:r w:rsidRPr="000F4558">
        <w:rPr>
          <w:rFonts w:ascii="Arial" w:hAnsi="Arial" w:cs="Arial"/>
          <w:sz w:val="20"/>
          <w:szCs w:val="20"/>
        </w:rPr>
        <w:t xml:space="preserve"> y</w:t>
      </w:r>
    </w:p>
    <w:p w:rsidR="00D93231" w:rsidRPr="000F4558" w:rsidRDefault="00D93231" w:rsidP="00D93231">
      <w:pPr>
        <w:pStyle w:val="Prrafodelista"/>
        <w:jc w:val="both"/>
        <w:rPr>
          <w:rFonts w:ascii="Arial" w:hAnsi="Arial" w:cs="Arial"/>
          <w:sz w:val="20"/>
          <w:szCs w:val="20"/>
        </w:rPr>
      </w:pPr>
    </w:p>
    <w:p w:rsidR="00D93231" w:rsidRPr="000F4558" w:rsidRDefault="00D93231" w:rsidP="00CE2363">
      <w:pPr>
        <w:pStyle w:val="Prrafodelista"/>
        <w:numPr>
          <w:ilvl w:val="0"/>
          <w:numId w:val="27"/>
        </w:numPr>
        <w:ind w:hanging="720"/>
        <w:jc w:val="both"/>
        <w:rPr>
          <w:rFonts w:ascii="Arial" w:hAnsi="Arial" w:cs="Arial"/>
          <w:sz w:val="20"/>
          <w:szCs w:val="20"/>
        </w:rPr>
      </w:pPr>
      <w:r w:rsidRPr="000F4558">
        <w:rPr>
          <w:rFonts w:ascii="Arial" w:hAnsi="Arial" w:cs="Arial"/>
          <w:sz w:val="20"/>
          <w:szCs w:val="20"/>
        </w:rPr>
        <w:t>Se abstendrán de traspasar recursos destinados a programas de capacitación a otras partidas presupuestarias.</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70.</w:t>
      </w:r>
      <w:r w:rsidRPr="000F4558">
        <w:rPr>
          <w:rFonts w:ascii="Arial" w:hAnsi="Arial" w:cs="Arial"/>
        </w:rPr>
        <w:t xml:space="preserve"> Las listas de raya con cargo a servicios personales o </w:t>
      </w:r>
      <w:r>
        <w:rPr>
          <w:rFonts w:ascii="Arial" w:hAnsi="Arial" w:cs="Arial"/>
        </w:rPr>
        <w:t xml:space="preserve">derivados de proyectos de </w:t>
      </w:r>
      <w:r w:rsidRPr="000F4558">
        <w:rPr>
          <w:rFonts w:ascii="Arial" w:hAnsi="Arial" w:cs="Arial"/>
        </w:rPr>
        <w:t xml:space="preserve"> inversión, que por su naturaleza requieran la contratación de personal eventual, se tramitarán en la Secretaría previa validación de Administración.</w:t>
      </w:r>
    </w:p>
    <w:p w:rsidR="00D93231" w:rsidRPr="000F4558" w:rsidRDefault="00D93231" w:rsidP="00D93231">
      <w:pPr>
        <w:jc w:val="both"/>
        <w:rPr>
          <w:rFonts w:ascii="Arial" w:hAnsi="Arial" w:cs="Arial"/>
        </w:rPr>
      </w:pPr>
      <w:r w:rsidRPr="000F4558">
        <w:rPr>
          <w:rFonts w:ascii="Arial" w:hAnsi="Arial" w:cs="Arial"/>
        </w:rPr>
        <w:t> </w:t>
      </w:r>
    </w:p>
    <w:p w:rsidR="00D93231" w:rsidRPr="000F4558" w:rsidRDefault="00D93231" w:rsidP="00D93231">
      <w:pPr>
        <w:jc w:val="both"/>
        <w:rPr>
          <w:rFonts w:ascii="Arial" w:hAnsi="Arial" w:cs="Arial"/>
        </w:rPr>
      </w:pPr>
      <w:r w:rsidRPr="000F4558">
        <w:rPr>
          <w:rFonts w:ascii="Arial" w:hAnsi="Arial" w:cs="Arial"/>
          <w:b/>
        </w:rPr>
        <w:t>Artículo 71.</w:t>
      </w:r>
      <w:r w:rsidRPr="000F4558">
        <w:rPr>
          <w:rFonts w:ascii="Arial" w:hAnsi="Arial" w:cs="Arial"/>
        </w:rPr>
        <w:t xml:space="preserve"> Se podrá contratar personal eventual, con cargo a los derechos recaudados de supervisión de obra pública previsto en el artículo </w:t>
      </w:r>
      <w:r w:rsidRPr="000F4558">
        <w:rPr>
          <w:rFonts w:ascii="Arial" w:hAnsi="Arial" w:cs="Arial"/>
        </w:rPr>
        <w:lastRenderedPageBreak/>
        <w:t xml:space="preserve">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72.</w:t>
      </w:r>
      <w:r w:rsidRPr="000F4558">
        <w:rPr>
          <w:rFonts w:ascii="Arial" w:hAnsi="Arial" w:cs="Arial"/>
        </w:rPr>
        <w:t xml:space="preserve"> Las Dependencias y Entidades no podrán autorizar ningún tipo de gratificación, compensación, bono o emolumento extraordinario sin la autorización de Administración, previa determinación de disponibilidad presupuestaria emitida por la Secretaría.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D93231" w:rsidRPr="000F4558"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b/>
        </w:rPr>
        <w:t>Artículo 73.</w:t>
      </w:r>
      <w:r w:rsidRPr="000F4558">
        <w:rPr>
          <w:rFonts w:ascii="Arial" w:hAnsi="Arial" w:cs="Arial"/>
        </w:rPr>
        <w:t xml:space="preserve"> Los recursos previstos en Servicios Personales que por alguna causa no se ejerzan, se considerarán ahorro presupuestario y serán cancelados por la Secretaría, sin que medie solicitud de los Ejecutores de gasto.</w:t>
      </w:r>
    </w:p>
    <w:p w:rsidR="00D93231" w:rsidRPr="00FD680D" w:rsidRDefault="00D93231" w:rsidP="00D93231">
      <w:pPr>
        <w:jc w:val="center"/>
        <w:rPr>
          <w:rFonts w:ascii="Arial" w:hAnsi="Arial" w:cs="Arial"/>
          <w:b/>
          <w:sz w:val="16"/>
          <w:szCs w:val="16"/>
        </w:rPr>
      </w:pPr>
    </w:p>
    <w:p w:rsidR="00D93231" w:rsidRPr="000F4558" w:rsidRDefault="00D93231" w:rsidP="00D93231">
      <w:pPr>
        <w:jc w:val="center"/>
        <w:rPr>
          <w:rFonts w:ascii="Arial" w:hAnsi="Arial" w:cs="Arial"/>
          <w:b/>
        </w:rPr>
      </w:pPr>
      <w:r w:rsidRPr="000F4558">
        <w:rPr>
          <w:rFonts w:ascii="Arial" w:hAnsi="Arial" w:cs="Arial"/>
          <w:b/>
        </w:rPr>
        <w:t>Capítulo Segundo</w:t>
      </w:r>
    </w:p>
    <w:p w:rsidR="00D93231" w:rsidRPr="000F4558" w:rsidRDefault="00D93231" w:rsidP="00D93231">
      <w:pPr>
        <w:jc w:val="center"/>
        <w:rPr>
          <w:rFonts w:ascii="Arial" w:hAnsi="Arial" w:cs="Arial"/>
          <w:b/>
        </w:rPr>
      </w:pPr>
      <w:r w:rsidRPr="000F4558">
        <w:rPr>
          <w:rFonts w:ascii="Arial" w:hAnsi="Arial" w:cs="Arial"/>
          <w:b/>
        </w:rPr>
        <w:t>De Materiales y Suministros</w:t>
      </w:r>
    </w:p>
    <w:p w:rsidR="00D93231" w:rsidRPr="00FD680D" w:rsidRDefault="00D93231" w:rsidP="00D93231">
      <w:pPr>
        <w:jc w:val="both"/>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74</w:t>
      </w:r>
      <w:r w:rsidRPr="000F4558">
        <w:rPr>
          <w:rFonts w:ascii="Arial" w:hAnsi="Arial" w:cs="Arial"/>
        </w:rPr>
        <w:t>. En el ejercicio presupuestario correspondiente a materiales y Suministros se deberá cumplir lo siguiente:</w:t>
      </w:r>
    </w:p>
    <w:p w:rsidR="00D93231" w:rsidRPr="00FD680D" w:rsidRDefault="00D93231" w:rsidP="00D93231">
      <w:pPr>
        <w:jc w:val="both"/>
        <w:rPr>
          <w:rFonts w:ascii="Arial" w:hAnsi="Arial" w:cs="Arial"/>
          <w:sz w:val="16"/>
          <w:szCs w:val="16"/>
        </w:rPr>
      </w:pPr>
      <w:r w:rsidRPr="000F4558">
        <w:rPr>
          <w:rFonts w:ascii="Arial" w:hAnsi="Arial" w:cs="Arial"/>
        </w:rPr>
        <w:t xml:space="preserve"> </w:t>
      </w: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El vestuario, los uniformes y prendas de protección deberán ser otorgados únicamente al personal que autorice Administración, considerando la naturaleza de las funciones que realiza y de conformidad con los convenios establecidos;</w:t>
      </w:r>
    </w:p>
    <w:p w:rsidR="00D93231" w:rsidRPr="000F4558" w:rsidRDefault="00D93231" w:rsidP="00CE2363">
      <w:pPr>
        <w:pStyle w:val="Prrafodelista"/>
        <w:ind w:hanging="720"/>
        <w:contextualSpacing w:val="0"/>
        <w:jc w:val="both"/>
        <w:rPr>
          <w:rFonts w:ascii="Arial" w:hAnsi="Arial" w:cs="Arial"/>
          <w:sz w:val="20"/>
          <w:szCs w:val="20"/>
        </w:rPr>
      </w:pP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lastRenderedPageBreak/>
        <w:t>Los combustibles y lubricantes deberán ser únicamente para vehículos oficiales y en comisiones oficiales, por lo que deberán abstenerse de destinarlos para uso personal;</w:t>
      </w:r>
    </w:p>
    <w:p w:rsidR="00D93231" w:rsidRPr="000F4558" w:rsidRDefault="00D93231" w:rsidP="00CE2363">
      <w:pPr>
        <w:pStyle w:val="Prrafodelista"/>
        <w:ind w:hanging="720"/>
        <w:contextualSpacing w:val="0"/>
        <w:rPr>
          <w:rFonts w:ascii="Arial" w:hAnsi="Arial" w:cs="Arial"/>
          <w:sz w:val="20"/>
          <w:szCs w:val="20"/>
        </w:rPr>
      </w:pPr>
    </w:p>
    <w:p w:rsidR="00D93231" w:rsidRPr="000F4558" w:rsidRDefault="00D93231" w:rsidP="00CE2363">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Ningún vehículo oficial deberá ser utilizado para uso personal, ni circular fines de semana y días festivos, salvo en circunstancias debidamente justificadas</w:t>
      </w:r>
      <w:r>
        <w:rPr>
          <w:rFonts w:ascii="Arial" w:hAnsi="Arial" w:cs="Arial"/>
          <w:sz w:val="20"/>
          <w:szCs w:val="20"/>
        </w:rPr>
        <w:t>,</w:t>
      </w:r>
      <w:r w:rsidRPr="000F4558">
        <w:rPr>
          <w:rFonts w:ascii="Arial" w:hAnsi="Arial" w:cs="Arial"/>
          <w:sz w:val="20"/>
          <w:szCs w:val="20"/>
        </w:rPr>
        <w:t xml:space="preserve"> y</w:t>
      </w:r>
    </w:p>
    <w:p w:rsidR="00D93231" w:rsidRPr="000F4558" w:rsidRDefault="00D93231" w:rsidP="00CE2363">
      <w:pPr>
        <w:pStyle w:val="Prrafodelista"/>
        <w:ind w:hanging="720"/>
        <w:contextualSpacing w:val="0"/>
        <w:jc w:val="both"/>
        <w:rPr>
          <w:rFonts w:ascii="Arial" w:hAnsi="Arial" w:cs="Arial"/>
          <w:sz w:val="20"/>
          <w:szCs w:val="20"/>
        </w:rPr>
      </w:pPr>
    </w:p>
    <w:p w:rsidR="009F7B86" w:rsidRPr="009F7B86" w:rsidRDefault="00D93231" w:rsidP="009F7B86">
      <w:pPr>
        <w:pStyle w:val="Prrafodelista"/>
        <w:numPr>
          <w:ilvl w:val="0"/>
          <w:numId w:val="28"/>
        </w:numPr>
        <w:ind w:hanging="720"/>
        <w:contextualSpacing w:val="0"/>
        <w:jc w:val="both"/>
        <w:rPr>
          <w:rFonts w:ascii="Arial" w:hAnsi="Arial" w:cs="Arial"/>
          <w:sz w:val="20"/>
          <w:szCs w:val="20"/>
        </w:rPr>
      </w:pPr>
      <w:r w:rsidRPr="000F4558">
        <w:rPr>
          <w:rFonts w:ascii="Arial" w:hAnsi="Arial" w:cs="Arial"/>
          <w:sz w:val="20"/>
          <w:szCs w:val="20"/>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D93231" w:rsidRPr="00FD680D" w:rsidRDefault="00D93231" w:rsidP="00D93231">
      <w:pPr>
        <w:jc w:val="both"/>
        <w:rPr>
          <w:rFonts w:ascii="Arial" w:hAnsi="Arial" w:cs="Arial"/>
          <w:sz w:val="16"/>
          <w:szCs w:val="16"/>
        </w:rPr>
      </w:pPr>
    </w:p>
    <w:p w:rsidR="00D93231" w:rsidRPr="000F4558" w:rsidRDefault="00D93231" w:rsidP="00D93231">
      <w:pPr>
        <w:jc w:val="center"/>
        <w:rPr>
          <w:rFonts w:ascii="Arial" w:hAnsi="Arial" w:cs="Arial"/>
          <w:b/>
        </w:rPr>
      </w:pPr>
      <w:r w:rsidRPr="000F4558">
        <w:rPr>
          <w:rFonts w:ascii="Arial" w:hAnsi="Arial" w:cs="Arial"/>
          <w:b/>
        </w:rPr>
        <w:t>Capítulo Tercero</w:t>
      </w:r>
    </w:p>
    <w:p w:rsidR="00D93231" w:rsidRPr="000F4558" w:rsidRDefault="00D93231" w:rsidP="00D93231">
      <w:pPr>
        <w:jc w:val="center"/>
        <w:rPr>
          <w:rFonts w:ascii="Arial" w:hAnsi="Arial" w:cs="Arial"/>
          <w:b/>
        </w:rPr>
      </w:pPr>
      <w:r w:rsidRPr="000F4558">
        <w:rPr>
          <w:rFonts w:ascii="Arial" w:hAnsi="Arial" w:cs="Arial"/>
          <w:b/>
        </w:rPr>
        <w:t>De los Servicios Generales</w:t>
      </w:r>
    </w:p>
    <w:p w:rsidR="00D93231" w:rsidRPr="00FD680D" w:rsidRDefault="00D93231" w:rsidP="00D93231">
      <w:pPr>
        <w:jc w:val="both"/>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75.</w:t>
      </w:r>
      <w:r w:rsidRPr="000F4558">
        <w:rPr>
          <w:rFonts w:ascii="Arial" w:hAnsi="Arial" w:cs="Arial"/>
        </w:rPr>
        <w:t xml:space="preserve"> En el ejercicio presupuestal correspondiente a servicios generales se deberá cumplir lo siguiente: </w:t>
      </w:r>
    </w:p>
    <w:p w:rsidR="00D93231" w:rsidRPr="00FD680D" w:rsidRDefault="00D93231" w:rsidP="00D93231">
      <w:pPr>
        <w:jc w:val="both"/>
        <w:rPr>
          <w:rFonts w:ascii="Arial" w:hAnsi="Arial" w:cs="Arial"/>
          <w:sz w:val="16"/>
          <w:szCs w:val="16"/>
        </w:rPr>
      </w:pPr>
    </w:p>
    <w:p w:rsidR="00D93231" w:rsidRDefault="00D93231" w:rsidP="00CE2363">
      <w:pPr>
        <w:numPr>
          <w:ilvl w:val="0"/>
          <w:numId w:val="33"/>
        </w:numPr>
        <w:tabs>
          <w:tab w:val="left" w:pos="426"/>
        </w:tabs>
        <w:ind w:left="709" w:hanging="709"/>
        <w:jc w:val="both"/>
        <w:rPr>
          <w:rFonts w:ascii="Arial" w:hAnsi="Arial" w:cs="Arial"/>
        </w:rPr>
      </w:pPr>
      <w:r w:rsidRPr="000F4558">
        <w:rPr>
          <w:rFonts w:ascii="Arial" w:hAnsi="Arial" w:cs="Arial"/>
        </w:rPr>
        <w:t>Administración:</w:t>
      </w:r>
    </w:p>
    <w:p w:rsidR="00D93231" w:rsidRPr="00FD680D" w:rsidRDefault="00D93231" w:rsidP="00CE2363">
      <w:pPr>
        <w:tabs>
          <w:tab w:val="left" w:pos="426"/>
        </w:tabs>
        <w:ind w:left="709" w:hanging="709"/>
        <w:jc w:val="both"/>
        <w:rPr>
          <w:rFonts w:ascii="Arial" w:hAnsi="Arial" w:cs="Arial"/>
          <w:sz w:val="16"/>
          <w:szCs w:val="16"/>
        </w:rPr>
      </w:pPr>
    </w:p>
    <w:p w:rsidR="00D93231" w:rsidRPr="000F4558" w:rsidRDefault="00D93231" w:rsidP="00CE2363">
      <w:pPr>
        <w:pStyle w:val="Prrafodelista"/>
        <w:numPr>
          <w:ilvl w:val="0"/>
          <w:numId w:val="29"/>
        </w:numPr>
        <w:ind w:left="709" w:hanging="709"/>
        <w:jc w:val="both"/>
        <w:rPr>
          <w:rFonts w:ascii="Arial" w:hAnsi="Arial" w:cs="Arial"/>
          <w:sz w:val="20"/>
          <w:szCs w:val="20"/>
        </w:rPr>
      </w:pPr>
      <w:r w:rsidRPr="000F4558">
        <w:rPr>
          <w:rFonts w:ascii="Arial" w:hAnsi="Arial" w:cs="Arial"/>
          <w:sz w:val="20"/>
          <w:szCs w:val="20"/>
        </w:rPr>
        <w:t>Autorizará el servicio de telefonía celular, únicamente a los siguientes servidores públicos de nivel Secretario, Procurador General, Consejero Jurídico, Director General, Subsecretario, Subprocurador, Director de área y Titular de la Unidad de administración que por la naturaleza de sus funciones requieren del servicio;</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29"/>
        </w:numPr>
        <w:ind w:left="709" w:hanging="709"/>
        <w:jc w:val="both"/>
        <w:rPr>
          <w:rFonts w:ascii="Arial" w:hAnsi="Arial" w:cs="Arial"/>
          <w:sz w:val="20"/>
          <w:szCs w:val="20"/>
        </w:rPr>
      </w:pPr>
      <w:r w:rsidRPr="000F4558">
        <w:rPr>
          <w:rFonts w:ascii="Arial" w:hAnsi="Arial" w:cs="Arial"/>
          <w:sz w:val="20"/>
          <w:szCs w:val="20"/>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2015.</w:t>
      </w:r>
    </w:p>
    <w:p w:rsidR="00D93231" w:rsidRPr="00FD680D" w:rsidRDefault="00D93231" w:rsidP="00CE2363">
      <w:pPr>
        <w:pStyle w:val="Prrafodelista"/>
        <w:ind w:left="709" w:hanging="709"/>
        <w:rPr>
          <w:rFonts w:ascii="Arial" w:hAnsi="Arial" w:cs="Arial"/>
          <w:sz w:val="16"/>
          <w:szCs w:val="16"/>
        </w:rPr>
      </w:pPr>
    </w:p>
    <w:p w:rsidR="00D93231" w:rsidRDefault="00D93231" w:rsidP="00CE2363">
      <w:pPr>
        <w:numPr>
          <w:ilvl w:val="0"/>
          <w:numId w:val="32"/>
        </w:numPr>
        <w:ind w:left="709" w:hanging="709"/>
        <w:jc w:val="both"/>
        <w:rPr>
          <w:rFonts w:ascii="Arial" w:hAnsi="Arial" w:cs="Arial"/>
        </w:rPr>
      </w:pPr>
      <w:r w:rsidRPr="000F4558">
        <w:rPr>
          <w:rFonts w:ascii="Arial" w:hAnsi="Arial" w:cs="Arial"/>
        </w:rPr>
        <w:t>Ejecutores de gasto:</w:t>
      </w:r>
    </w:p>
    <w:p w:rsidR="00D93231" w:rsidRPr="00FD680D" w:rsidRDefault="00D93231" w:rsidP="00CE2363">
      <w:pPr>
        <w:ind w:left="709" w:hanging="709"/>
        <w:jc w:val="both"/>
        <w:rPr>
          <w:rFonts w:ascii="Arial" w:hAnsi="Arial" w:cs="Arial"/>
          <w:sz w:val="16"/>
          <w:szCs w:val="16"/>
        </w:rPr>
      </w:pP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Establecerán medidas de racionalidad específicas para el ahorro de energía eléctrica, agua potable, internet y telefonía convencional y celular;</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lastRenderedPageBreak/>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D93231" w:rsidRPr="000F4558"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Reducir el ejercicio del gasto en un 10 por ciento del monto total aprobado, en los conceptos de viáticos, pasajes y gastos en comisión</w:t>
      </w:r>
      <w:r>
        <w:rPr>
          <w:rFonts w:ascii="Arial" w:hAnsi="Arial" w:cs="Arial"/>
          <w:sz w:val="20"/>
          <w:szCs w:val="20"/>
        </w:rPr>
        <w:t>,</w:t>
      </w:r>
      <w:r w:rsidRPr="000F4558">
        <w:rPr>
          <w:rFonts w:ascii="Arial" w:hAnsi="Arial" w:cs="Arial"/>
          <w:sz w:val="20"/>
          <w:szCs w:val="20"/>
        </w:rPr>
        <w:t xml:space="preserve"> y</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30"/>
        </w:numPr>
        <w:ind w:left="709" w:hanging="709"/>
        <w:jc w:val="both"/>
        <w:rPr>
          <w:rFonts w:ascii="Arial" w:hAnsi="Arial" w:cs="Arial"/>
          <w:sz w:val="20"/>
          <w:szCs w:val="20"/>
        </w:rPr>
      </w:pPr>
      <w:r w:rsidRPr="000F4558">
        <w:rPr>
          <w:rFonts w:ascii="Arial" w:hAnsi="Arial" w:cs="Arial"/>
          <w:sz w:val="20"/>
          <w:szCs w:val="20"/>
        </w:rPr>
        <w:t>Reducir el ejercicio del gasto en un 25 por ciento del monto total aprobado, en los conceptos de congresos, reuniones, convenciones, exposiciones, espectáculos culturales, gastos ceremoniales, gastos de orden social, fomento cultural, fomento deportivo y fomento de actividades cívicas, vigilando que éstos sean de carácter institucional.</w:t>
      </w:r>
    </w:p>
    <w:p w:rsidR="00D93231" w:rsidRPr="00FD680D" w:rsidRDefault="00D93231" w:rsidP="00CE2363">
      <w:pPr>
        <w:pStyle w:val="Prrafodelista"/>
        <w:ind w:left="709" w:hanging="709"/>
        <w:contextualSpacing w:val="0"/>
        <w:rPr>
          <w:rFonts w:ascii="Arial" w:hAnsi="Arial" w:cs="Arial"/>
          <w:sz w:val="16"/>
          <w:szCs w:val="16"/>
        </w:rPr>
      </w:pPr>
    </w:p>
    <w:p w:rsidR="00D93231" w:rsidRDefault="00D93231" w:rsidP="00CE2363">
      <w:pPr>
        <w:numPr>
          <w:ilvl w:val="0"/>
          <w:numId w:val="32"/>
        </w:numPr>
        <w:ind w:left="709" w:hanging="709"/>
        <w:jc w:val="both"/>
        <w:rPr>
          <w:rFonts w:ascii="Arial" w:hAnsi="Arial" w:cs="Arial"/>
        </w:rPr>
      </w:pPr>
      <w:r w:rsidRPr="000F4558">
        <w:rPr>
          <w:rFonts w:ascii="Arial" w:hAnsi="Arial" w:cs="Arial"/>
        </w:rPr>
        <w:t>Dependencias y Entidades:</w:t>
      </w:r>
    </w:p>
    <w:p w:rsidR="00D93231" w:rsidRPr="00FD680D" w:rsidRDefault="00D93231" w:rsidP="00CE2363">
      <w:pPr>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en un 5 por ciento este concepto mediante acciones de austeridad.</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No se contratarán servicios por consultorías y asesorías que sustituyan las funciones sustantivas del Ejecutor de gasto. Se exceptúan los servicios relacionados</w:t>
      </w:r>
      <w:r>
        <w:rPr>
          <w:rFonts w:ascii="Arial" w:hAnsi="Arial" w:cs="Arial"/>
          <w:sz w:val="20"/>
          <w:szCs w:val="20"/>
        </w:rPr>
        <w:t xml:space="preserve"> </w:t>
      </w:r>
      <w:r w:rsidRPr="000F4558">
        <w:rPr>
          <w:rFonts w:ascii="Arial" w:hAnsi="Arial" w:cs="Arial"/>
          <w:sz w:val="20"/>
          <w:szCs w:val="20"/>
        </w:rPr>
        <w:t>a auditorías e integración de libros blancos.</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Para realizar reuniones de trabajo evitarán la contratación de espacios externos cuya utilización tenga un costo, procurando hacer uso de sus instalaciones, y en su caso, pedir en préstamo el espacio de otras Dependencias y Entidades;</w:t>
      </w:r>
    </w:p>
    <w:p w:rsidR="00D93231" w:rsidRPr="00FD680D" w:rsidRDefault="00D93231" w:rsidP="00CE2363">
      <w:pPr>
        <w:pStyle w:val="Prrafodelista"/>
        <w:ind w:left="709" w:hanging="709"/>
        <w:jc w:val="both"/>
        <w:rPr>
          <w:rFonts w:ascii="Arial" w:hAnsi="Arial" w:cs="Arial"/>
          <w:sz w:val="16"/>
          <w:szCs w:val="16"/>
        </w:rPr>
      </w:pPr>
    </w:p>
    <w:p w:rsidR="00D93231" w:rsidRPr="000F4558"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Establecerán y difundirán rutas y horarios para el traslado y entrega de mensajería, con el objeto de disminuir costos, y</w:t>
      </w:r>
    </w:p>
    <w:p w:rsidR="00D93231" w:rsidRPr="00FD680D" w:rsidRDefault="00D93231" w:rsidP="00CE2363">
      <w:pPr>
        <w:pStyle w:val="Prrafodelista"/>
        <w:ind w:left="709" w:hanging="709"/>
        <w:jc w:val="both"/>
        <w:rPr>
          <w:rFonts w:ascii="Arial" w:hAnsi="Arial" w:cs="Arial"/>
          <w:sz w:val="16"/>
          <w:szCs w:val="16"/>
        </w:rPr>
      </w:pPr>
    </w:p>
    <w:p w:rsidR="00D93231" w:rsidRDefault="00D93231" w:rsidP="00CE2363">
      <w:pPr>
        <w:pStyle w:val="Prrafodelista"/>
        <w:numPr>
          <w:ilvl w:val="0"/>
          <w:numId w:val="31"/>
        </w:numPr>
        <w:ind w:left="709" w:hanging="709"/>
        <w:jc w:val="both"/>
        <w:rPr>
          <w:rFonts w:ascii="Arial" w:hAnsi="Arial" w:cs="Arial"/>
          <w:sz w:val="20"/>
          <w:szCs w:val="20"/>
        </w:rPr>
      </w:pPr>
      <w:r w:rsidRPr="000F4558">
        <w:rPr>
          <w:rFonts w:ascii="Arial" w:hAnsi="Arial" w:cs="Arial"/>
          <w:sz w:val="20"/>
          <w:szCs w:val="20"/>
        </w:rPr>
        <w:t>Darán estricto cumplimiento a las disposiciones vigentes para el ejercicio de la partida de viáticos.</w:t>
      </w:r>
    </w:p>
    <w:p w:rsidR="00D46979" w:rsidRPr="00D46979" w:rsidRDefault="00D46979" w:rsidP="00D46979">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lastRenderedPageBreak/>
        <w:t>Capítulo Cuarto</w:t>
      </w:r>
    </w:p>
    <w:p w:rsidR="00D93231" w:rsidRPr="000F4558" w:rsidRDefault="00D93231" w:rsidP="00D93231">
      <w:pPr>
        <w:jc w:val="center"/>
        <w:rPr>
          <w:rFonts w:ascii="Arial" w:hAnsi="Arial" w:cs="Arial"/>
          <w:b/>
        </w:rPr>
      </w:pPr>
      <w:r w:rsidRPr="000F4558">
        <w:rPr>
          <w:rFonts w:ascii="Arial" w:hAnsi="Arial" w:cs="Arial"/>
          <w:b/>
        </w:rPr>
        <w:t xml:space="preserve">Rangos </w:t>
      </w:r>
      <w:r>
        <w:rPr>
          <w:rFonts w:ascii="Arial" w:hAnsi="Arial" w:cs="Arial"/>
          <w:b/>
        </w:rPr>
        <w:t>para</w:t>
      </w:r>
      <w:r w:rsidRPr="000F4558">
        <w:rPr>
          <w:rFonts w:ascii="Arial" w:hAnsi="Arial" w:cs="Arial"/>
          <w:b/>
        </w:rPr>
        <w:t xml:space="preserve"> adquisición</w:t>
      </w:r>
      <w:r>
        <w:rPr>
          <w:rFonts w:ascii="Arial" w:hAnsi="Arial" w:cs="Arial"/>
          <w:b/>
        </w:rPr>
        <w:t xml:space="preserve"> de Bienes y Servicios</w:t>
      </w:r>
    </w:p>
    <w:p w:rsidR="00D93231" w:rsidRPr="00FD680D" w:rsidRDefault="00D93231" w:rsidP="00D93231">
      <w:pPr>
        <w:jc w:val="center"/>
        <w:rPr>
          <w:rFonts w:ascii="Arial" w:hAnsi="Arial" w:cs="Arial"/>
          <w:b/>
          <w:sz w:val="16"/>
          <w:szCs w:val="16"/>
        </w:rPr>
      </w:pPr>
    </w:p>
    <w:p w:rsidR="00D93231" w:rsidRDefault="00D93231" w:rsidP="00D93231">
      <w:pPr>
        <w:jc w:val="both"/>
        <w:rPr>
          <w:rFonts w:ascii="Arial" w:hAnsi="Arial" w:cs="Arial"/>
        </w:rPr>
      </w:pPr>
      <w:r w:rsidRPr="000F4558">
        <w:rPr>
          <w:rFonts w:ascii="Arial" w:hAnsi="Arial" w:cs="Arial"/>
          <w:b/>
        </w:rPr>
        <w:t>Artículo 76.</w:t>
      </w:r>
      <w:r w:rsidRPr="000F4558">
        <w:rPr>
          <w:rFonts w:ascii="Arial" w:hAnsi="Arial" w:cs="Arial"/>
        </w:rPr>
        <w:t xml:space="preserve"> Los Ejecutores de gasto, para la adquisición de bienes y servicios deberán observar las siguientes modalidades de contratación, atendiendo a los montos de los rangos mínimos y máximos siguientes:</w:t>
      </w:r>
    </w:p>
    <w:p w:rsidR="00D93231" w:rsidRPr="00FD680D" w:rsidRDefault="00D93231" w:rsidP="00D93231">
      <w:pPr>
        <w:jc w:val="both"/>
        <w:rPr>
          <w:rFonts w:ascii="Arial" w:hAnsi="Arial" w:cs="Arial"/>
          <w:sz w:val="16"/>
          <w:szCs w:val="16"/>
        </w:rPr>
      </w:pPr>
    </w:p>
    <w:tbl>
      <w:tblPr>
        <w:tblW w:w="6601" w:type="dxa"/>
        <w:jc w:val="center"/>
        <w:tblInd w:w="59" w:type="dxa"/>
        <w:tblCellMar>
          <w:left w:w="70" w:type="dxa"/>
          <w:right w:w="70" w:type="dxa"/>
        </w:tblCellMar>
        <w:tblLook w:val="04A0" w:firstRow="1" w:lastRow="0" w:firstColumn="1" w:lastColumn="0" w:noHBand="0" w:noVBand="1"/>
      </w:tblPr>
      <w:tblGrid>
        <w:gridCol w:w="4592"/>
        <w:gridCol w:w="1075"/>
        <w:gridCol w:w="1075"/>
      </w:tblGrid>
      <w:tr w:rsidR="00D93231" w:rsidRPr="00D46979" w:rsidTr="009F7B86">
        <w:trPr>
          <w:trHeight w:val="300"/>
          <w:jc w:val="center"/>
        </w:trPr>
        <w:tc>
          <w:tcPr>
            <w:tcW w:w="45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93231" w:rsidRPr="00D46979" w:rsidRDefault="00D93231" w:rsidP="00D93231">
            <w:pPr>
              <w:rPr>
                <w:rFonts w:ascii="Arial" w:hAnsi="Arial" w:cs="Arial"/>
                <w:b/>
                <w:bCs/>
                <w:color w:val="000000"/>
                <w:sz w:val="16"/>
                <w:szCs w:val="18"/>
                <w:lang w:eastAsia="es-MX"/>
              </w:rPr>
            </w:pPr>
            <w:r w:rsidRPr="00D46979">
              <w:rPr>
                <w:rFonts w:ascii="Arial" w:hAnsi="Arial" w:cs="Arial"/>
                <w:b/>
                <w:bCs/>
                <w:color w:val="000000"/>
                <w:sz w:val="16"/>
                <w:szCs w:val="18"/>
                <w:lang w:eastAsia="es-MX"/>
              </w:rPr>
              <w:t>A través de sus Unidades de administración</w:t>
            </w:r>
          </w:p>
        </w:tc>
        <w:tc>
          <w:tcPr>
            <w:tcW w:w="2009" w:type="dxa"/>
            <w:gridSpan w:val="2"/>
            <w:tcBorders>
              <w:top w:val="single" w:sz="4" w:space="0" w:color="auto"/>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Rangos (Pesos)</w:t>
            </w:r>
          </w:p>
        </w:tc>
      </w:tr>
      <w:tr w:rsidR="00D93231" w:rsidRPr="00D46979" w:rsidTr="009F7B86">
        <w:trPr>
          <w:trHeight w:val="300"/>
          <w:jc w:val="center"/>
        </w:trPr>
        <w:tc>
          <w:tcPr>
            <w:tcW w:w="4592" w:type="dxa"/>
            <w:vMerge/>
            <w:tcBorders>
              <w:top w:val="single" w:sz="4" w:space="0" w:color="auto"/>
              <w:left w:val="single" w:sz="4" w:space="0" w:color="auto"/>
              <w:bottom w:val="single" w:sz="4" w:space="0" w:color="000000"/>
              <w:right w:val="single" w:sz="4" w:space="0" w:color="auto"/>
            </w:tcBorders>
            <w:vAlign w:val="center"/>
            <w:hideMark/>
          </w:tcPr>
          <w:p w:rsidR="00D93231" w:rsidRPr="00D46979" w:rsidRDefault="00D93231" w:rsidP="00D93231">
            <w:pPr>
              <w:rPr>
                <w:rFonts w:ascii="Arial" w:hAnsi="Arial" w:cs="Arial"/>
                <w:b/>
                <w:bCs/>
                <w:color w:val="000000"/>
                <w:sz w:val="16"/>
                <w:szCs w:val="18"/>
                <w:lang w:eastAsia="es-MX"/>
              </w:rPr>
            </w:pPr>
          </w:p>
        </w:tc>
        <w:tc>
          <w:tcPr>
            <w:tcW w:w="934"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Mínimo</w:t>
            </w:r>
          </w:p>
        </w:tc>
        <w:tc>
          <w:tcPr>
            <w:tcW w:w="1075"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Máximo</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a). Compra Directa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30,000.00</w:t>
            </w:r>
          </w:p>
        </w:tc>
      </w:tr>
      <w:tr w:rsidR="00D93231" w:rsidRPr="00D46979" w:rsidTr="009F7B86">
        <w:trPr>
          <w:trHeight w:val="1908"/>
          <w:jc w:val="center"/>
        </w:trPr>
        <w:tc>
          <w:tcPr>
            <w:tcW w:w="4592" w:type="dxa"/>
            <w:tcBorders>
              <w:top w:val="nil"/>
              <w:left w:val="single" w:sz="4" w:space="0" w:color="auto"/>
              <w:bottom w:val="single" w:sz="4" w:space="0" w:color="auto"/>
              <w:right w:val="single" w:sz="4" w:space="0" w:color="auto"/>
            </w:tcBorders>
            <w:shd w:val="clear" w:color="auto" w:fill="auto"/>
            <w:hideMark/>
          </w:tcPr>
          <w:p w:rsidR="00D93231" w:rsidRPr="00D46979" w:rsidRDefault="00D93231" w:rsidP="00D93231">
            <w:pPr>
              <w:jc w:val="both"/>
              <w:rPr>
                <w:rFonts w:ascii="Arial" w:hAnsi="Arial" w:cs="Arial"/>
                <w:color w:val="000000"/>
                <w:sz w:val="16"/>
                <w:szCs w:val="18"/>
                <w:lang w:eastAsia="es-MX"/>
              </w:rPr>
            </w:pPr>
            <w:r w:rsidRPr="00D46979">
              <w:rPr>
                <w:rFonts w:ascii="Arial" w:hAnsi="Arial" w:cs="Arial"/>
                <w:color w:val="000000"/>
                <w:sz w:val="16"/>
                <w:szCs w:val="18"/>
                <w:lang w:eastAsia="es-MX"/>
              </w:rPr>
              <w:t>b). Adjudicación directa, obteniendo como</w:t>
            </w:r>
            <w:r w:rsidR="009F7B86">
              <w:rPr>
                <w:rFonts w:ascii="Arial" w:hAnsi="Arial" w:cs="Arial"/>
                <w:color w:val="000000"/>
                <w:sz w:val="16"/>
                <w:szCs w:val="18"/>
                <w:lang w:eastAsia="es-MX"/>
              </w:rPr>
              <w:t xml:space="preserve"> mínimo tres cotizaciones de</w:t>
            </w:r>
            <w:r w:rsidRPr="00D46979">
              <w:rPr>
                <w:rFonts w:ascii="Arial" w:hAnsi="Arial" w:cs="Arial"/>
                <w:color w:val="000000"/>
                <w:sz w:val="16"/>
                <w:szCs w:val="18"/>
                <w:lang w:eastAsia="es-MX"/>
              </w:rPr>
              <w:t xml:space="preserv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7 de la Ley para Adquisiciones, Arrendamientos y Servicios del Estado de Oaxaca. El cuadro comparativo deberá contar con sello y firma del titular de la Unidad de administración para su validez.</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30,000.01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60,000.00</w:t>
            </w:r>
          </w:p>
        </w:tc>
      </w:tr>
      <w:tr w:rsidR="00D93231" w:rsidRPr="00D46979" w:rsidTr="009F7B86">
        <w:trPr>
          <w:trHeight w:val="300"/>
          <w:jc w:val="center"/>
        </w:trPr>
        <w:tc>
          <w:tcPr>
            <w:tcW w:w="4592" w:type="dxa"/>
            <w:vMerge w:val="restart"/>
            <w:tcBorders>
              <w:top w:val="nil"/>
              <w:left w:val="single" w:sz="4" w:space="0" w:color="auto"/>
              <w:bottom w:val="single" w:sz="4" w:space="0" w:color="000000"/>
              <w:right w:val="single" w:sz="4" w:space="0" w:color="auto"/>
            </w:tcBorders>
            <w:shd w:val="clear" w:color="auto" w:fill="auto"/>
            <w:hideMark/>
          </w:tcPr>
          <w:p w:rsidR="00D93231" w:rsidRPr="00D46979" w:rsidRDefault="00D93231" w:rsidP="00D93231">
            <w:pPr>
              <w:jc w:val="both"/>
              <w:rPr>
                <w:rFonts w:ascii="Arial" w:hAnsi="Arial" w:cs="Arial"/>
                <w:b/>
                <w:bCs/>
                <w:color w:val="000000"/>
                <w:sz w:val="16"/>
                <w:szCs w:val="18"/>
                <w:lang w:eastAsia="es-MX"/>
              </w:rPr>
            </w:pPr>
            <w:r w:rsidRPr="00D46979">
              <w:rPr>
                <w:rFonts w:ascii="Arial" w:hAnsi="Arial" w:cs="Arial"/>
                <w:b/>
                <w:bCs/>
                <w:color w:val="000000"/>
                <w:sz w:val="16"/>
                <w:szCs w:val="18"/>
                <w:lang w:eastAsia="es-MX"/>
              </w:rPr>
              <w:t>Con autorización del Comité de Adquisiciones de Bienes y Servicios del Poder Ejecutivo y de los Subcomités autorizados en el año.</w:t>
            </w:r>
          </w:p>
        </w:tc>
        <w:tc>
          <w:tcPr>
            <w:tcW w:w="2009" w:type="dxa"/>
            <w:gridSpan w:val="2"/>
            <w:tcBorders>
              <w:top w:val="single" w:sz="4" w:space="0" w:color="auto"/>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Rangos (Pesos)</w:t>
            </w:r>
          </w:p>
        </w:tc>
      </w:tr>
      <w:tr w:rsidR="00D93231" w:rsidRPr="00D46979" w:rsidTr="009F7B86">
        <w:trPr>
          <w:trHeight w:val="435"/>
          <w:jc w:val="center"/>
        </w:trPr>
        <w:tc>
          <w:tcPr>
            <w:tcW w:w="4592" w:type="dxa"/>
            <w:vMerge/>
            <w:tcBorders>
              <w:top w:val="nil"/>
              <w:left w:val="single" w:sz="4" w:space="0" w:color="auto"/>
              <w:bottom w:val="single" w:sz="4" w:space="0" w:color="000000"/>
              <w:right w:val="single" w:sz="4" w:space="0" w:color="auto"/>
            </w:tcBorders>
            <w:vAlign w:val="center"/>
            <w:hideMark/>
          </w:tcPr>
          <w:p w:rsidR="00D93231" w:rsidRPr="00D46979" w:rsidRDefault="00D93231" w:rsidP="00D93231">
            <w:pPr>
              <w:rPr>
                <w:rFonts w:ascii="Arial" w:hAnsi="Arial" w:cs="Arial"/>
                <w:b/>
                <w:bCs/>
                <w:color w:val="000000"/>
                <w:sz w:val="16"/>
                <w:szCs w:val="18"/>
                <w:lang w:eastAsia="es-MX"/>
              </w:rPr>
            </w:pPr>
          </w:p>
        </w:tc>
        <w:tc>
          <w:tcPr>
            <w:tcW w:w="934"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Mínimo</w:t>
            </w:r>
          </w:p>
        </w:tc>
        <w:tc>
          <w:tcPr>
            <w:tcW w:w="1075" w:type="dxa"/>
            <w:tcBorders>
              <w:top w:val="nil"/>
              <w:left w:val="nil"/>
              <w:bottom w:val="single" w:sz="4" w:space="0" w:color="auto"/>
              <w:right w:val="single" w:sz="4" w:space="0" w:color="auto"/>
            </w:tcBorders>
            <w:shd w:val="clear" w:color="auto" w:fill="auto"/>
            <w:hideMark/>
          </w:tcPr>
          <w:p w:rsidR="00D93231" w:rsidRPr="00D46979" w:rsidRDefault="00D93231" w:rsidP="00D93231">
            <w:pPr>
              <w:jc w:val="center"/>
              <w:rPr>
                <w:rFonts w:ascii="Arial" w:hAnsi="Arial" w:cs="Arial"/>
                <w:b/>
                <w:bCs/>
                <w:color w:val="000000"/>
                <w:sz w:val="16"/>
                <w:szCs w:val="18"/>
                <w:lang w:eastAsia="es-MX"/>
              </w:rPr>
            </w:pPr>
            <w:r w:rsidRPr="00D46979">
              <w:rPr>
                <w:rFonts w:ascii="Arial" w:hAnsi="Arial" w:cs="Arial"/>
                <w:b/>
                <w:bCs/>
                <w:color w:val="000000"/>
                <w:sz w:val="16"/>
                <w:szCs w:val="18"/>
                <w:lang w:eastAsia="es-MX"/>
              </w:rPr>
              <w:t>Máximo</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a) Adjudicación directa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60,000.01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816,000.00</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noWrap/>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b) Invitación restringida</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816,000.01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2,160,000.00</w:t>
            </w:r>
          </w:p>
        </w:tc>
      </w:tr>
      <w:tr w:rsidR="00D93231" w:rsidRPr="00D46979" w:rsidTr="009F7B86">
        <w:trPr>
          <w:trHeight w:val="300"/>
          <w:jc w:val="center"/>
        </w:trPr>
        <w:tc>
          <w:tcPr>
            <w:tcW w:w="4592" w:type="dxa"/>
            <w:tcBorders>
              <w:top w:val="nil"/>
              <w:left w:val="single" w:sz="4" w:space="0" w:color="auto"/>
              <w:bottom w:val="single" w:sz="4" w:space="0" w:color="auto"/>
              <w:right w:val="single" w:sz="4" w:space="0" w:color="auto"/>
            </w:tcBorders>
            <w:shd w:val="clear" w:color="auto" w:fill="auto"/>
            <w:hideMark/>
          </w:tcPr>
          <w:p w:rsidR="00D93231" w:rsidRPr="00D46979" w:rsidRDefault="00D93231" w:rsidP="00D93231">
            <w:pPr>
              <w:rPr>
                <w:rFonts w:ascii="Arial" w:hAnsi="Arial" w:cs="Arial"/>
                <w:color w:val="000000"/>
                <w:sz w:val="16"/>
                <w:szCs w:val="18"/>
                <w:lang w:eastAsia="es-MX"/>
              </w:rPr>
            </w:pPr>
            <w:r w:rsidRPr="00D46979">
              <w:rPr>
                <w:rFonts w:ascii="Arial" w:hAnsi="Arial" w:cs="Arial"/>
                <w:color w:val="000000"/>
                <w:sz w:val="16"/>
                <w:szCs w:val="18"/>
                <w:lang w:eastAsia="es-MX"/>
              </w:rPr>
              <w:t>c) Licitación Pública Nacional o Internacional</w:t>
            </w:r>
          </w:p>
        </w:tc>
        <w:tc>
          <w:tcPr>
            <w:tcW w:w="934"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2,160,000.01</w:t>
            </w:r>
          </w:p>
        </w:tc>
        <w:tc>
          <w:tcPr>
            <w:tcW w:w="1075" w:type="dxa"/>
            <w:tcBorders>
              <w:top w:val="nil"/>
              <w:left w:val="nil"/>
              <w:bottom w:val="single" w:sz="4" w:space="0" w:color="auto"/>
              <w:right w:val="single" w:sz="4" w:space="0" w:color="auto"/>
            </w:tcBorders>
            <w:shd w:val="clear" w:color="auto" w:fill="auto"/>
            <w:noWrap/>
            <w:hideMark/>
          </w:tcPr>
          <w:p w:rsidR="00D93231" w:rsidRPr="00D46979" w:rsidRDefault="00D93231" w:rsidP="00D93231">
            <w:pPr>
              <w:jc w:val="right"/>
              <w:rPr>
                <w:rFonts w:ascii="Arial" w:hAnsi="Arial" w:cs="Arial"/>
                <w:color w:val="000000"/>
                <w:sz w:val="16"/>
                <w:szCs w:val="18"/>
                <w:lang w:eastAsia="es-MX"/>
              </w:rPr>
            </w:pPr>
            <w:r w:rsidRPr="00D46979">
              <w:rPr>
                <w:rFonts w:ascii="Arial" w:hAnsi="Arial" w:cs="Arial"/>
                <w:color w:val="000000"/>
                <w:sz w:val="16"/>
                <w:szCs w:val="18"/>
                <w:lang w:eastAsia="es-MX"/>
              </w:rPr>
              <w:t>En adelante</w:t>
            </w:r>
          </w:p>
        </w:tc>
      </w:tr>
    </w:tbl>
    <w:p w:rsidR="00D93231"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rPr>
        <w:t>Los montos establecidos deberán considerarse sin incluir el importe del Impuesto al Valor Agregado.</w:t>
      </w:r>
    </w:p>
    <w:p w:rsidR="009F7B86" w:rsidRPr="000F4558" w:rsidRDefault="009F7B86" w:rsidP="00D93231">
      <w:pPr>
        <w:jc w:val="both"/>
        <w:rPr>
          <w:rFonts w:ascii="Arial" w:hAnsi="Arial" w:cs="Arial"/>
        </w:rPr>
      </w:pPr>
    </w:p>
    <w:p w:rsidR="00D93231" w:rsidRPr="000F4558" w:rsidRDefault="00D93231" w:rsidP="00D93231">
      <w:pPr>
        <w:jc w:val="center"/>
        <w:rPr>
          <w:rFonts w:ascii="Arial" w:hAnsi="Arial" w:cs="Arial"/>
          <w:b/>
        </w:rPr>
      </w:pPr>
      <w:r w:rsidRPr="000F4558">
        <w:rPr>
          <w:rFonts w:ascii="Arial" w:hAnsi="Arial" w:cs="Arial"/>
          <w:b/>
        </w:rPr>
        <w:t>Título Noveno</w:t>
      </w:r>
    </w:p>
    <w:p w:rsidR="00D93231" w:rsidRDefault="00D93231" w:rsidP="00D93231">
      <w:pPr>
        <w:jc w:val="center"/>
        <w:rPr>
          <w:rFonts w:ascii="Arial" w:hAnsi="Arial" w:cs="Arial"/>
          <w:b/>
        </w:rPr>
      </w:pPr>
      <w:r w:rsidRPr="000F4558">
        <w:rPr>
          <w:rFonts w:ascii="Arial" w:hAnsi="Arial" w:cs="Arial"/>
          <w:b/>
        </w:rPr>
        <w:t>De la Información, Transparencia y Evaluación</w:t>
      </w:r>
    </w:p>
    <w:p w:rsidR="00D93231" w:rsidRPr="000F4558" w:rsidRDefault="00D93231" w:rsidP="00D93231">
      <w:pPr>
        <w:jc w:val="center"/>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Artículo 77.</w:t>
      </w:r>
      <w:r w:rsidRPr="000F4558">
        <w:rPr>
          <w:rFonts w:ascii="Arial" w:hAnsi="Arial" w:cs="Arial"/>
        </w:rPr>
        <w:t xml:space="preserve"> El Ejecutivo Estatal, por conducto de la Secretaría, </w:t>
      </w:r>
      <w:r w:rsidR="00876210">
        <w:rPr>
          <w:rFonts w:ascii="Arial" w:hAnsi="Arial" w:cs="Arial"/>
        </w:rPr>
        <w:t xml:space="preserve">en este último año de administración </w:t>
      </w:r>
      <w:r w:rsidRPr="000F4558">
        <w:rPr>
          <w:rFonts w:ascii="Arial" w:hAnsi="Arial" w:cs="Arial"/>
        </w:rPr>
        <w:t xml:space="preserve">entregará al Congreso </w:t>
      </w:r>
      <w:r w:rsidR="00876210">
        <w:rPr>
          <w:rFonts w:ascii="Arial" w:hAnsi="Arial" w:cs="Arial"/>
        </w:rPr>
        <w:t>Cuentas Públicas trimestrales</w:t>
      </w:r>
      <w:r w:rsidRPr="000F4558">
        <w:rPr>
          <w:rFonts w:ascii="Arial" w:hAnsi="Arial" w:cs="Arial"/>
        </w:rPr>
        <w:t xml:space="preserve">, los que deberán incluir lo previsto en la Ley </w:t>
      </w:r>
      <w:r w:rsidR="00876210">
        <w:rPr>
          <w:rFonts w:ascii="Arial" w:hAnsi="Arial" w:cs="Arial"/>
        </w:rPr>
        <w:t xml:space="preserve">General de Contabilidad Gubernamental, la Ley </w:t>
      </w:r>
      <w:r w:rsidRPr="000F4558">
        <w:rPr>
          <w:rFonts w:ascii="Arial" w:hAnsi="Arial" w:cs="Arial"/>
        </w:rPr>
        <w:t>y la Ley de Fiscalización Superior para el Estado de Oaxaca.</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lastRenderedPageBreak/>
        <w:t xml:space="preserve">Los Ejecutores de gasto serán responsables de remitir en los plazos que fije la Secretaría, la información que corresponda </w:t>
      </w:r>
      <w:r w:rsidR="00876210">
        <w:rPr>
          <w:rFonts w:ascii="Arial" w:hAnsi="Arial" w:cs="Arial"/>
        </w:rPr>
        <w:t>para la debida integración de la</w:t>
      </w:r>
      <w:r w:rsidRPr="000F4558">
        <w:rPr>
          <w:rFonts w:ascii="Arial" w:hAnsi="Arial" w:cs="Arial"/>
        </w:rPr>
        <w:t>s</w:t>
      </w:r>
      <w:r w:rsidR="00876210" w:rsidRPr="00876210">
        <w:rPr>
          <w:rFonts w:ascii="Arial" w:hAnsi="Arial" w:cs="Arial"/>
        </w:rPr>
        <w:t xml:space="preserve"> </w:t>
      </w:r>
      <w:r w:rsidR="00876210">
        <w:rPr>
          <w:rFonts w:ascii="Arial" w:hAnsi="Arial" w:cs="Arial"/>
        </w:rPr>
        <w:t>Cuentas Públicas trimestrales</w:t>
      </w:r>
      <w:r w:rsidRPr="000F4558">
        <w:rPr>
          <w:rFonts w:ascii="Arial" w:hAnsi="Arial" w:cs="Arial"/>
        </w:rPr>
        <w:t xml:space="preserve">. </w:t>
      </w:r>
    </w:p>
    <w:p w:rsidR="00D93231" w:rsidRDefault="00D93231" w:rsidP="00D93231">
      <w:pPr>
        <w:jc w:val="both"/>
        <w:rPr>
          <w:rFonts w:ascii="Arial" w:hAnsi="Arial" w:cs="Arial"/>
        </w:rPr>
      </w:pPr>
    </w:p>
    <w:p w:rsidR="00D93231" w:rsidRPr="000F4558" w:rsidRDefault="00D93231" w:rsidP="00D93231">
      <w:pPr>
        <w:jc w:val="both"/>
        <w:rPr>
          <w:rFonts w:ascii="Arial" w:hAnsi="Arial" w:cs="Arial"/>
        </w:rPr>
      </w:pPr>
      <w:r w:rsidRPr="000F4558">
        <w:rPr>
          <w:rFonts w:ascii="Arial" w:hAnsi="Arial" w:cs="Arial"/>
        </w:rPr>
        <w:t xml:space="preserve">Asimismo, deberán difundir </w:t>
      </w:r>
      <w:r w:rsidR="001F6C8D">
        <w:rPr>
          <w:rFonts w:ascii="Arial" w:hAnsi="Arial" w:cs="Arial"/>
        </w:rPr>
        <w:t xml:space="preserve">dichas Cuentas Públicas </w:t>
      </w:r>
      <w:r w:rsidRPr="000F4558">
        <w:rPr>
          <w:rFonts w:ascii="Arial" w:hAnsi="Arial" w:cs="Arial"/>
        </w:rPr>
        <w:t>en la</w:t>
      </w:r>
      <w:r w:rsidR="001F6C8D">
        <w:rPr>
          <w:rFonts w:ascii="Arial" w:hAnsi="Arial" w:cs="Arial"/>
        </w:rPr>
        <w:t>s</w:t>
      </w:r>
      <w:r w:rsidRPr="000F4558">
        <w:rPr>
          <w:rFonts w:ascii="Arial" w:hAnsi="Arial" w:cs="Arial"/>
        </w:rPr>
        <w:t xml:space="preserve"> página</w:t>
      </w:r>
      <w:r w:rsidR="001F6C8D">
        <w:rPr>
          <w:rFonts w:ascii="Arial" w:hAnsi="Arial" w:cs="Arial"/>
        </w:rPr>
        <w:t>s</w:t>
      </w:r>
      <w:r w:rsidRPr="000F4558">
        <w:rPr>
          <w:rFonts w:ascii="Arial" w:hAnsi="Arial" w:cs="Arial"/>
        </w:rPr>
        <w:t xml:space="preserve"> de internet respectiva</w:t>
      </w:r>
      <w:r w:rsidR="001F6C8D">
        <w:rPr>
          <w:rFonts w:ascii="Arial" w:hAnsi="Arial" w:cs="Arial"/>
        </w:rPr>
        <w:t>s en formatos abiertos</w:t>
      </w:r>
      <w:r w:rsidRPr="000F4558">
        <w:rPr>
          <w:rFonts w:ascii="Arial" w:hAnsi="Arial" w:cs="Arial"/>
        </w:rPr>
        <w:t>.</w:t>
      </w:r>
    </w:p>
    <w:p w:rsidR="00D93231" w:rsidRPr="000F4558" w:rsidRDefault="00D93231" w:rsidP="00D93231">
      <w:pPr>
        <w:jc w:val="both"/>
        <w:rPr>
          <w:rFonts w:ascii="Arial" w:hAnsi="Arial" w:cs="Arial"/>
        </w:rPr>
      </w:pPr>
    </w:p>
    <w:p w:rsidR="00D93231" w:rsidRDefault="00D93231" w:rsidP="00D93231">
      <w:pPr>
        <w:jc w:val="both"/>
        <w:rPr>
          <w:rFonts w:ascii="Arial" w:hAnsi="Arial" w:cs="Arial"/>
        </w:rPr>
      </w:pPr>
      <w:r w:rsidRPr="000F4558">
        <w:rPr>
          <w:rFonts w:ascii="Arial" w:hAnsi="Arial" w:cs="Arial"/>
          <w:b/>
        </w:rPr>
        <w:t>Artículo 78.</w:t>
      </w:r>
      <w:r w:rsidRPr="000F4558">
        <w:rPr>
          <w:rFonts w:ascii="Arial" w:hAnsi="Arial" w:cs="Arial"/>
        </w:rPr>
        <w:t xml:space="preserve"> El Consejo de la Judicatura, los órganos de control interno del Poder Legislativo, de los Órganos Autónomos y de la</w:t>
      </w:r>
      <w:r>
        <w:rPr>
          <w:rFonts w:ascii="Arial" w:hAnsi="Arial" w:cs="Arial"/>
        </w:rPr>
        <w:t xml:space="preserve"> </w:t>
      </w:r>
      <w:r w:rsidRPr="000F4558">
        <w:rPr>
          <w:rFonts w:ascii="Arial" w:hAnsi="Arial" w:cs="Arial"/>
        </w:rPr>
        <w:t>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9F7B86" w:rsidRDefault="009F7B86" w:rsidP="00D93231">
      <w:pPr>
        <w:jc w:val="both"/>
        <w:rPr>
          <w:rFonts w:ascii="Arial" w:hAnsi="Arial" w:cs="Arial"/>
          <w:b/>
        </w:rPr>
      </w:pPr>
    </w:p>
    <w:p w:rsidR="00D93231" w:rsidRDefault="00D93231" w:rsidP="00D93231">
      <w:pPr>
        <w:jc w:val="center"/>
        <w:rPr>
          <w:rFonts w:ascii="Arial" w:hAnsi="Arial" w:cs="Arial"/>
          <w:b/>
        </w:rPr>
      </w:pPr>
      <w:r>
        <w:rPr>
          <w:rFonts w:ascii="Arial" w:hAnsi="Arial" w:cs="Arial"/>
          <w:b/>
        </w:rPr>
        <w:t>TRANSITORIOS</w:t>
      </w:r>
      <w:r w:rsidR="00C72AD9">
        <w:rPr>
          <w:rFonts w:ascii="Arial" w:hAnsi="Arial" w:cs="Arial"/>
          <w:b/>
        </w:rPr>
        <w:t>:</w:t>
      </w:r>
    </w:p>
    <w:p w:rsidR="00D93231" w:rsidRDefault="00D93231" w:rsidP="00D93231">
      <w:pPr>
        <w:jc w:val="both"/>
        <w:rPr>
          <w:rFonts w:ascii="Arial" w:hAnsi="Arial" w:cs="Arial"/>
          <w:b/>
        </w:rPr>
      </w:pPr>
    </w:p>
    <w:p w:rsidR="00D93231" w:rsidRPr="000F4558" w:rsidRDefault="00D93231" w:rsidP="00D93231">
      <w:pPr>
        <w:jc w:val="both"/>
        <w:rPr>
          <w:rFonts w:ascii="Arial" w:hAnsi="Arial" w:cs="Arial"/>
        </w:rPr>
      </w:pPr>
      <w:r w:rsidRPr="000F4558">
        <w:rPr>
          <w:rFonts w:ascii="Arial" w:hAnsi="Arial" w:cs="Arial"/>
          <w:b/>
        </w:rPr>
        <w:t>PRIMERO:</w:t>
      </w:r>
      <w:r w:rsidRPr="000F4558">
        <w:rPr>
          <w:rFonts w:ascii="Arial" w:hAnsi="Arial" w:cs="Arial"/>
        </w:rPr>
        <w:t xml:space="preserve"> El presente Decreto con sus Anexos, entrarán en vigor </w:t>
      </w:r>
      <w:r>
        <w:rPr>
          <w:rFonts w:ascii="Arial" w:hAnsi="Arial" w:cs="Arial"/>
        </w:rPr>
        <w:t>el</w:t>
      </w:r>
      <w:r w:rsidR="00B3401C">
        <w:rPr>
          <w:rFonts w:ascii="Arial" w:hAnsi="Arial" w:cs="Arial"/>
        </w:rPr>
        <w:t xml:space="preserve"> </w:t>
      </w:r>
      <w:r w:rsidR="003F2E47">
        <w:rPr>
          <w:rFonts w:ascii="Arial" w:hAnsi="Arial" w:cs="Arial"/>
        </w:rPr>
        <w:t>primero</w:t>
      </w:r>
      <w:r w:rsidRPr="000F4558">
        <w:rPr>
          <w:rFonts w:ascii="Arial" w:hAnsi="Arial" w:cs="Arial"/>
        </w:rPr>
        <w:t xml:space="preserve"> de enero del año dos mil dieciséis, previa publicación en el </w:t>
      </w:r>
      <w:r w:rsidR="00A66BB2">
        <w:rPr>
          <w:rFonts w:ascii="Arial" w:hAnsi="Arial" w:cs="Arial"/>
        </w:rPr>
        <w:t>Periódico o</w:t>
      </w:r>
      <w:r w:rsidRPr="000F4558">
        <w:rPr>
          <w:rFonts w:ascii="Arial" w:hAnsi="Arial" w:cs="Arial"/>
        </w:rPr>
        <w:t>ficial del</w:t>
      </w:r>
      <w:r w:rsidR="00A66BB2">
        <w:rPr>
          <w:rFonts w:ascii="Arial" w:hAnsi="Arial" w:cs="Arial"/>
        </w:rPr>
        <w:t xml:space="preserve"> Gobierno del</w:t>
      </w:r>
      <w:r w:rsidRPr="000F4558">
        <w:rPr>
          <w:rFonts w:ascii="Arial" w:hAnsi="Arial" w:cs="Arial"/>
        </w:rPr>
        <w:t xml:space="preserve"> Estado.</w:t>
      </w:r>
    </w:p>
    <w:p w:rsidR="00D93231" w:rsidRDefault="00D93231" w:rsidP="00D93231">
      <w:pPr>
        <w:jc w:val="both"/>
        <w:rPr>
          <w:rFonts w:ascii="Arial" w:hAnsi="Arial" w:cs="Arial"/>
          <w:b/>
        </w:rPr>
      </w:pPr>
    </w:p>
    <w:p w:rsidR="00D93231" w:rsidRDefault="00D93231" w:rsidP="00D93231">
      <w:pPr>
        <w:jc w:val="both"/>
        <w:rPr>
          <w:rFonts w:ascii="Arial" w:hAnsi="Arial" w:cs="Arial"/>
        </w:rPr>
      </w:pPr>
      <w:r w:rsidRPr="000F4558">
        <w:rPr>
          <w:rFonts w:ascii="Arial" w:hAnsi="Arial" w:cs="Arial"/>
          <w:b/>
        </w:rPr>
        <w:t>SEGUNDO:</w:t>
      </w:r>
      <w:r w:rsidRPr="000F4558">
        <w:rPr>
          <w:rFonts w:ascii="Arial" w:hAnsi="Arial" w:cs="Arial"/>
        </w:rPr>
        <w:t xml:space="preserve"> La Secretaría deberá realizar las adecuaciones presupuestarias correspondientes a los recursos federales previstos en el presente Decreto, que conforme a las disposiciones que prevé el Presupuesto de Egresos de la Federación, deban modificarse durante el ejercicio fiscal 2016.</w:t>
      </w:r>
    </w:p>
    <w:p w:rsidR="00A66BB2" w:rsidRDefault="00A66BB2" w:rsidP="00D93231">
      <w:pPr>
        <w:jc w:val="both"/>
        <w:rPr>
          <w:rFonts w:ascii="Arial" w:hAnsi="Arial" w:cs="Arial"/>
        </w:rPr>
      </w:pPr>
    </w:p>
    <w:p w:rsidR="00A66BB2" w:rsidRDefault="00A66BB2" w:rsidP="00D93231">
      <w:pPr>
        <w:jc w:val="both"/>
        <w:rPr>
          <w:rFonts w:ascii="Arial" w:hAnsi="Arial" w:cs="Arial"/>
        </w:rPr>
      </w:pPr>
      <w:r>
        <w:rPr>
          <w:rFonts w:ascii="Arial" w:hAnsi="Arial" w:cs="Arial"/>
          <w:b/>
        </w:rPr>
        <w:t xml:space="preserve">TERCERO: </w:t>
      </w:r>
      <w:r w:rsidR="00A23C50">
        <w:rPr>
          <w:rFonts w:ascii="Arial" w:hAnsi="Arial" w:cs="Arial"/>
        </w:rPr>
        <w:t>Durante el ejercicio fiscal 2016, la Fiscalía General del Estado se denominará para efectos administrativos, presupuestarios y contables, como “Procuraduría General de Justicia del Estado como parte integrante del Poder Ejecutivo del Estado”, en los términos de los artículos cuarto, séptimo, décimo y décimo tercero transitorios del Decreto Número 1326 mediante el cual se aprueba la Ley Orgánica de la Fiscalía General del Estado de Oaxaca publicado en el Periódico Oficial del Estado el seis de octubre de dos mil quince.</w:t>
      </w:r>
    </w:p>
    <w:p w:rsidR="00A23C50" w:rsidRDefault="00A23C50" w:rsidP="00D93231">
      <w:pPr>
        <w:jc w:val="both"/>
        <w:rPr>
          <w:rFonts w:ascii="Arial" w:hAnsi="Arial" w:cs="Arial"/>
        </w:rPr>
      </w:pPr>
    </w:p>
    <w:p w:rsidR="00A23C50" w:rsidRDefault="00A23C50" w:rsidP="00D93231">
      <w:pPr>
        <w:jc w:val="both"/>
        <w:rPr>
          <w:rFonts w:ascii="Arial" w:hAnsi="Arial" w:cs="Arial"/>
        </w:rPr>
      </w:pPr>
      <w:r>
        <w:rPr>
          <w:rFonts w:ascii="Arial" w:hAnsi="Arial" w:cs="Arial"/>
          <w:b/>
        </w:rPr>
        <w:t xml:space="preserve">CUARTO: </w:t>
      </w:r>
      <w:r>
        <w:rPr>
          <w:rFonts w:ascii="Arial" w:hAnsi="Arial" w:cs="Arial"/>
        </w:rPr>
        <w:t xml:space="preserve">En Cumplimiento a la reforma de la Constitución Política del Estado Libre y Soberano de Oaxaca mediante decreto </w:t>
      </w:r>
      <w:r w:rsidR="00CE42A4">
        <w:rPr>
          <w:rFonts w:ascii="Arial" w:hAnsi="Arial" w:cs="Arial"/>
        </w:rPr>
        <w:t>número</w:t>
      </w:r>
      <w:r>
        <w:rPr>
          <w:rFonts w:ascii="Arial" w:hAnsi="Arial" w:cs="Arial"/>
        </w:rPr>
        <w:t xml:space="preserve"> 1263</w:t>
      </w:r>
      <w:r w:rsidR="00CE42A4">
        <w:rPr>
          <w:rFonts w:ascii="Arial" w:hAnsi="Arial" w:cs="Arial"/>
        </w:rPr>
        <w:t xml:space="preserve">, publicado en el Periódico Oficial del Estado 30 de junio de 2015, </w:t>
      </w:r>
      <w:r w:rsidR="00CE42A4">
        <w:rPr>
          <w:rFonts w:ascii="Arial" w:hAnsi="Arial" w:cs="Arial"/>
        </w:rPr>
        <w:lastRenderedPageBreak/>
        <w:t>relacionado con la determinación de crear al Tribunal Electoral del Estado de Oaxaca como órgano autónomo.</w:t>
      </w:r>
    </w:p>
    <w:p w:rsidR="00CE42A4" w:rsidRDefault="00CE42A4" w:rsidP="00D93231">
      <w:pPr>
        <w:jc w:val="both"/>
        <w:rPr>
          <w:rFonts w:ascii="Arial" w:hAnsi="Arial" w:cs="Arial"/>
        </w:rPr>
      </w:pPr>
    </w:p>
    <w:p w:rsidR="00CE42A4" w:rsidRDefault="00CE42A4" w:rsidP="00D93231">
      <w:pPr>
        <w:jc w:val="both"/>
        <w:rPr>
          <w:rFonts w:ascii="Arial" w:hAnsi="Arial" w:cs="Arial"/>
        </w:rPr>
      </w:pPr>
      <w:r>
        <w:rPr>
          <w:rFonts w:ascii="Arial" w:hAnsi="Arial" w:cs="Arial"/>
        </w:rPr>
        <w:t xml:space="preserve">De conformidad con el Decreto antes citado, se instruye al Poder Judicial del Estado para que realice la desincorporación del Poder Judicial, los recursos humanos, materiales y financieros aprobados para el Tribunal Estatal </w:t>
      </w:r>
      <w:r w:rsidR="00C67896">
        <w:rPr>
          <w:rFonts w:ascii="Arial" w:hAnsi="Arial" w:cs="Arial"/>
        </w:rPr>
        <w:t>Electoral en el presente Decreto, así mismo se autoriza al Poder Ejecutivo a través de la Secretaría de Finanzas realice la reclasificación administrativa que corresponda e informe sobre el particular en la primera Cuenta pública trimestral que entregue al Congreso del Estado.</w:t>
      </w:r>
    </w:p>
    <w:p w:rsidR="00C67896" w:rsidRDefault="00C67896" w:rsidP="00D93231">
      <w:pPr>
        <w:jc w:val="both"/>
        <w:rPr>
          <w:rFonts w:ascii="Arial" w:hAnsi="Arial" w:cs="Arial"/>
        </w:rPr>
      </w:pPr>
    </w:p>
    <w:p w:rsidR="00C67896" w:rsidRDefault="00C67896" w:rsidP="00D93231">
      <w:pPr>
        <w:jc w:val="both"/>
        <w:rPr>
          <w:rFonts w:ascii="Arial" w:hAnsi="Arial" w:cs="Arial"/>
        </w:rPr>
      </w:pPr>
      <w:r>
        <w:rPr>
          <w:rFonts w:ascii="Arial" w:hAnsi="Arial" w:cs="Arial"/>
          <w:b/>
        </w:rPr>
        <w:t xml:space="preserve">QUINTO: </w:t>
      </w:r>
      <w:r>
        <w:rPr>
          <w:rFonts w:ascii="Arial" w:hAnsi="Arial" w:cs="Arial"/>
        </w:rPr>
        <w:t>Se instruye al Poder Ejecutivo del Estado para que se otorguen $ 37 millones de pesos adicionales para el Congreso del Estado en el ejercicio fiscal 2016.</w:t>
      </w:r>
    </w:p>
    <w:p w:rsidR="00C67896" w:rsidRDefault="00C67896" w:rsidP="00D93231">
      <w:pPr>
        <w:jc w:val="both"/>
        <w:rPr>
          <w:rFonts w:ascii="Arial" w:hAnsi="Arial" w:cs="Arial"/>
        </w:rPr>
      </w:pPr>
    </w:p>
    <w:p w:rsidR="00C67896" w:rsidRDefault="00C67896" w:rsidP="00D93231">
      <w:pPr>
        <w:jc w:val="both"/>
        <w:rPr>
          <w:rFonts w:ascii="Arial" w:hAnsi="Arial" w:cs="Arial"/>
        </w:rPr>
      </w:pPr>
      <w:r>
        <w:rPr>
          <w:rFonts w:ascii="Arial" w:hAnsi="Arial" w:cs="Arial"/>
          <w:b/>
        </w:rPr>
        <w:t xml:space="preserve">SEXTO: </w:t>
      </w:r>
      <w:r>
        <w:rPr>
          <w:rFonts w:ascii="Arial" w:hAnsi="Arial" w:cs="Arial"/>
        </w:rPr>
        <w:t xml:space="preserve">Se instruye al Poder </w:t>
      </w:r>
      <w:r w:rsidR="0007072D">
        <w:rPr>
          <w:rFonts w:ascii="Arial" w:hAnsi="Arial" w:cs="Arial"/>
        </w:rPr>
        <w:t>Ejecutivo del Estado, realice la reducción presupuestal por la cantidad de Dos millones de pesos 00/100 m.n. a la Comisión de la Verdad, asimismo realizar las adecuaciones presupuestarias necesarias, para que la Procuraduría General de Justicia del Estado, Ahora Fiscalía General del Estado de Oaxaca se le asigne el presupuesto aprobado para el ejercicio fiscal 2015 e informe al Congreso del Estado de su cumplimiento.</w:t>
      </w:r>
    </w:p>
    <w:p w:rsidR="0007072D" w:rsidRDefault="0007072D" w:rsidP="00D93231">
      <w:pPr>
        <w:jc w:val="both"/>
        <w:rPr>
          <w:rFonts w:ascii="Arial" w:hAnsi="Arial" w:cs="Arial"/>
        </w:rPr>
      </w:pPr>
    </w:p>
    <w:p w:rsidR="0007072D" w:rsidRPr="0007072D" w:rsidRDefault="0007072D" w:rsidP="00D93231">
      <w:pPr>
        <w:jc w:val="both"/>
        <w:rPr>
          <w:rFonts w:ascii="Arial" w:hAnsi="Arial" w:cs="Arial"/>
        </w:rPr>
      </w:pPr>
      <w:r>
        <w:rPr>
          <w:rFonts w:ascii="Arial" w:hAnsi="Arial" w:cs="Arial"/>
          <w:b/>
        </w:rPr>
        <w:t xml:space="preserve">SÉPTIMO: </w:t>
      </w:r>
      <w:r>
        <w:rPr>
          <w:rFonts w:ascii="Arial" w:hAnsi="Arial" w:cs="Arial"/>
        </w:rPr>
        <w:t xml:space="preserve">A fin de fomentar la Cultura y fortalecimiento de la memoria histórica de </w:t>
      </w:r>
      <w:r w:rsidR="00B67819">
        <w:rPr>
          <w:rFonts w:ascii="Arial" w:hAnsi="Arial" w:cs="Arial"/>
        </w:rPr>
        <w:t>Tehua</w:t>
      </w:r>
      <w:r w:rsidR="00C72AD9">
        <w:rPr>
          <w:rFonts w:ascii="Arial" w:hAnsi="Arial" w:cs="Arial"/>
        </w:rPr>
        <w:t xml:space="preserve">ntepec, se destinarán $ 18,000 </w:t>
      </w:r>
      <w:r w:rsidR="00B67819">
        <w:rPr>
          <w:rFonts w:ascii="Arial" w:hAnsi="Arial" w:cs="Arial"/>
        </w:rPr>
        <w:t>000.00 (DIECIOCHO MILLONES 00/100 M.N.) al establecimiento del Museo “Juana Cata C. Romero”, en el municipio de Santo Domingo Tehuantepec, previa presentación y autorización del proyecto ejecutivo, de acuerdo a la normatividad existente para ese rubro, en el ejercicio fiscal 2016.</w:t>
      </w:r>
    </w:p>
    <w:p w:rsidR="00D93231" w:rsidRDefault="00D93231" w:rsidP="00D93231">
      <w:pPr>
        <w:jc w:val="both"/>
        <w:rPr>
          <w:rFonts w:ascii="Arial" w:hAnsi="Arial" w:cs="Arial"/>
        </w:rPr>
      </w:pPr>
    </w:p>
    <w:p w:rsidR="00B67819" w:rsidRPr="00B67819" w:rsidRDefault="00B67819" w:rsidP="00D93231">
      <w:pPr>
        <w:jc w:val="both"/>
        <w:rPr>
          <w:rFonts w:ascii="Arial" w:hAnsi="Arial" w:cs="Arial"/>
        </w:rPr>
      </w:pPr>
      <w:r>
        <w:rPr>
          <w:rFonts w:ascii="Arial" w:hAnsi="Arial" w:cs="Arial"/>
        </w:rPr>
        <w:t xml:space="preserve">Lo tendrá entendido el Gobernador del Estado y hará que se publique y se </w:t>
      </w:r>
      <w:r w:rsidRPr="00B67819">
        <w:rPr>
          <w:rFonts w:ascii="Arial" w:hAnsi="Arial" w:cs="Arial"/>
        </w:rPr>
        <w:t>cumpla.</w:t>
      </w:r>
    </w:p>
    <w:p w:rsidR="00B67819" w:rsidRPr="00B67819" w:rsidRDefault="00B67819" w:rsidP="00D93231">
      <w:pPr>
        <w:jc w:val="both"/>
        <w:rPr>
          <w:rFonts w:ascii="Arial" w:hAnsi="Arial" w:cs="Arial"/>
        </w:rPr>
      </w:pPr>
    </w:p>
    <w:p w:rsidR="00843B90" w:rsidRPr="00B67819" w:rsidRDefault="00843B90" w:rsidP="00843B90">
      <w:pPr>
        <w:pStyle w:val="Textoindependiente3"/>
        <w:contextualSpacing/>
        <w:jc w:val="both"/>
        <w:rPr>
          <w:rFonts w:ascii="Arial" w:eastAsia="Arial" w:hAnsi="Arial" w:cs="Arial"/>
          <w:sz w:val="18"/>
          <w:szCs w:val="18"/>
          <w:lang w:val="es-MX" w:eastAsia="ar-SA"/>
        </w:rPr>
      </w:pPr>
      <w:r w:rsidRPr="00B67819">
        <w:rPr>
          <w:rFonts w:ascii="Arial" w:eastAsia="Arial" w:hAnsi="Arial" w:cs="Arial"/>
          <w:sz w:val="18"/>
          <w:szCs w:val="18"/>
          <w:lang w:val="es-MX" w:eastAsia="ar-SA"/>
        </w:rPr>
        <w:t>DADO EN EL SALÓN DE SESIONES DEL H. CONGRESO DEL ESTADO.- San Ray</w:t>
      </w:r>
      <w:r w:rsidR="00B67819" w:rsidRPr="00B67819">
        <w:rPr>
          <w:rFonts w:ascii="Arial" w:eastAsia="Arial" w:hAnsi="Arial" w:cs="Arial"/>
          <w:sz w:val="18"/>
          <w:szCs w:val="18"/>
          <w:lang w:val="es-MX" w:eastAsia="ar-SA"/>
        </w:rPr>
        <w:t xml:space="preserve">mundo </w:t>
      </w:r>
      <w:proofErr w:type="spellStart"/>
      <w:r w:rsidR="00B67819" w:rsidRPr="00B67819">
        <w:rPr>
          <w:rFonts w:ascii="Arial" w:eastAsia="Arial" w:hAnsi="Arial" w:cs="Arial"/>
          <w:sz w:val="18"/>
          <w:szCs w:val="18"/>
          <w:lang w:val="es-MX" w:eastAsia="ar-SA"/>
        </w:rPr>
        <w:t>Jalpan</w:t>
      </w:r>
      <w:proofErr w:type="spellEnd"/>
      <w:r w:rsidR="00B67819" w:rsidRPr="00B67819">
        <w:rPr>
          <w:rFonts w:ascii="Arial" w:eastAsia="Arial" w:hAnsi="Arial" w:cs="Arial"/>
          <w:sz w:val="18"/>
          <w:szCs w:val="18"/>
          <w:lang w:val="es-MX" w:eastAsia="ar-SA"/>
        </w:rPr>
        <w:t>, Centro, Oaxaca, 31 de Diciembre de 2015</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ADOLFO TOLEDO INFANZÓN, PRESIDENTE</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ALEJANDRO MARTÍNEZ RAMÍREZ</w:t>
      </w:r>
      <w:r w:rsidRPr="00B67819">
        <w:rPr>
          <w:rFonts w:ascii="Arial" w:eastAsia="Arial" w:hAnsi="Arial" w:cs="Arial"/>
          <w:sz w:val="18"/>
          <w:szCs w:val="18"/>
          <w:lang w:val="es-MX" w:eastAsia="ar-SA"/>
        </w:rPr>
        <w:t>, SECRETARI</w:t>
      </w:r>
      <w:r w:rsidR="00B67819" w:rsidRPr="00B67819">
        <w:rPr>
          <w:rFonts w:ascii="Arial" w:eastAsia="Arial" w:hAnsi="Arial" w:cs="Arial"/>
          <w:sz w:val="18"/>
          <w:szCs w:val="18"/>
          <w:lang w:val="es-MX" w:eastAsia="ar-SA"/>
        </w:rPr>
        <w:t>O</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ROSALÍA PALMA LÓPEZ</w:t>
      </w:r>
      <w:r w:rsidRPr="00B67819">
        <w:rPr>
          <w:rFonts w:ascii="Arial" w:eastAsia="Arial" w:hAnsi="Arial" w:cs="Arial"/>
          <w:sz w:val="18"/>
          <w:szCs w:val="18"/>
          <w:lang w:val="es-MX" w:eastAsia="ar-SA"/>
        </w:rPr>
        <w:t>, SECRETARI</w:t>
      </w:r>
      <w:r w:rsidR="00B67819" w:rsidRPr="00B67819">
        <w:rPr>
          <w:rFonts w:ascii="Arial" w:eastAsia="Arial" w:hAnsi="Arial" w:cs="Arial"/>
          <w:sz w:val="18"/>
          <w:szCs w:val="18"/>
          <w:lang w:val="es-MX" w:eastAsia="ar-SA"/>
        </w:rPr>
        <w:t>A</w:t>
      </w:r>
      <w:r w:rsidRPr="00B67819">
        <w:rPr>
          <w:rFonts w:ascii="Arial" w:eastAsia="Arial" w:hAnsi="Arial" w:cs="Arial"/>
          <w:sz w:val="18"/>
          <w:szCs w:val="18"/>
          <w:lang w:val="es-MX" w:eastAsia="ar-SA"/>
        </w:rPr>
        <w:t xml:space="preserve">.- DIP. </w:t>
      </w:r>
      <w:r w:rsidR="00B67819" w:rsidRPr="00B67819">
        <w:rPr>
          <w:rFonts w:ascii="Arial" w:eastAsia="Arial" w:hAnsi="Arial" w:cs="Arial"/>
          <w:sz w:val="18"/>
          <w:szCs w:val="18"/>
          <w:lang w:val="es-MX" w:eastAsia="ar-SA"/>
        </w:rPr>
        <w:t>VILMA MARTÍNEZ CORTÉ</w:t>
      </w:r>
      <w:r w:rsidRPr="00B67819">
        <w:rPr>
          <w:rFonts w:ascii="Arial" w:eastAsia="Arial" w:hAnsi="Arial" w:cs="Arial"/>
          <w:sz w:val="18"/>
          <w:szCs w:val="18"/>
          <w:lang w:val="es-MX" w:eastAsia="ar-SA"/>
        </w:rPr>
        <w:t>S, SECRETARI</w:t>
      </w:r>
      <w:r w:rsidR="00B67819" w:rsidRPr="00B67819">
        <w:rPr>
          <w:rFonts w:ascii="Arial" w:eastAsia="Arial" w:hAnsi="Arial" w:cs="Arial"/>
          <w:sz w:val="18"/>
          <w:szCs w:val="18"/>
          <w:lang w:val="es-MX" w:eastAsia="ar-SA"/>
        </w:rPr>
        <w:t>A.- DIP. CARLOS ALBERTO VERA VIDAL, SECRETARIO</w:t>
      </w:r>
      <w:r w:rsidRPr="00B67819">
        <w:rPr>
          <w:rFonts w:ascii="Arial" w:eastAsia="Arial" w:hAnsi="Arial" w:cs="Arial"/>
          <w:sz w:val="18"/>
          <w:szCs w:val="18"/>
          <w:lang w:val="es-MX" w:eastAsia="ar-SA"/>
        </w:rPr>
        <w:t>.- Rúbricas.</w:t>
      </w:r>
    </w:p>
    <w:p w:rsidR="00843B90" w:rsidRPr="00B67819" w:rsidRDefault="00843B90" w:rsidP="00843B90">
      <w:pPr>
        <w:pStyle w:val="Textoindependiente3"/>
        <w:contextualSpacing/>
        <w:jc w:val="both"/>
        <w:rPr>
          <w:rFonts w:ascii="Arial" w:eastAsia="Arial" w:hAnsi="Arial" w:cs="Arial"/>
          <w:sz w:val="18"/>
          <w:szCs w:val="18"/>
          <w:lang w:val="es-MX" w:eastAsia="ar-SA"/>
        </w:rPr>
      </w:pPr>
    </w:p>
    <w:p w:rsidR="00843B90" w:rsidRPr="00B67819" w:rsidRDefault="00843B90" w:rsidP="00843B90">
      <w:pPr>
        <w:suppressAutoHyphens/>
        <w:jc w:val="both"/>
        <w:rPr>
          <w:rFonts w:ascii="Arial" w:eastAsia="Arial" w:hAnsi="Arial" w:cs="Arial"/>
          <w:sz w:val="18"/>
          <w:szCs w:val="18"/>
          <w:lang w:val="es-MX" w:eastAsia="ar-SA"/>
        </w:rPr>
      </w:pPr>
      <w:r w:rsidRPr="00B67819">
        <w:rPr>
          <w:rFonts w:ascii="Arial" w:eastAsia="Arial" w:hAnsi="Arial" w:cs="Arial"/>
          <w:sz w:val="18"/>
          <w:szCs w:val="18"/>
          <w:lang w:val="es-MX" w:eastAsia="ar-SA"/>
        </w:rPr>
        <w:lastRenderedPageBreak/>
        <w:t>Por lo tanto mando que se imprima, publique circule y se le dé el debido cumplimiento. Palacio</w:t>
      </w:r>
      <w:r w:rsidR="00B67819" w:rsidRPr="00B67819">
        <w:rPr>
          <w:rFonts w:ascii="Arial" w:eastAsia="Arial" w:hAnsi="Arial" w:cs="Arial"/>
          <w:sz w:val="18"/>
          <w:szCs w:val="18"/>
          <w:lang w:val="es-MX" w:eastAsia="ar-SA"/>
        </w:rPr>
        <w:t xml:space="preserve"> de Gobierno, Centro, </w:t>
      </w:r>
      <w:proofErr w:type="spellStart"/>
      <w:r w:rsidR="00B67819" w:rsidRPr="00B67819">
        <w:rPr>
          <w:rFonts w:ascii="Arial" w:eastAsia="Arial" w:hAnsi="Arial" w:cs="Arial"/>
          <w:sz w:val="18"/>
          <w:szCs w:val="18"/>
          <w:lang w:val="es-MX" w:eastAsia="ar-SA"/>
        </w:rPr>
        <w:t>Oax</w:t>
      </w:r>
      <w:proofErr w:type="spellEnd"/>
      <w:r w:rsidR="00B67819" w:rsidRPr="00B67819">
        <w:rPr>
          <w:rFonts w:ascii="Arial" w:eastAsia="Arial" w:hAnsi="Arial" w:cs="Arial"/>
          <w:sz w:val="18"/>
          <w:szCs w:val="18"/>
          <w:lang w:val="es-MX" w:eastAsia="ar-SA"/>
        </w:rPr>
        <w:t>., a 31 de diciembre del 2015</w:t>
      </w:r>
      <w:r w:rsidRPr="00B67819">
        <w:rPr>
          <w:rFonts w:ascii="Arial" w:eastAsia="Arial" w:hAnsi="Arial" w:cs="Arial"/>
          <w:sz w:val="18"/>
          <w:szCs w:val="18"/>
          <w:lang w:val="es-MX" w:eastAsia="ar-SA"/>
        </w:rPr>
        <w:t>.- EL GOBERNADOR CONSTITUCIONAL DEL ESTADO. LIC. GABINO CUÉ MONTEAGUDO.- EL SECR</w:t>
      </w:r>
      <w:r w:rsidR="00B67819" w:rsidRPr="00B67819">
        <w:rPr>
          <w:rFonts w:ascii="Arial" w:eastAsia="Arial" w:hAnsi="Arial" w:cs="Arial"/>
          <w:sz w:val="18"/>
          <w:szCs w:val="18"/>
          <w:lang w:val="es-MX" w:eastAsia="ar-SA"/>
        </w:rPr>
        <w:t>ETARIO GENERAL DE GOBIERNO. ING. CARLOS SANTIAGO CARRASCO</w:t>
      </w:r>
      <w:r w:rsidRPr="00B67819">
        <w:rPr>
          <w:rFonts w:ascii="Arial" w:eastAsia="Arial" w:hAnsi="Arial" w:cs="Arial"/>
          <w:sz w:val="18"/>
          <w:szCs w:val="18"/>
          <w:lang w:val="es-MX" w:eastAsia="ar-SA"/>
        </w:rPr>
        <w:t>. Rúbricas.</w:t>
      </w:r>
    </w:p>
    <w:p w:rsidR="00843B90" w:rsidRPr="00843B90" w:rsidRDefault="00843B90" w:rsidP="00843B90">
      <w:pPr>
        <w:suppressAutoHyphens/>
        <w:jc w:val="both"/>
        <w:rPr>
          <w:rFonts w:ascii="Arial" w:eastAsia="Arial" w:hAnsi="Arial" w:cs="Arial"/>
          <w:sz w:val="18"/>
          <w:szCs w:val="18"/>
          <w:highlight w:val="green"/>
          <w:lang w:val="es-MX" w:eastAsia="ar-SA"/>
        </w:rPr>
      </w:pPr>
    </w:p>
    <w:p w:rsidR="00843B90" w:rsidRPr="00C776EE" w:rsidRDefault="00843B90" w:rsidP="00843B90">
      <w:pPr>
        <w:suppressAutoHyphens/>
        <w:jc w:val="both"/>
        <w:rPr>
          <w:rFonts w:ascii="Arial" w:eastAsia="Arial" w:hAnsi="Arial" w:cs="Arial"/>
          <w:sz w:val="18"/>
          <w:szCs w:val="18"/>
          <w:lang w:val="es-MX" w:eastAsia="ar-SA"/>
        </w:rPr>
      </w:pPr>
      <w:r w:rsidRPr="006315D9">
        <w:rPr>
          <w:rFonts w:ascii="Arial" w:eastAsia="Arial" w:hAnsi="Arial" w:cs="Arial"/>
          <w:sz w:val="18"/>
          <w:szCs w:val="18"/>
          <w:lang w:val="es-MX" w:eastAsia="ar-SA"/>
        </w:rPr>
        <w:t xml:space="preserve">Y lo comunico a usted, para su conocimiento y fines consiguientes.- SUFRAGIO EFECTIVO. NO REELECCIÓN.- “EL RESPETO AL DERECHO AJENO ES LA PAZ”.- </w:t>
      </w:r>
      <w:proofErr w:type="spellStart"/>
      <w:r w:rsidRPr="006315D9">
        <w:rPr>
          <w:rFonts w:ascii="Arial" w:eastAsia="Arial" w:hAnsi="Arial" w:cs="Arial"/>
          <w:sz w:val="18"/>
          <w:szCs w:val="18"/>
          <w:lang w:val="es-MX" w:eastAsia="ar-SA"/>
        </w:rPr>
        <w:t>Tlalixta</w:t>
      </w:r>
      <w:r w:rsidR="006315D9" w:rsidRPr="006315D9">
        <w:rPr>
          <w:rFonts w:ascii="Arial" w:eastAsia="Arial" w:hAnsi="Arial" w:cs="Arial"/>
          <w:sz w:val="18"/>
          <w:szCs w:val="18"/>
          <w:lang w:val="es-MX" w:eastAsia="ar-SA"/>
        </w:rPr>
        <w:t>c</w:t>
      </w:r>
      <w:proofErr w:type="spellEnd"/>
      <w:r w:rsidR="006315D9" w:rsidRPr="006315D9">
        <w:rPr>
          <w:rFonts w:ascii="Arial" w:eastAsia="Arial" w:hAnsi="Arial" w:cs="Arial"/>
          <w:sz w:val="18"/>
          <w:szCs w:val="18"/>
          <w:lang w:val="es-MX" w:eastAsia="ar-SA"/>
        </w:rPr>
        <w:t xml:space="preserve"> de Cabrera, Centro, </w:t>
      </w:r>
      <w:proofErr w:type="spellStart"/>
      <w:r w:rsidR="006315D9" w:rsidRPr="006315D9">
        <w:rPr>
          <w:rFonts w:ascii="Arial" w:eastAsia="Arial" w:hAnsi="Arial" w:cs="Arial"/>
          <w:sz w:val="18"/>
          <w:szCs w:val="18"/>
          <w:lang w:val="es-MX" w:eastAsia="ar-SA"/>
        </w:rPr>
        <w:t>Oax</w:t>
      </w:r>
      <w:proofErr w:type="spellEnd"/>
      <w:r w:rsidR="006315D9" w:rsidRPr="006315D9">
        <w:rPr>
          <w:rFonts w:ascii="Arial" w:eastAsia="Arial" w:hAnsi="Arial" w:cs="Arial"/>
          <w:sz w:val="18"/>
          <w:szCs w:val="18"/>
          <w:lang w:val="es-MX" w:eastAsia="ar-SA"/>
        </w:rPr>
        <w:t>., a 31 de diciembre del 2015</w:t>
      </w:r>
      <w:r w:rsidRPr="006315D9">
        <w:rPr>
          <w:rFonts w:ascii="Arial" w:eastAsia="Arial" w:hAnsi="Arial" w:cs="Arial"/>
          <w:sz w:val="18"/>
          <w:szCs w:val="18"/>
          <w:lang w:val="es-MX" w:eastAsia="ar-SA"/>
        </w:rPr>
        <w:t>. EL SECRETARIO GENERAL DE GOBIERNO.</w:t>
      </w:r>
      <w:r w:rsidR="006315D9" w:rsidRPr="006315D9">
        <w:rPr>
          <w:rFonts w:ascii="Arial" w:eastAsia="Arial" w:hAnsi="Arial" w:cs="Arial"/>
          <w:sz w:val="18"/>
          <w:szCs w:val="18"/>
          <w:lang w:val="es-MX" w:eastAsia="ar-SA"/>
        </w:rPr>
        <w:t xml:space="preserve"> ING. CARLOS SANTIAGO CARRASCO</w:t>
      </w:r>
      <w:r w:rsidRPr="006315D9">
        <w:rPr>
          <w:rFonts w:ascii="Arial" w:eastAsia="Arial" w:hAnsi="Arial" w:cs="Arial"/>
          <w:sz w:val="18"/>
          <w:szCs w:val="18"/>
          <w:lang w:val="es-MX" w:eastAsia="ar-SA"/>
        </w:rPr>
        <w:t>.- Rúbrica.</w:t>
      </w:r>
    </w:p>
    <w:p w:rsidR="00D93231" w:rsidRDefault="00D93231" w:rsidP="00D93231">
      <w:pPr>
        <w:jc w:val="both"/>
        <w:rPr>
          <w:rFonts w:ascii="Arial" w:hAnsi="Arial" w:cs="Arial"/>
        </w:rPr>
      </w:pPr>
    </w:p>
    <w:p w:rsidR="00D93231" w:rsidRDefault="00D93231"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p w:rsidR="00E6138C" w:rsidRDefault="00E6138C" w:rsidP="00555C5E">
      <w:pPr>
        <w:autoSpaceDN w:val="0"/>
        <w:rPr>
          <w:szCs w:val="19"/>
        </w:rPr>
      </w:pPr>
    </w:p>
    <w:sectPr w:rsidR="00E6138C" w:rsidSect="00D47871">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3" w:gutter="0"/>
      <w:pgNumType w:start="47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D5" w:rsidRDefault="009F47D5">
      <w:r>
        <w:separator/>
      </w:r>
    </w:p>
  </w:endnote>
  <w:endnote w:type="continuationSeparator" w:id="0">
    <w:p w:rsidR="009F47D5" w:rsidRDefault="009F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Default="00E209BF" w:rsidP="00784D53">
    <w:pPr>
      <w:pStyle w:val="Piedepgina"/>
      <w:rPr>
        <w:lang w:val="es-MX"/>
      </w:rPr>
    </w:pPr>
  </w:p>
  <w:p w:rsidR="00E209BF" w:rsidRDefault="00E209BF" w:rsidP="00784D53">
    <w:pPr>
      <w:pStyle w:val="Piedepgina"/>
      <w:jc w:val="center"/>
      <w:rPr>
        <w:rStyle w:val="Nmerodepgina"/>
        <w:rFonts w:ascii="Arial" w:hAnsi="Arial" w:cs="Arial"/>
        <w:sz w:val="16"/>
        <w:szCs w:val="16"/>
      </w:rPr>
    </w:pPr>
    <w:r w:rsidRPr="00AD32EF">
      <w:rPr>
        <w:rStyle w:val="Nmerodepgina"/>
        <w:rFonts w:ascii="Arial" w:hAnsi="Arial" w:cs="Arial"/>
        <w:sz w:val="16"/>
        <w:szCs w:val="16"/>
      </w:rPr>
      <w:fldChar w:fldCharType="begin"/>
    </w:r>
    <w:r w:rsidRPr="00AD32EF">
      <w:rPr>
        <w:rStyle w:val="Nmerodepgina"/>
        <w:rFonts w:ascii="Arial" w:hAnsi="Arial" w:cs="Arial"/>
        <w:sz w:val="16"/>
        <w:szCs w:val="16"/>
      </w:rPr>
      <w:instrText xml:space="preserve">PAGE  </w:instrText>
    </w:r>
    <w:r w:rsidRPr="00AD32EF">
      <w:rPr>
        <w:rStyle w:val="Nmerodepgina"/>
        <w:rFonts w:ascii="Arial" w:hAnsi="Arial" w:cs="Arial"/>
        <w:sz w:val="16"/>
        <w:szCs w:val="16"/>
      </w:rPr>
      <w:fldChar w:fldCharType="separate"/>
    </w:r>
    <w:r w:rsidR="006B1D0A">
      <w:rPr>
        <w:rStyle w:val="Nmerodepgina"/>
        <w:rFonts w:ascii="Arial" w:hAnsi="Arial" w:cs="Arial"/>
        <w:noProof/>
        <w:sz w:val="16"/>
        <w:szCs w:val="16"/>
      </w:rPr>
      <w:t>514</w:t>
    </w:r>
    <w:r w:rsidRPr="00AD32EF">
      <w:rPr>
        <w:rStyle w:val="Nmerodepgina"/>
        <w:rFonts w:ascii="Arial" w:hAnsi="Arial" w:cs="Arial"/>
        <w:sz w:val="16"/>
        <w:szCs w:val="16"/>
      </w:rPr>
      <w:fldChar w:fldCharType="end"/>
    </w:r>
  </w:p>
  <w:p w:rsidR="00E209BF" w:rsidRDefault="00E209BF" w:rsidP="00784D53">
    <w:pPr>
      <w:pStyle w:val="Piedepgina"/>
      <w:jc w:val="center"/>
      <w:rPr>
        <w:rStyle w:val="Nmerodepgina"/>
        <w:rFonts w:ascii="Arial" w:hAnsi="Arial" w:cs="Arial"/>
        <w:sz w:val="16"/>
        <w:szCs w:val="16"/>
      </w:rPr>
    </w:pPr>
  </w:p>
  <w:p w:rsidR="00E209BF" w:rsidRDefault="00E209BF" w:rsidP="00784D53">
    <w:pPr>
      <w:pStyle w:val="Piedepgina"/>
      <w:jc w:val="center"/>
      <w:rPr>
        <w:rStyle w:val="Nmerodepgina"/>
        <w:rFonts w:ascii="Arial" w:hAnsi="Arial" w:cs="Arial"/>
        <w:sz w:val="16"/>
        <w:szCs w:val="16"/>
      </w:rPr>
    </w:pPr>
  </w:p>
  <w:p w:rsidR="00E209BF" w:rsidRPr="00AD32EF" w:rsidRDefault="00E209BF" w:rsidP="00784D53">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Pr="00C72944" w:rsidRDefault="00E209BF" w:rsidP="00A31BAB">
    <w:pPr>
      <w:pStyle w:val="Encabezado"/>
      <w:tabs>
        <w:tab w:val="clear" w:pos="4419"/>
        <w:tab w:val="center" w:pos="6237"/>
      </w:tabs>
      <w:rPr>
        <w:rFonts w:ascii="Arial Narrow" w:hAnsi="Arial Narrow"/>
        <w:sz w:val="16"/>
        <w:szCs w:val="16"/>
      </w:rPr>
    </w:pPr>
  </w:p>
  <w:p w:rsidR="00E209BF" w:rsidRDefault="00E209BF" w:rsidP="00A31BAB">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6B1D0A">
      <w:rPr>
        <w:rFonts w:ascii="Arial Narrow" w:hAnsi="Arial Narrow"/>
        <w:noProof/>
        <w:sz w:val="16"/>
        <w:szCs w:val="16"/>
      </w:rPr>
      <w:t>471</w:t>
    </w:r>
    <w:r w:rsidRPr="007A023B">
      <w:rPr>
        <w:rFonts w:ascii="Arial Narrow" w:hAnsi="Arial Narrow"/>
        <w:sz w:val="16"/>
        <w:szCs w:val="16"/>
      </w:rPr>
      <w:fldChar w:fldCharType="end"/>
    </w:r>
  </w:p>
  <w:p w:rsidR="00E209BF" w:rsidRDefault="00E209BF" w:rsidP="00D6435A">
    <w:pPr>
      <w:pStyle w:val="Encabezado"/>
      <w:tabs>
        <w:tab w:val="clear" w:pos="4419"/>
        <w:tab w:val="center" w:pos="6237"/>
      </w:tabs>
      <w:rPr>
        <w:rFonts w:ascii="Arial Narrow" w:hAnsi="Arial Narrow"/>
        <w:sz w:val="16"/>
        <w:szCs w:val="16"/>
      </w:rPr>
    </w:pPr>
  </w:p>
  <w:p w:rsidR="00E209BF" w:rsidRDefault="00E209BF" w:rsidP="00D6435A">
    <w:pPr>
      <w:pStyle w:val="Encabezado"/>
      <w:tabs>
        <w:tab w:val="clear" w:pos="4419"/>
        <w:tab w:val="center" w:pos="6237"/>
      </w:tabs>
      <w:rPr>
        <w:rFonts w:ascii="Arial Narrow" w:hAnsi="Arial Narrow"/>
        <w:sz w:val="16"/>
        <w:szCs w:val="16"/>
      </w:rPr>
    </w:pPr>
  </w:p>
  <w:p w:rsidR="00E209BF" w:rsidRDefault="00E209BF" w:rsidP="00D6435A">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D5" w:rsidRDefault="009F47D5">
      <w:r>
        <w:separator/>
      </w:r>
    </w:p>
  </w:footnote>
  <w:footnote w:type="continuationSeparator" w:id="0">
    <w:p w:rsidR="009F47D5" w:rsidRDefault="009F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BF" w:rsidRDefault="00E209BF">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8"/>
      <w:gridCol w:w="2866"/>
      <w:gridCol w:w="3024"/>
    </w:tblGrid>
    <w:tr w:rsidR="00D47871" w:rsidRPr="00AF5EA8" w:rsidTr="00A84A9D">
      <w:trPr>
        <w:cantSplit/>
        <w:trHeight w:val="333"/>
      </w:trPr>
      <w:tc>
        <w:tcPr>
          <w:tcW w:w="1390" w:type="dxa"/>
          <w:vMerge w:val="restart"/>
          <w:vAlign w:val="center"/>
        </w:tcPr>
        <w:p w:rsidR="00D47871" w:rsidRPr="00AF5EA8" w:rsidRDefault="00D47871" w:rsidP="00A84A9D">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1E42220B" wp14:editId="6A20D257">
                <wp:simplePos x="0" y="0"/>
                <wp:positionH relativeFrom="column">
                  <wp:posOffset>-230505</wp:posOffset>
                </wp:positionH>
                <wp:positionV relativeFrom="paragraph">
                  <wp:posOffset>-142875</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D47871" w:rsidRPr="00D47871" w:rsidRDefault="006B1D0A" w:rsidP="00D47871">
          <w:pPr>
            <w:pStyle w:val="Sinespaciado"/>
            <w:jc w:val="right"/>
            <w:rPr>
              <w:rFonts w:ascii="Arial" w:hAnsi="Arial" w:cs="Arial"/>
              <w:b/>
              <w:sz w:val="11"/>
              <w:szCs w:val="11"/>
            </w:rPr>
          </w:pPr>
          <w:r>
            <w:rPr>
              <w:rFonts w:ascii="Arial" w:hAnsi="Arial" w:cs="Arial"/>
              <w:b/>
              <w:sz w:val="11"/>
              <w:szCs w:val="11"/>
            </w:rPr>
            <w:t xml:space="preserve">DECRETO DE </w:t>
          </w:r>
          <w:r w:rsidR="00D47871" w:rsidRPr="00D47871">
            <w:rPr>
              <w:rFonts w:ascii="Arial" w:hAnsi="Arial" w:cs="Arial"/>
              <w:b/>
              <w:sz w:val="11"/>
              <w:szCs w:val="11"/>
            </w:rPr>
            <w:t>P</w:t>
          </w:r>
          <w:r>
            <w:rPr>
              <w:rFonts w:ascii="Arial" w:hAnsi="Arial" w:cs="Arial"/>
              <w:b/>
              <w:sz w:val="11"/>
              <w:szCs w:val="11"/>
            </w:rPr>
            <w:t>R</w:t>
          </w:r>
          <w:r w:rsidR="00D47871" w:rsidRPr="00D47871">
            <w:rPr>
              <w:rFonts w:ascii="Arial" w:hAnsi="Arial" w:cs="Arial"/>
              <w:b/>
              <w:sz w:val="11"/>
              <w:szCs w:val="11"/>
            </w:rPr>
            <w:t>ESUPUESTO DE EGRESOS DEL ESTADO DE OAXACA PARA EL EJERCICIO FISCAL 2016</w:t>
          </w:r>
        </w:p>
      </w:tc>
    </w:tr>
    <w:tr w:rsidR="00D47871" w:rsidRPr="00AF5EA8" w:rsidTr="00A84A9D">
      <w:trPr>
        <w:cantSplit/>
        <w:trHeight w:val="50"/>
      </w:trPr>
      <w:tc>
        <w:tcPr>
          <w:tcW w:w="1390" w:type="dxa"/>
          <w:vMerge/>
        </w:tcPr>
        <w:p w:rsidR="00D47871" w:rsidRPr="00AF5EA8" w:rsidRDefault="00D47871" w:rsidP="00A84A9D">
          <w:pPr>
            <w:tabs>
              <w:tab w:val="center" w:pos="4252"/>
              <w:tab w:val="right" w:pos="8504"/>
            </w:tabs>
            <w:rPr>
              <w:rFonts w:ascii="CG Omega" w:hAnsi="CG Omega"/>
              <w:sz w:val="16"/>
            </w:rPr>
          </w:pPr>
        </w:p>
      </w:tc>
      <w:tc>
        <w:tcPr>
          <w:tcW w:w="8154" w:type="dxa"/>
          <w:gridSpan w:val="2"/>
          <w:tcBorders>
            <w:top w:val="double" w:sz="4" w:space="0" w:color="auto"/>
          </w:tcBorders>
        </w:tcPr>
        <w:p w:rsidR="00D47871" w:rsidRPr="00AF5EA8" w:rsidRDefault="00D47871" w:rsidP="00A84A9D">
          <w:pPr>
            <w:tabs>
              <w:tab w:val="center" w:pos="4252"/>
              <w:tab w:val="right" w:pos="8504"/>
            </w:tabs>
            <w:ind w:left="-70"/>
            <w:jc w:val="right"/>
            <w:rPr>
              <w:rFonts w:ascii="Arial Narrow" w:hAnsi="Arial Narrow" w:cs="Arial"/>
              <w:sz w:val="4"/>
            </w:rPr>
          </w:pPr>
        </w:p>
      </w:tc>
    </w:tr>
    <w:tr w:rsidR="00D47871" w:rsidRPr="00AF5EA8" w:rsidTr="00A84A9D">
      <w:trPr>
        <w:cantSplit/>
        <w:trHeight w:val="295"/>
      </w:trPr>
      <w:tc>
        <w:tcPr>
          <w:tcW w:w="1390" w:type="dxa"/>
          <w:vMerge/>
        </w:tcPr>
        <w:p w:rsidR="00D47871" w:rsidRPr="00AF5EA8" w:rsidRDefault="00D47871" w:rsidP="00A84A9D">
          <w:pPr>
            <w:tabs>
              <w:tab w:val="center" w:pos="4252"/>
              <w:tab w:val="right" w:pos="8504"/>
            </w:tabs>
            <w:rPr>
              <w:rFonts w:ascii="CG Omega" w:hAnsi="CG Omega"/>
              <w:sz w:val="16"/>
            </w:rPr>
          </w:pPr>
        </w:p>
      </w:tc>
      <w:tc>
        <w:tcPr>
          <w:tcW w:w="4077" w:type="dxa"/>
        </w:tcPr>
        <w:p w:rsidR="00D47871" w:rsidRPr="00AF5EA8" w:rsidRDefault="00D47871" w:rsidP="00A84A9D">
          <w:pPr>
            <w:tabs>
              <w:tab w:val="center" w:pos="4252"/>
              <w:tab w:val="right" w:pos="8504"/>
            </w:tabs>
            <w:ind w:left="-70"/>
            <w:rPr>
              <w:rFonts w:ascii="Arial Narrow" w:hAnsi="Arial Narrow" w:cs="Arial"/>
              <w:sz w:val="4"/>
            </w:rPr>
          </w:pPr>
        </w:p>
      </w:tc>
      <w:tc>
        <w:tcPr>
          <w:tcW w:w="4077" w:type="dxa"/>
        </w:tcPr>
        <w:p w:rsidR="00D47871" w:rsidRPr="00AF5EA8" w:rsidRDefault="00D47871"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E209BF" w:rsidRPr="00BD680D" w:rsidRDefault="00E209BF" w:rsidP="00A31BAB">
    <w:pPr>
      <w:pStyle w:val="Encabezado"/>
    </w:pPr>
  </w:p>
  <w:p w:rsidR="00E209BF" w:rsidRPr="00A31BAB" w:rsidRDefault="00E209BF" w:rsidP="00A31B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F3"/>
    <w:multiLevelType w:val="hybridMultilevel"/>
    <w:tmpl w:val="F9F4C6A2"/>
    <w:lvl w:ilvl="0" w:tplc="15F49C34">
      <w:start w:val="1"/>
      <w:numFmt w:val="upperRoman"/>
      <w:lvlText w:val="%1."/>
      <w:lvlJc w:val="left"/>
      <w:pPr>
        <w:ind w:left="502"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691E4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A540F0"/>
    <w:multiLevelType w:val="hybridMultilevel"/>
    <w:tmpl w:val="9738C7DA"/>
    <w:lvl w:ilvl="0" w:tplc="15F49C34">
      <w:start w:val="1"/>
      <w:numFmt w:val="upperRoman"/>
      <w:lvlText w:val="%1."/>
      <w:lvlJc w:val="left"/>
      <w:pPr>
        <w:ind w:left="1068"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AF453C"/>
    <w:multiLevelType w:val="hybridMultilevel"/>
    <w:tmpl w:val="B442D652"/>
    <w:lvl w:ilvl="0" w:tplc="87C2B9E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8E3C0C"/>
    <w:multiLevelType w:val="hybridMultilevel"/>
    <w:tmpl w:val="6B8E9A4E"/>
    <w:lvl w:ilvl="0" w:tplc="218C57A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14B4A"/>
    <w:multiLevelType w:val="hybridMultilevel"/>
    <w:tmpl w:val="5350A976"/>
    <w:lvl w:ilvl="0" w:tplc="3BD0046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4113E"/>
    <w:multiLevelType w:val="hybridMultilevel"/>
    <w:tmpl w:val="78FA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2E7BFE"/>
    <w:multiLevelType w:val="hybridMultilevel"/>
    <w:tmpl w:val="309666FE"/>
    <w:lvl w:ilvl="0" w:tplc="45D8D25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685064"/>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6156B8"/>
    <w:multiLevelType w:val="hybridMultilevel"/>
    <w:tmpl w:val="0FC2CFAE"/>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4E5624"/>
    <w:multiLevelType w:val="hybridMultilevel"/>
    <w:tmpl w:val="F96E7506"/>
    <w:lvl w:ilvl="0" w:tplc="AEAA5A8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641BC"/>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E85196"/>
    <w:multiLevelType w:val="hybridMultilevel"/>
    <w:tmpl w:val="93C2F2C2"/>
    <w:lvl w:ilvl="0" w:tplc="4A5283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CF105D"/>
    <w:multiLevelType w:val="hybridMultilevel"/>
    <w:tmpl w:val="4852FCBC"/>
    <w:lvl w:ilvl="0" w:tplc="004A8EAE">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F95072"/>
    <w:multiLevelType w:val="hybridMultilevel"/>
    <w:tmpl w:val="78A25724"/>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936961"/>
    <w:multiLevelType w:val="hybridMultilevel"/>
    <w:tmpl w:val="B0CE4C74"/>
    <w:lvl w:ilvl="0" w:tplc="C5805606">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4F3754"/>
    <w:multiLevelType w:val="hybridMultilevel"/>
    <w:tmpl w:val="B4246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53A35"/>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24726E"/>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D32093"/>
    <w:multiLevelType w:val="hybridMultilevel"/>
    <w:tmpl w:val="C30677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494CE9"/>
    <w:multiLevelType w:val="hybridMultilevel"/>
    <w:tmpl w:val="D11C9568"/>
    <w:lvl w:ilvl="0" w:tplc="1F86ABC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256941"/>
    <w:multiLevelType w:val="hybridMultilevel"/>
    <w:tmpl w:val="2F6802AA"/>
    <w:lvl w:ilvl="0" w:tplc="3B9E89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572FA"/>
    <w:multiLevelType w:val="hybridMultilevel"/>
    <w:tmpl w:val="5FB06E04"/>
    <w:lvl w:ilvl="0" w:tplc="2494CBDC">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DD5BB8"/>
    <w:multiLevelType w:val="hybridMultilevel"/>
    <w:tmpl w:val="AB10F1E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211734"/>
    <w:multiLevelType w:val="hybridMultilevel"/>
    <w:tmpl w:val="193C952C"/>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D3C221C"/>
    <w:multiLevelType w:val="hybridMultilevel"/>
    <w:tmpl w:val="8C02D1BE"/>
    <w:lvl w:ilvl="0" w:tplc="15F49C34">
      <w:start w:val="1"/>
      <w:numFmt w:val="upperRoman"/>
      <w:lvlText w:val="%1."/>
      <w:lvlJc w:val="lef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445564"/>
    <w:multiLevelType w:val="hybridMultilevel"/>
    <w:tmpl w:val="DDA0C63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CA2880"/>
    <w:multiLevelType w:val="hybridMultilevel"/>
    <w:tmpl w:val="DC2E554A"/>
    <w:lvl w:ilvl="0" w:tplc="1F927578">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254D8E"/>
    <w:multiLevelType w:val="hybridMultilevel"/>
    <w:tmpl w:val="8B1AE670"/>
    <w:lvl w:ilvl="0" w:tplc="15F49C34">
      <w:start w:val="1"/>
      <w:numFmt w:val="upperRoman"/>
      <w:lvlText w:val="%1."/>
      <w:lvlJc w:val="lef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FE15FD0"/>
    <w:multiLevelType w:val="hybridMultilevel"/>
    <w:tmpl w:val="DE0CFE70"/>
    <w:lvl w:ilvl="0" w:tplc="D94E4314">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645633"/>
    <w:multiLevelType w:val="hybridMultilevel"/>
    <w:tmpl w:val="61208B3A"/>
    <w:lvl w:ilvl="0" w:tplc="25745DCA">
      <w:start w:val="1"/>
      <w:numFmt w:val="upperRoman"/>
      <w:lvlText w:val="%1"/>
      <w:lvlJc w:val="left"/>
      <w:pPr>
        <w:ind w:left="720" w:hanging="360"/>
      </w:pPr>
      <w:rPr>
        <w:rFonts w:ascii="Arial" w:hAnsi="Arial" w:hint="default"/>
        <w:b w:val="0"/>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AD6BD8"/>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5"/>
  </w:num>
  <w:num w:numId="3">
    <w:abstractNumId w:val="13"/>
  </w:num>
  <w:num w:numId="4">
    <w:abstractNumId w:val="22"/>
  </w:num>
  <w:num w:numId="5">
    <w:abstractNumId w:val="30"/>
  </w:num>
  <w:num w:numId="6">
    <w:abstractNumId w:val="4"/>
  </w:num>
  <w:num w:numId="7">
    <w:abstractNumId w:val="7"/>
  </w:num>
  <w:num w:numId="8">
    <w:abstractNumId w:val="5"/>
  </w:num>
  <w:num w:numId="9">
    <w:abstractNumId w:val="31"/>
  </w:num>
  <w:num w:numId="10">
    <w:abstractNumId w:val="28"/>
  </w:num>
  <w:num w:numId="11">
    <w:abstractNumId w:val="11"/>
  </w:num>
  <w:num w:numId="12">
    <w:abstractNumId w:val="23"/>
  </w:num>
  <w:num w:numId="13">
    <w:abstractNumId w:val="6"/>
  </w:num>
  <w:num w:numId="14">
    <w:abstractNumId w:val="21"/>
  </w:num>
  <w:num w:numId="15">
    <w:abstractNumId w:val="8"/>
  </w:num>
  <w:num w:numId="16">
    <w:abstractNumId w:val="16"/>
  </w:num>
  <w:num w:numId="17">
    <w:abstractNumId w:val="14"/>
  </w:num>
  <w:num w:numId="18">
    <w:abstractNumId w:val="17"/>
  </w:num>
  <w:num w:numId="19">
    <w:abstractNumId w:val="20"/>
  </w:num>
  <w:num w:numId="20">
    <w:abstractNumId w:val="19"/>
  </w:num>
  <w:num w:numId="21">
    <w:abstractNumId w:val="24"/>
  </w:num>
  <w:num w:numId="22">
    <w:abstractNumId w:val="3"/>
  </w:num>
  <w:num w:numId="23">
    <w:abstractNumId w:val="29"/>
  </w:num>
  <w:num w:numId="24">
    <w:abstractNumId w:val="0"/>
  </w:num>
  <w:num w:numId="25">
    <w:abstractNumId w:val="26"/>
  </w:num>
  <w:num w:numId="26">
    <w:abstractNumId w:val="27"/>
  </w:num>
  <w:num w:numId="27">
    <w:abstractNumId w:val="10"/>
  </w:num>
  <w:num w:numId="28">
    <w:abstractNumId w:val="9"/>
  </w:num>
  <w:num w:numId="29">
    <w:abstractNumId w:val="18"/>
  </w:num>
  <w:num w:numId="30">
    <w:abstractNumId w:val="12"/>
  </w:num>
  <w:num w:numId="31">
    <w:abstractNumId w:val="32"/>
  </w:num>
  <w:num w:numId="32">
    <w:abstractNumId w:val="15"/>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B1"/>
    <w:rsid w:val="00012262"/>
    <w:rsid w:val="000132C8"/>
    <w:rsid w:val="00017E05"/>
    <w:rsid w:val="00020E54"/>
    <w:rsid w:val="00023C81"/>
    <w:rsid w:val="000329FF"/>
    <w:rsid w:val="00032AB3"/>
    <w:rsid w:val="00033C10"/>
    <w:rsid w:val="000372A3"/>
    <w:rsid w:val="00042C61"/>
    <w:rsid w:val="00045B24"/>
    <w:rsid w:val="00047251"/>
    <w:rsid w:val="00047F54"/>
    <w:rsid w:val="0005033D"/>
    <w:rsid w:val="000503C8"/>
    <w:rsid w:val="0005700C"/>
    <w:rsid w:val="0006020E"/>
    <w:rsid w:val="00062136"/>
    <w:rsid w:val="0007072D"/>
    <w:rsid w:val="00070AA4"/>
    <w:rsid w:val="00072175"/>
    <w:rsid w:val="00072998"/>
    <w:rsid w:val="00076B78"/>
    <w:rsid w:val="00082ADC"/>
    <w:rsid w:val="0008416E"/>
    <w:rsid w:val="000906A6"/>
    <w:rsid w:val="0009464F"/>
    <w:rsid w:val="000975E3"/>
    <w:rsid w:val="000A2F1D"/>
    <w:rsid w:val="000A3D22"/>
    <w:rsid w:val="000A6BA8"/>
    <w:rsid w:val="000B1169"/>
    <w:rsid w:val="000C0195"/>
    <w:rsid w:val="000D45B3"/>
    <w:rsid w:val="000D680B"/>
    <w:rsid w:val="000D7257"/>
    <w:rsid w:val="000D7F04"/>
    <w:rsid w:val="000F2C01"/>
    <w:rsid w:val="000F42CE"/>
    <w:rsid w:val="000F5254"/>
    <w:rsid w:val="000F5316"/>
    <w:rsid w:val="000F6C7A"/>
    <w:rsid w:val="000F75EA"/>
    <w:rsid w:val="00103582"/>
    <w:rsid w:val="001038C1"/>
    <w:rsid w:val="001043F0"/>
    <w:rsid w:val="00106336"/>
    <w:rsid w:val="00124775"/>
    <w:rsid w:val="00124E40"/>
    <w:rsid w:val="001272F4"/>
    <w:rsid w:val="00131F95"/>
    <w:rsid w:val="00136BAB"/>
    <w:rsid w:val="00146BAB"/>
    <w:rsid w:val="001473C5"/>
    <w:rsid w:val="00155429"/>
    <w:rsid w:val="001602E6"/>
    <w:rsid w:val="00166D8D"/>
    <w:rsid w:val="00173517"/>
    <w:rsid w:val="0017464B"/>
    <w:rsid w:val="001753A4"/>
    <w:rsid w:val="00184F06"/>
    <w:rsid w:val="00192F93"/>
    <w:rsid w:val="001B1D65"/>
    <w:rsid w:val="001B2430"/>
    <w:rsid w:val="001B24ED"/>
    <w:rsid w:val="001B3C57"/>
    <w:rsid w:val="001C2617"/>
    <w:rsid w:val="001C2BD4"/>
    <w:rsid w:val="001C446F"/>
    <w:rsid w:val="001E2A7A"/>
    <w:rsid w:val="001E2EBB"/>
    <w:rsid w:val="001E2F66"/>
    <w:rsid w:val="001F0A8E"/>
    <w:rsid w:val="001F3674"/>
    <w:rsid w:val="001F6C8D"/>
    <w:rsid w:val="00201C3F"/>
    <w:rsid w:val="00206C4A"/>
    <w:rsid w:val="00222ADF"/>
    <w:rsid w:val="00230D8B"/>
    <w:rsid w:val="00237BC3"/>
    <w:rsid w:val="0024300C"/>
    <w:rsid w:val="00266A7B"/>
    <w:rsid w:val="002705F9"/>
    <w:rsid w:val="002737E5"/>
    <w:rsid w:val="0027414A"/>
    <w:rsid w:val="00277312"/>
    <w:rsid w:val="00282A65"/>
    <w:rsid w:val="00290E0A"/>
    <w:rsid w:val="002A077A"/>
    <w:rsid w:val="002A22EB"/>
    <w:rsid w:val="002A3951"/>
    <w:rsid w:val="002C2A52"/>
    <w:rsid w:val="002C65FB"/>
    <w:rsid w:val="002D06FE"/>
    <w:rsid w:val="002D1B2E"/>
    <w:rsid w:val="002D2EE7"/>
    <w:rsid w:val="002D4B19"/>
    <w:rsid w:val="002D539D"/>
    <w:rsid w:val="002E15D2"/>
    <w:rsid w:val="002E7E36"/>
    <w:rsid w:val="002F039B"/>
    <w:rsid w:val="002F5F99"/>
    <w:rsid w:val="002F6A65"/>
    <w:rsid w:val="002F780C"/>
    <w:rsid w:val="00307828"/>
    <w:rsid w:val="00307B87"/>
    <w:rsid w:val="003109D3"/>
    <w:rsid w:val="00321D96"/>
    <w:rsid w:val="00326517"/>
    <w:rsid w:val="00333092"/>
    <w:rsid w:val="0033361F"/>
    <w:rsid w:val="00335766"/>
    <w:rsid w:val="00335EDE"/>
    <w:rsid w:val="0034553B"/>
    <w:rsid w:val="00347084"/>
    <w:rsid w:val="003508CD"/>
    <w:rsid w:val="003574FF"/>
    <w:rsid w:val="003601D7"/>
    <w:rsid w:val="00363AA8"/>
    <w:rsid w:val="00371900"/>
    <w:rsid w:val="00371B77"/>
    <w:rsid w:val="003807AC"/>
    <w:rsid w:val="00384D3F"/>
    <w:rsid w:val="00396F2C"/>
    <w:rsid w:val="003A08EB"/>
    <w:rsid w:val="003A12E1"/>
    <w:rsid w:val="003A3382"/>
    <w:rsid w:val="003A3B34"/>
    <w:rsid w:val="003A519A"/>
    <w:rsid w:val="003B0302"/>
    <w:rsid w:val="003B03BE"/>
    <w:rsid w:val="003B191A"/>
    <w:rsid w:val="003B2659"/>
    <w:rsid w:val="003B6F4A"/>
    <w:rsid w:val="003B77F6"/>
    <w:rsid w:val="003C464D"/>
    <w:rsid w:val="003C4DA2"/>
    <w:rsid w:val="003C6626"/>
    <w:rsid w:val="003C758F"/>
    <w:rsid w:val="003D77F0"/>
    <w:rsid w:val="003E22A4"/>
    <w:rsid w:val="003E62A6"/>
    <w:rsid w:val="003E7615"/>
    <w:rsid w:val="003F28C9"/>
    <w:rsid w:val="003F2E47"/>
    <w:rsid w:val="003F5C85"/>
    <w:rsid w:val="004046E3"/>
    <w:rsid w:val="00407ACC"/>
    <w:rsid w:val="00416739"/>
    <w:rsid w:val="004168AE"/>
    <w:rsid w:val="0042014C"/>
    <w:rsid w:val="00420C42"/>
    <w:rsid w:val="00422075"/>
    <w:rsid w:val="004321ED"/>
    <w:rsid w:val="00445582"/>
    <w:rsid w:val="00456770"/>
    <w:rsid w:val="0046028B"/>
    <w:rsid w:val="00461CEF"/>
    <w:rsid w:val="004717D4"/>
    <w:rsid w:val="004726CD"/>
    <w:rsid w:val="004731ED"/>
    <w:rsid w:val="0047687F"/>
    <w:rsid w:val="00481453"/>
    <w:rsid w:val="0048320A"/>
    <w:rsid w:val="00484CB0"/>
    <w:rsid w:val="004928B6"/>
    <w:rsid w:val="00492EA8"/>
    <w:rsid w:val="00496BFD"/>
    <w:rsid w:val="004A315C"/>
    <w:rsid w:val="004B07F8"/>
    <w:rsid w:val="004B10D5"/>
    <w:rsid w:val="004B1123"/>
    <w:rsid w:val="004C1540"/>
    <w:rsid w:val="004C437A"/>
    <w:rsid w:val="004C7DBD"/>
    <w:rsid w:val="004D16BB"/>
    <w:rsid w:val="004D4A73"/>
    <w:rsid w:val="004D66BA"/>
    <w:rsid w:val="004D6DD0"/>
    <w:rsid w:val="004E484C"/>
    <w:rsid w:val="004F12D8"/>
    <w:rsid w:val="004F2777"/>
    <w:rsid w:val="004F546A"/>
    <w:rsid w:val="0050203E"/>
    <w:rsid w:val="00502C88"/>
    <w:rsid w:val="005044D8"/>
    <w:rsid w:val="005106F9"/>
    <w:rsid w:val="00523B3F"/>
    <w:rsid w:val="005352D1"/>
    <w:rsid w:val="00537796"/>
    <w:rsid w:val="00540403"/>
    <w:rsid w:val="00542481"/>
    <w:rsid w:val="0054513B"/>
    <w:rsid w:val="005463AF"/>
    <w:rsid w:val="00555C5E"/>
    <w:rsid w:val="0056072B"/>
    <w:rsid w:val="00560E53"/>
    <w:rsid w:val="005641CB"/>
    <w:rsid w:val="00564BF6"/>
    <w:rsid w:val="00566DC1"/>
    <w:rsid w:val="005702C6"/>
    <w:rsid w:val="0057581D"/>
    <w:rsid w:val="00590305"/>
    <w:rsid w:val="00591B21"/>
    <w:rsid w:val="0059233B"/>
    <w:rsid w:val="0059412E"/>
    <w:rsid w:val="005A25EA"/>
    <w:rsid w:val="005B5C0E"/>
    <w:rsid w:val="005C23DD"/>
    <w:rsid w:val="005C5451"/>
    <w:rsid w:val="005C7694"/>
    <w:rsid w:val="005D2D2E"/>
    <w:rsid w:val="005D6D37"/>
    <w:rsid w:val="005E1780"/>
    <w:rsid w:val="005E2847"/>
    <w:rsid w:val="006034CA"/>
    <w:rsid w:val="00606D06"/>
    <w:rsid w:val="00613177"/>
    <w:rsid w:val="00613C0A"/>
    <w:rsid w:val="00616493"/>
    <w:rsid w:val="00620540"/>
    <w:rsid w:val="006233E7"/>
    <w:rsid w:val="0062408E"/>
    <w:rsid w:val="00625FC6"/>
    <w:rsid w:val="00630632"/>
    <w:rsid w:val="006315D9"/>
    <w:rsid w:val="006330F4"/>
    <w:rsid w:val="006351F8"/>
    <w:rsid w:val="006355E6"/>
    <w:rsid w:val="006463A2"/>
    <w:rsid w:val="00646AA3"/>
    <w:rsid w:val="00656BFF"/>
    <w:rsid w:val="006661E6"/>
    <w:rsid w:val="006700A1"/>
    <w:rsid w:val="00670421"/>
    <w:rsid w:val="006718A2"/>
    <w:rsid w:val="00671E8B"/>
    <w:rsid w:val="00673832"/>
    <w:rsid w:val="00673A31"/>
    <w:rsid w:val="006877CD"/>
    <w:rsid w:val="006933F6"/>
    <w:rsid w:val="006A0617"/>
    <w:rsid w:val="006A5069"/>
    <w:rsid w:val="006B1D0A"/>
    <w:rsid w:val="006B2750"/>
    <w:rsid w:val="006B6CA8"/>
    <w:rsid w:val="006B7830"/>
    <w:rsid w:val="006D6A98"/>
    <w:rsid w:val="006E272C"/>
    <w:rsid w:val="006E4156"/>
    <w:rsid w:val="006F43EB"/>
    <w:rsid w:val="0070208B"/>
    <w:rsid w:val="007035F4"/>
    <w:rsid w:val="00714A56"/>
    <w:rsid w:val="00726D48"/>
    <w:rsid w:val="00734D8C"/>
    <w:rsid w:val="007405A5"/>
    <w:rsid w:val="00745C6B"/>
    <w:rsid w:val="00746745"/>
    <w:rsid w:val="00747CDA"/>
    <w:rsid w:val="00747D3A"/>
    <w:rsid w:val="007527FE"/>
    <w:rsid w:val="00753213"/>
    <w:rsid w:val="00755796"/>
    <w:rsid w:val="007560B2"/>
    <w:rsid w:val="00757E76"/>
    <w:rsid w:val="00760D6D"/>
    <w:rsid w:val="00761D7D"/>
    <w:rsid w:val="007659EC"/>
    <w:rsid w:val="00770CA4"/>
    <w:rsid w:val="00784D53"/>
    <w:rsid w:val="0078771B"/>
    <w:rsid w:val="00787D17"/>
    <w:rsid w:val="0079012E"/>
    <w:rsid w:val="007908CB"/>
    <w:rsid w:val="00791119"/>
    <w:rsid w:val="007A4698"/>
    <w:rsid w:val="007A5D9B"/>
    <w:rsid w:val="007B2BF9"/>
    <w:rsid w:val="007B45D0"/>
    <w:rsid w:val="007B71F5"/>
    <w:rsid w:val="007C496B"/>
    <w:rsid w:val="007C73CF"/>
    <w:rsid w:val="007C776B"/>
    <w:rsid w:val="007D0B9A"/>
    <w:rsid w:val="007D3E64"/>
    <w:rsid w:val="007D4422"/>
    <w:rsid w:val="007D4621"/>
    <w:rsid w:val="007D5A32"/>
    <w:rsid w:val="007D6AA1"/>
    <w:rsid w:val="007E166F"/>
    <w:rsid w:val="007E4CFE"/>
    <w:rsid w:val="007E6128"/>
    <w:rsid w:val="007F006F"/>
    <w:rsid w:val="007F06DD"/>
    <w:rsid w:val="007F32D6"/>
    <w:rsid w:val="007F7F7F"/>
    <w:rsid w:val="008046D7"/>
    <w:rsid w:val="00805A9E"/>
    <w:rsid w:val="00806150"/>
    <w:rsid w:val="00812C2C"/>
    <w:rsid w:val="008153D1"/>
    <w:rsid w:val="00820096"/>
    <w:rsid w:val="00825621"/>
    <w:rsid w:val="0083074D"/>
    <w:rsid w:val="0083339F"/>
    <w:rsid w:val="00834B4B"/>
    <w:rsid w:val="0083654F"/>
    <w:rsid w:val="00841031"/>
    <w:rsid w:val="00843999"/>
    <w:rsid w:val="00843B90"/>
    <w:rsid w:val="00844DA6"/>
    <w:rsid w:val="008557CC"/>
    <w:rsid w:val="008622DA"/>
    <w:rsid w:val="00863032"/>
    <w:rsid w:val="00865DB3"/>
    <w:rsid w:val="008669DA"/>
    <w:rsid w:val="008749AE"/>
    <w:rsid w:val="00876210"/>
    <w:rsid w:val="00877D12"/>
    <w:rsid w:val="00886CFF"/>
    <w:rsid w:val="00891F48"/>
    <w:rsid w:val="00892B52"/>
    <w:rsid w:val="00893D85"/>
    <w:rsid w:val="008969C0"/>
    <w:rsid w:val="008A0B4D"/>
    <w:rsid w:val="008A2E59"/>
    <w:rsid w:val="008A56CF"/>
    <w:rsid w:val="008B0929"/>
    <w:rsid w:val="008B2190"/>
    <w:rsid w:val="008B6382"/>
    <w:rsid w:val="008C0F41"/>
    <w:rsid w:val="008C3DB5"/>
    <w:rsid w:val="008D1552"/>
    <w:rsid w:val="008D27C7"/>
    <w:rsid w:val="008D5AD4"/>
    <w:rsid w:val="008E004A"/>
    <w:rsid w:val="008E02EF"/>
    <w:rsid w:val="008E1044"/>
    <w:rsid w:val="008E60C0"/>
    <w:rsid w:val="008E61E5"/>
    <w:rsid w:val="008E69F3"/>
    <w:rsid w:val="008F3FB6"/>
    <w:rsid w:val="008F50A4"/>
    <w:rsid w:val="009006E8"/>
    <w:rsid w:val="00901F82"/>
    <w:rsid w:val="0090292B"/>
    <w:rsid w:val="00903C6B"/>
    <w:rsid w:val="00906E76"/>
    <w:rsid w:val="00911DCE"/>
    <w:rsid w:val="009149F4"/>
    <w:rsid w:val="00930BD2"/>
    <w:rsid w:val="00940520"/>
    <w:rsid w:val="00942966"/>
    <w:rsid w:val="009436E3"/>
    <w:rsid w:val="00947097"/>
    <w:rsid w:val="00952D4E"/>
    <w:rsid w:val="009532D9"/>
    <w:rsid w:val="00955558"/>
    <w:rsid w:val="009571C6"/>
    <w:rsid w:val="009627A7"/>
    <w:rsid w:val="0096637E"/>
    <w:rsid w:val="00967A8A"/>
    <w:rsid w:val="00970277"/>
    <w:rsid w:val="009715C7"/>
    <w:rsid w:val="00975B41"/>
    <w:rsid w:val="00983AA0"/>
    <w:rsid w:val="0098402E"/>
    <w:rsid w:val="0098748D"/>
    <w:rsid w:val="00990C02"/>
    <w:rsid w:val="009919FF"/>
    <w:rsid w:val="00992F2D"/>
    <w:rsid w:val="00994B9D"/>
    <w:rsid w:val="00997B52"/>
    <w:rsid w:val="009B0C18"/>
    <w:rsid w:val="009B66EF"/>
    <w:rsid w:val="009D5FD0"/>
    <w:rsid w:val="009D7F9D"/>
    <w:rsid w:val="009E0131"/>
    <w:rsid w:val="009E4FF9"/>
    <w:rsid w:val="009F47D5"/>
    <w:rsid w:val="009F56E4"/>
    <w:rsid w:val="009F7B86"/>
    <w:rsid w:val="00A00DB7"/>
    <w:rsid w:val="00A03893"/>
    <w:rsid w:val="00A11ABE"/>
    <w:rsid w:val="00A14532"/>
    <w:rsid w:val="00A2050A"/>
    <w:rsid w:val="00A22233"/>
    <w:rsid w:val="00A2230A"/>
    <w:rsid w:val="00A23C50"/>
    <w:rsid w:val="00A23EFB"/>
    <w:rsid w:val="00A31BAB"/>
    <w:rsid w:val="00A341B0"/>
    <w:rsid w:val="00A34C69"/>
    <w:rsid w:val="00A3552F"/>
    <w:rsid w:val="00A357EC"/>
    <w:rsid w:val="00A40A1B"/>
    <w:rsid w:val="00A40DBA"/>
    <w:rsid w:val="00A41B10"/>
    <w:rsid w:val="00A43942"/>
    <w:rsid w:val="00A53C88"/>
    <w:rsid w:val="00A54766"/>
    <w:rsid w:val="00A552BA"/>
    <w:rsid w:val="00A5757C"/>
    <w:rsid w:val="00A601D7"/>
    <w:rsid w:val="00A66BB2"/>
    <w:rsid w:val="00A6750E"/>
    <w:rsid w:val="00A76E6C"/>
    <w:rsid w:val="00A80B3B"/>
    <w:rsid w:val="00A84FEB"/>
    <w:rsid w:val="00A85EBF"/>
    <w:rsid w:val="00A91E5C"/>
    <w:rsid w:val="00A95726"/>
    <w:rsid w:val="00A96B86"/>
    <w:rsid w:val="00AB7572"/>
    <w:rsid w:val="00AC6453"/>
    <w:rsid w:val="00AD1FCC"/>
    <w:rsid w:val="00AD2CB5"/>
    <w:rsid w:val="00AD629F"/>
    <w:rsid w:val="00AE2BEF"/>
    <w:rsid w:val="00AE3C39"/>
    <w:rsid w:val="00AE6C0A"/>
    <w:rsid w:val="00AF1755"/>
    <w:rsid w:val="00AF1760"/>
    <w:rsid w:val="00AF42A3"/>
    <w:rsid w:val="00AF4BB9"/>
    <w:rsid w:val="00AF751D"/>
    <w:rsid w:val="00B008FB"/>
    <w:rsid w:val="00B01259"/>
    <w:rsid w:val="00B02513"/>
    <w:rsid w:val="00B04669"/>
    <w:rsid w:val="00B057F2"/>
    <w:rsid w:val="00B121B3"/>
    <w:rsid w:val="00B13EC0"/>
    <w:rsid w:val="00B26959"/>
    <w:rsid w:val="00B32223"/>
    <w:rsid w:val="00B3401C"/>
    <w:rsid w:val="00B36E0A"/>
    <w:rsid w:val="00B402F9"/>
    <w:rsid w:val="00B41584"/>
    <w:rsid w:val="00B41C6C"/>
    <w:rsid w:val="00B45E7E"/>
    <w:rsid w:val="00B5191F"/>
    <w:rsid w:val="00B55DD6"/>
    <w:rsid w:val="00B603FD"/>
    <w:rsid w:val="00B63031"/>
    <w:rsid w:val="00B63A7A"/>
    <w:rsid w:val="00B64A49"/>
    <w:rsid w:val="00B67819"/>
    <w:rsid w:val="00B70635"/>
    <w:rsid w:val="00B706A6"/>
    <w:rsid w:val="00B73D4B"/>
    <w:rsid w:val="00B86D6B"/>
    <w:rsid w:val="00B97380"/>
    <w:rsid w:val="00BB0709"/>
    <w:rsid w:val="00BB24E4"/>
    <w:rsid w:val="00BC07E3"/>
    <w:rsid w:val="00BC0B1A"/>
    <w:rsid w:val="00BC477D"/>
    <w:rsid w:val="00BC5BAA"/>
    <w:rsid w:val="00BC5F6A"/>
    <w:rsid w:val="00BD011F"/>
    <w:rsid w:val="00BD0683"/>
    <w:rsid w:val="00BD25D0"/>
    <w:rsid w:val="00BD5B68"/>
    <w:rsid w:val="00BE77F0"/>
    <w:rsid w:val="00BF786F"/>
    <w:rsid w:val="00C0025E"/>
    <w:rsid w:val="00C0235E"/>
    <w:rsid w:val="00C05D25"/>
    <w:rsid w:val="00C103AA"/>
    <w:rsid w:val="00C107B2"/>
    <w:rsid w:val="00C11B06"/>
    <w:rsid w:val="00C127ED"/>
    <w:rsid w:val="00C1368E"/>
    <w:rsid w:val="00C17352"/>
    <w:rsid w:val="00C21C89"/>
    <w:rsid w:val="00C2657D"/>
    <w:rsid w:val="00C30869"/>
    <w:rsid w:val="00C310F8"/>
    <w:rsid w:val="00C3579B"/>
    <w:rsid w:val="00C37461"/>
    <w:rsid w:val="00C47641"/>
    <w:rsid w:val="00C50A5A"/>
    <w:rsid w:val="00C56E99"/>
    <w:rsid w:val="00C640C6"/>
    <w:rsid w:val="00C66520"/>
    <w:rsid w:val="00C66FBD"/>
    <w:rsid w:val="00C67896"/>
    <w:rsid w:val="00C72AD9"/>
    <w:rsid w:val="00C776EE"/>
    <w:rsid w:val="00C77941"/>
    <w:rsid w:val="00C92535"/>
    <w:rsid w:val="00C95365"/>
    <w:rsid w:val="00CA04AE"/>
    <w:rsid w:val="00CA213F"/>
    <w:rsid w:val="00CA673C"/>
    <w:rsid w:val="00CB2928"/>
    <w:rsid w:val="00CB3FDB"/>
    <w:rsid w:val="00CB4D5A"/>
    <w:rsid w:val="00CB72B1"/>
    <w:rsid w:val="00CB77C8"/>
    <w:rsid w:val="00CC0F97"/>
    <w:rsid w:val="00CC2185"/>
    <w:rsid w:val="00CC39A2"/>
    <w:rsid w:val="00CD794D"/>
    <w:rsid w:val="00CE2363"/>
    <w:rsid w:val="00CE2F41"/>
    <w:rsid w:val="00CE42A4"/>
    <w:rsid w:val="00CE755D"/>
    <w:rsid w:val="00CF0394"/>
    <w:rsid w:val="00CF07F4"/>
    <w:rsid w:val="00CF1E37"/>
    <w:rsid w:val="00D0021B"/>
    <w:rsid w:val="00D00E1A"/>
    <w:rsid w:val="00D019B3"/>
    <w:rsid w:val="00D12961"/>
    <w:rsid w:val="00D13ED0"/>
    <w:rsid w:val="00D2289F"/>
    <w:rsid w:val="00D2295F"/>
    <w:rsid w:val="00D26F61"/>
    <w:rsid w:val="00D339DC"/>
    <w:rsid w:val="00D36165"/>
    <w:rsid w:val="00D40982"/>
    <w:rsid w:val="00D4185B"/>
    <w:rsid w:val="00D45E8E"/>
    <w:rsid w:val="00D46979"/>
    <w:rsid w:val="00D46E45"/>
    <w:rsid w:val="00D47871"/>
    <w:rsid w:val="00D47DCC"/>
    <w:rsid w:val="00D52FB3"/>
    <w:rsid w:val="00D632AC"/>
    <w:rsid w:val="00D6435A"/>
    <w:rsid w:val="00D70E81"/>
    <w:rsid w:val="00D72BFF"/>
    <w:rsid w:val="00D754BA"/>
    <w:rsid w:val="00D84A24"/>
    <w:rsid w:val="00D857FE"/>
    <w:rsid w:val="00D860FC"/>
    <w:rsid w:val="00D91E52"/>
    <w:rsid w:val="00D93231"/>
    <w:rsid w:val="00DA1D42"/>
    <w:rsid w:val="00DA76F3"/>
    <w:rsid w:val="00DA7E35"/>
    <w:rsid w:val="00DB0AFF"/>
    <w:rsid w:val="00DB319C"/>
    <w:rsid w:val="00DB34BE"/>
    <w:rsid w:val="00DB5652"/>
    <w:rsid w:val="00DB6F33"/>
    <w:rsid w:val="00DC196E"/>
    <w:rsid w:val="00DC3A42"/>
    <w:rsid w:val="00DC475F"/>
    <w:rsid w:val="00DC611F"/>
    <w:rsid w:val="00DC77CF"/>
    <w:rsid w:val="00DD1C22"/>
    <w:rsid w:val="00DD4C99"/>
    <w:rsid w:val="00DE3223"/>
    <w:rsid w:val="00DF0C94"/>
    <w:rsid w:val="00DF71E3"/>
    <w:rsid w:val="00E010D7"/>
    <w:rsid w:val="00E01368"/>
    <w:rsid w:val="00E02AF0"/>
    <w:rsid w:val="00E10CEF"/>
    <w:rsid w:val="00E12C2D"/>
    <w:rsid w:val="00E209BF"/>
    <w:rsid w:val="00E27F6E"/>
    <w:rsid w:val="00E33CEB"/>
    <w:rsid w:val="00E4002F"/>
    <w:rsid w:val="00E41CCE"/>
    <w:rsid w:val="00E42705"/>
    <w:rsid w:val="00E47173"/>
    <w:rsid w:val="00E53BB4"/>
    <w:rsid w:val="00E6138C"/>
    <w:rsid w:val="00E642C8"/>
    <w:rsid w:val="00E661DF"/>
    <w:rsid w:val="00E72FA2"/>
    <w:rsid w:val="00E803EC"/>
    <w:rsid w:val="00E80E93"/>
    <w:rsid w:val="00E8589A"/>
    <w:rsid w:val="00E90702"/>
    <w:rsid w:val="00E96401"/>
    <w:rsid w:val="00EA1D80"/>
    <w:rsid w:val="00EB7856"/>
    <w:rsid w:val="00EC63D2"/>
    <w:rsid w:val="00ED196E"/>
    <w:rsid w:val="00EE257D"/>
    <w:rsid w:val="00EE50DE"/>
    <w:rsid w:val="00EE6297"/>
    <w:rsid w:val="00EF3132"/>
    <w:rsid w:val="00EF3BDB"/>
    <w:rsid w:val="00F00DDF"/>
    <w:rsid w:val="00F01D3A"/>
    <w:rsid w:val="00F02CB8"/>
    <w:rsid w:val="00F055B6"/>
    <w:rsid w:val="00F122D5"/>
    <w:rsid w:val="00F163E2"/>
    <w:rsid w:val="00F30752"/>
    <w:rsid w:val="00F44B26"/>
    <w:rsid w:val="00F45B2D"/>
    <w:rsid w:val="00F471C0"/>
    <w:rsid w:val="00F51123"/>
    <w:rsid w:val="00F54CA9"/>
    <w:rsid w:val="00F55C4D"/>
    <w:rsid w:val="00F572E9"/>
    <w:rsid w:val="00F61C8C"/>
    <w:rsid w:val="00F63060"/>
    <w:rsid w:val="00F70F13"/>
    <w:rsid w:val="00F711A5"/>
    <w:rsid w:val="00F722D1"/>
    <w:rsid w:val="00F74D0C"/>
    <w:rsid w:val="00F97C38"/>
    <w:rsid w:val="00FA01FC"/>
    <w:rsid w:val="00FA2049"/>
    <w:rsid w:val="00FA3556"/>
    <w:rsid w:val="00FB15E5"/>
    <w:rsid w:val="00FC3752"/>
    <w:rsid w:val="00FC4B20"/>
    <w:rsid w:val="00FC50CB"/>
    <w:rsid w:val="00FD0A15"/>
    <w:rsid w:val="00FD15F3"/>
    <w:rsid w:val="00FD7423"/>
    <w:rsid w:val="00FE76E8"/>
    <w:rsid w:val="00FF3C9A"/>
    <w:rsid w:val="00FF50C2"/>
    <w:rsid w:val="1D36C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eastAsia="es-ES"/>
    </w:rPr>
  </w:style>
  <w:style w:type="paragraph" w:styleId="Ttulo1">
    <w:name w:val="heading 1"/>
    <w:basedOn w:val="Normal"/>
    <w:next w:val="Normal"/>
    <w:link w:val="Ttulo1Car"/>
    <w:uiPriority w:val="9"/>
    <w:qFormat/>
    <w:rsid w:val="00CB72B1"/>
    <w:pPr>
      <w:outlineLvl w:val="0"/>
    </w:pPr>
    <w:rPr>
      <w:snapToGrid w:val="0"/>
      <w:color w:val="808000"/>
      <w:sz w:val="44"/>
      <w:lang w:val="es-ES_tradnl"/>
    </w:rPr>
  </w:style>
  <w:style w:type="paragraph" w:styleId="Ttulo2">
    <w:name w:val="heading 2"/>
    <w:basedOn w:val="Normal"/>
    <w:next w:val="Normal"/>
    <w:link w:val="Ttulo2Car"/>
    <w:qFormat/>
    <w:rsid w:val="00E4002F"/>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7F32D6"/>
    <w:pPr>
      <w:keepNext/>
      <w:jc w:val="right"/>
      <w:outlineLvl w:val="2"/>
    </w:pPr>
    <w:rPr>
      <w:rFonts w:ascii="Tahoma" w:hAnsi="Tahoma"/>
      <w:b/>
      <w:bCs/>
      <w:sz w:val="18"/>
      <w:szCs w:val="18"/>
      <w:lang w:val="es-ES_tradnl"/>
    </w:rPr>
  </w:style>
  <w:style w:type="paragraph" w:styleId="Ttulo4">
    <w:name w:val="heading 4"/>
    <w:basedOn w:val="Normal"/>
    <w:next w:val="Normal"/>
    <w:link w:val="Ttulo4Car"/>
    <w:qFormat/>
    <w:rsid w:val="007F32D6"/>
    <w:pPr>
      <w:keepNext/>
      <w:ind w:right="228"/>
      <w:jc w:val="center"/>
      <w:outlineLvl w:val="3"/>
    </w:pPr>
    <w:rPr>
      <w:rFonts w:ascii="Arial" w:hAnsi="Arial"/>
      <w:b/>
      <w:bCs/>
      <w:sz w:val="14"/>
      <w:szCs w:val="16"/>
    </w:rPr>
  </w:style>
  <w:style w:type="paragraph" w:styleId="Ttulo5">
    <w:name w:val="heading 5"/>
    <w:basedOn w:val="Normal"/>
    <w:next w:val="Normal"/>
    <w:link w:val="Ttulo5Car"/>
    <w:qFormat/>
    <w:rsid w:val="00747D3A"/>
    <w:pPr>
      <w:spacing w:before="240" w:after="60"/>
      <w:outlineLvl w:val="4"/>
    </w:pPr>
    <w:rPr>
      <w:b/>
      <w:bCs/>
      <w:i/>
      <w:iCs/>
      <w:sz w:val="26"/>
      <w:szCs w:val="26"/>
    </w:rPr>
  </w:style>
  <w:style w:type="paragraph" w:styleId="Ttulo6">
    <w:name w:val="heading 6"/>
    <w:basedOn w:val="Normal"/>
    <w:next w:val="Normal"/>
    <w:link w:val="Ttulo6Car"/>
    <w:qFormat/>
    <w:rsid w:val="007F32D6"/>
    <w:pPr>
      <w:keepNext/>
      <w:ind w:left="-407"/>
      <w:outlineLvl w:val="5"/>
    </w:pPr>
    <w:rPr>
      <w:rFonts w:ascii="Arial" w:hAnsi="Arial"/>
      <w:b/>
      <w:bCs/>
      <w:sz w:val="16"/>
      <w:szCs w:val="16"/>
    </w:rPr>
  </w:style>
  <w:style w:type="paragraph" w:styleId="Ttulo7">
    <w:name w:val="heading 7"/>
    <w:basedOn w:val="Normal"/>
    <w:next w:val="Normal"/>
    <w:link w:val="Ttulo7Car"/>
    <w:qFormat/>
    <w:rsid w:val="00747D3A"/>
    <w:pPr>
      <w:spacing w:before="240" w:after="60"/>
      <w:outlineLvl w:val="6"/>
    </w:pPr>
    <w:rPr>
      <w:sz w:val="24"/>
      <w:szCs w:val="24"/>
    </w:rPr>
  </w:style>
  <w:style w:type="paragraph" w:styleId="Ttulo8">
    <w:name w:val="heading 8"/>
    <w:basedOn w:val="Normal"/>
    <w:next w:val="Normal"/>
    <w:link w:val="Ttulo8Car"/>
    <w:qFormat/>
    <w:rsid w:val="007F32D6"/>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7F32D6"/>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72B1"/>
    <w:pPr>
      <w:tabs>
        <w:tab w:val="center" w:pos="4419"/>
        <w:tab w:val="right" w:pos="8838"/>
      </w:tabs>
    </w:pPr>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paragraph" w:styleId="Textoindependiente">
    <w:name w:val="Body Text"/>
    <w:basedOn w:val="Normal"/>
    <w:link w:val="TextoindependienteCar"/>
    <w:rsid w:val="00CB72B1"/>
    <w:pPr>
      <w:spacing w:after="120"/>
    </w:pPr>
  </w:style>
  <w:style w:type="paragraph" w:styleId="Sangradetextonormal">
    <w:name w:val="Body Text Indent"/>
    <w:basedOn w:val="Normal"/>
    <w:link w:val="SangradetextonormalCar"/>
    <w:rsid w:val="00E4002F"/>
    <w:pPr>
      <w:spacing w:after="120"/>
      <w:ind w:left="283"/>
    </w:pPr>
  </w:style>
  <w:style w:type="paragraph" w:styleId="Sangra3detindependiente">
    <w:name w:val="Body Text Indent 3"/>
    <w:basedOn w:val="Normal"/>
    <w:link w:val="Sangra3detindependienteCar"/>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character" w:customStyle="1" w:styleId="Ttulo1Car">
    <w:name w:val="Título 1 Car"/>
    <w:link w:val="Ttulo1"/>
    <w:uiPriority w:val="9"/>
    <w:rsid w:val="00747D3A"/>
    <w:rPr>
      <w:snapToGrid w:val="0"/>
      <w:color w:val="808000"/>
      <w:sz w:val="44"/>
      <w:lang w:val="es-ES_tradnl" w:eastAsia="es-ES" w:bidi="ar-SA"/>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3Car">
    <w:name w:val="Título 3 Car"/>
    <w:link w:val="Ttulo3"/>
    <w:uiPriority w:val="9"/>
    <w:rsid w:val="007F32D6"/>
    <w:rPr>
      <w:rFonts w:ascii="Tahoma" w:hAnsi="Tahoma" w:cs="Arial Narrow"/>
      <w:b/>
      <w:bCs/>
      <w:sz w:val="18"/>
      <w:szCs w:val="18"/>
      <w:lang w:val="es-ES_tradnl" w:eastAsia="es-ES"/>
    </w:rPr>
  </w:style>
  <w:style w:type="character" w:customStyle="1" w:styleId="Ttulo4Car">
    <w:name w:val="Título 4 Car"/>
    <w:link w:val="Ttulo4"/>
    <w:rsid w:val="007F32D6"/>
    <w:rPr>
      <w:rFonts w:ascii="Arial" w:hAnsi="Arial" w:cs="Arial"/>
      <w:b/>
      <w:bCs/>
      <w:sz w:val="14"/>
      <w:szCs w:val="16"/>
      <w:lang w:val="es-ES" w:eastAsia="es-ES"/>
    </w:rPr>
  </w:style>
  <w:style w:type="character" w:customStyle="1" w:styleId="Ttulo6Car">
    <w:name w:val="Título 6 Car"/>
    <w:link w:val="Ttulo6"/>
    <w:rsid w:val="007F32D6"/>
    <w:rPr>
      <w:rFonts w:ascii="Arial" w:hAnsi="Arial" w:cs="Arial"/>
      <w:b/>
      <w:bCs/>
      <w:sz w:val="16"/>
      <w:szCs w:val="16"/>
      <w:lang w:val="es-ES" w:eastAsia="es-ES"/>
    </w:rPr>
  </w:style>
  <w:style w:type="character" w:customStyle="1" w:styleId="Ttulo8Car">
    <w:name w:val="Título 8 Car"/>
    <w:link w:val="Ttulo8"/>
    <w:rsid w:val="007F32D6"/>
    <w:rPr>
      <w:rFonts w:ascii="Arial" w:hAnsi="Arial" w:cs="Arial"/>
      <w:b/>
      <w:bCs/>
      <w:sz w:val="14"/>
      <w:szCs w:val="14"/>
      <w:lang w:val="es-ES" w:eastAsia="es-ES"/>
    </w:rPr>
  </w:style>
  <w:style w:type="character" w:customStyle="1" w:styleId="Ttulo9Car">
    <w:name w:val="Título 9 Car"/>
    <w:link w:val="Ttulo9"/>
    <w:rsid w:val="007F32D6"/>
    <w:rPr>
      <w:rFonts w:ascii="Arial" w:hAnsi="Arial" w:cs="Arial"/>
      <w:b/>
      <w:bCs/>
      <w:sz w:val="16"/>
      <w:szCs w:val="16"/>
      <w:lang w:val="es-ES" w:eastAsia="es-ES"/>
    </w:rPr>
  </w:style>
  <w:style w:type="character" w:customStyle="1" w:styleId="Ttulo2Car">
    <w:name w:val="Título 2 Car"/>
    <w:link w:val="Ttulo2"/>
    <w:rsid w:val="007F32D6"/>
    <w:rPr>
      <w:rFonts w:ascii="Arial" w:hAnsi="Arial" w:cs="Arial"/>
      <w:b/>
      <w:bCs/>
      <w:i/>
      <w:iCs/>
      <w:sz w:val="28"/>
      <w:szCs w:val="28"/>
      <w:lang w:val="es-ES" w:eastAsia="es-ES"/>
    </w:rPr>
  </w:style>
  <w:style w:type="character" w:customStyle="1" w:styleId="Ttulo5Car">
    <w:name w:val="Título 5 Car"/>
    <w:link w:val="Ttulo5"/>
    <w:rsid w:val="007F32D6"/>
    <w:rPr>
      <w:b/>
      <w:bCs/>
      <w:i/>
      <w:iCs/>
      <w:sz w:val="26"/>
      <w:szCs w:val="26"/>
      <w:lang w:val="es-ES" w:eastAsia="es-ES"/>
    </w:rPr>
  </w:style>
  <w:style w:type="character" w:customStyle="1" w:styleId="Ttulo7Car">
    <w:name w:val="Título 7 Car"/>
    <w:link w:val="Ttulo7"/>
    <w:rsid w:val="007F32D6"/>
    <w:rPr>
      <w:sz w:val="24"/>
      <w:szCs w:val="24"/>
      <w:lang w:val="es-ES" w:eastAsia="es-ES"/>
    </w:rPr>
  </w:style>
  <w:style w:type="character" w:customStyle="1" w:styleId="PiedepginaCar">
    <w:name w:val="Pie de página Car"/>
    <w:link w:val="Piedepgina"/>
    <w:uiPriority w:val="99"/>
    <w:rsid w:val="007F32D6"/>
    <w:rPr>
      <w:rFonts w:ascii="Times" w:hAnsi="Times"/>
      <w:lang w:val="es-ES" w:eastAsia="es-ES"/>
    </w:rPr>
  </w:style>
  <w:style w:type="character" w:customStyle="1" w:styleId="TextoindependienteCar">
    <w:name w:val="Texto independiente Car"/>
    <w:link w:val="Textoindependiente"/>
    <w:rsid w:val="007F32D6"/>
    <w:rPr>
      <w:lang w:val="es-ES" w:eastAsia="es-ES"/>
    </w:rPr>
  </w:style>
  <w:style w:type="paragraph" w:styleId="Sinespaciado">
    <w:name w:val="No Spacing"/>
    <w:link w:val="SinespaciadoCar"/>
    <w:uiPriority w:val="1"/>
    <w:qFormat/>
    <w:rsid w:val="007F32D6"/>
    <w:rPr>
      <w:rFonts w:ascii="Goudy Old Style" w:hAnsi="Goudy Old Style" w:cs="Arial Unicode MS"/>
      <w:lang w:val="es-MX" w:eastAsia="es-ES"/>
    </w:rPr>
  </w:style>
  <w:style w:type="paragraph" w:customStyle="1" w:styleId="Estilo">
    <w:name w:val="Estilo"/>
    <w:rsid w:val="007F32D6"/>
    <w:pPr>
      <w:widowControl w:val="0"/>
      <w:autoSpaceDE w:val="0"/>
      <w:autoSpaceDN w:val="0"/>
      <w:adjustRightInd w:val="0"/>
    </w:pPr>
    <w:rPr>
      <w:rFonts w:ascii="Arial" w:hAnsi="Arial" w:cs="Arial"/>
      <w:sz w:val="24"/>
      <w:szCs w:val="24"/>
      <w:lang w:val="es-MX" w:eastAsia="es-MX"/>
    </w:rPr>
  </w:style>
  <w:style w:type="character" w:customStyle="1" w:styleId="EncabezadoCar">
    <w:name w:val="Encabezado Car"/>
    <w:link w:val="Encabezado"/>
    <w:uiPriority w:val="99"/>
    <w:rsid w:val="007F32D6"/>
    <w:rPr>
      <w:lang w:val="es-ES" w:eastAsia="es-ES"/>
    </w:rPr>
  </w:style>
  <w:style w:type="paragraph" w:styleId="NormalWeb">
    <w:name w:val="Normal (Web)"/>
    <w:basedOn w:val="Normal"/>
    <w:uiPriority w:val="99"/>
    <w:unhideWhenUsed/>
    <w:rsid w:val="007F32D6"/>
    <w:pPr>
      <w:spacing w:before="100" w:beforeAutospacing="1" w:after="100" w:afterAutospacing="1"/>
    </w:pPr>
    <w:rPr>
      <w:color w:val="000000"/>
      <w:sz w:val="24"/>
      <w:szCs w:val="24"/>
      <w:lang w:val="es-MX" w:eastAsia="es-MX"/>
    </w:rPr>
  </w:style>
  <w:style w:type="paragraph" w:styleId="Ttulo">
    <w:name w:val="Title"/>
    <w:basedOn w:val="Normal"/>
    <w:next w:val="Normal"/>
    <w:link w:val="TtuloCar"/>
    <w:qFormat/>
    <w:rsid w:val="007F32D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link w:val="Ttulo"/>
    <w:rsid w:val="007F32D6"/>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7F32D6"/>
  </w:style>
  <w:style w:type="paragraph" w:customStyle="1" w:styleId="xl24">
    <w:name w:val="xl24"/>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1">
    <w:name w:val="xl3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2">
    <w:name w:val="xl32"/>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
    <w:name w:val="Hyperlink"/>
    <w:uiPriority w:val="99"/>
    <w:unhideWhenUsed/>
    <w:rsid w:val="007F32D6"/>
    <w:rPr>
      <w:color w:val="0000FF"/>
      <w:u w:val="single"/>
    </w:rPr>
  </w:style>
  <w:style w:type="character" w:styleId="Hipervnculovisitado">
    <w:name w:val="FollowedHyperlink"/>
    <w:uiPriority w:val="99"/>
    <w:unhideWhenUsed/>
    <w:rsid w:val="007F32D6"/>
    <w:rPr>
      <w:color w:val="800080"/>
      <w:u w:val="single"/>
    </w:rPr>
  </w:style>
  <w:style w:type="paragraph" w:customStyle="1" w:styleId="xl67">
    <w:name w:val="xl67"/>
    <w:basedOn w:val="Normal"/>
    <w:rsid w:val="007F32D6"/>
    <w:pPr>
      <w:spacing w:before="100" w:beforeAutospacing="1" w:after="100" w:afterAutospacing="1"/>
    </w:pPr>
    <w:rPr>
      <w:rFonts w:ascii="Arial" w:hAnsi="Arial" w:cs="Arial"/>
      <w:sz w:val="24"/>
      <w:szCs w:val="24"/>
    </w:rPr>
  </w:style>
  <w:style w:type="paragraph" w:customStyle="1" w:styleId="xl68">
    <w:name w:val="xl68"/>
    <w:basedOn w:val="Normal"/>
    <w:rsid w:val="007F32D6"/>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7F32D6"/>
    <w:pPr>
      <w:spacing w:before="100" w:beforeAutospacing="1" w:after="100" w:afterAutospacing="1"/>
      <w:jc w:val="right"/>
    </w:pPr>
    <w:rPr>
      <w:rFonts w:ascii="Arial Narrow" w:hAnsi="Arial Narrow"/>
      <w:sz w:val="24"/>
      <w:szCs w:val="24"/>
    </w:rPr>
  </w:style>
  <w:style w:type="paragraph" w:customStyle="1" w:styleId="xl73">
    <w:name w:val="xl7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7F32D6"/>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7F32D6"/>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styleId="Textodeglobo">
    <w:name w:val="Balloon Text"/>
    <w:basedOn w:val="Normal"/>
    <w:link w:val="TextodegloboCar"/>
    <w:uiPriority w:val="99"/>
    <w:unhideWhenUsed/>
    <w:rsid w:val="007F32D6"/>
    <w:rPr>
      <w:rFonts w:ascii="Tahoma" w:eastAsia="Calibri" w:hAnsi="Tahoma"/>
      <w:sz w:val="16"/>
      <w:szCs w:val="16"/>
      <w:lang w:eastAsia="en-US"/>
    </w:rPr>
  </w:style>
  <w:style w:type="character" w:customStyle="1" w:styleId="TextodegloboCar">
    <w:name w:val="Texto de globo Car"/>
    <w:link w:val="Textodeglobo"/>
    <w:uiPriority w:val="99"/>
    <w:rsid w:val="007F32D6"/>
    <w:rPr>
      <w:rFonts w:ascii="Tahoma" w:eastAsia="Calibri" w:hAnsi="Tahoma" w:cs="Tahoma"/>
      <w:sz w:val="16"/>
      <w:szCs w:val="16"/>
      <w:lang w:eastAsia="en-US"/>
    </w:rPr>
  </w:style>
  <w:style w:type="table" w:styleId="Tablaconcuadrcula">
    <w:name w:val="Table Grid"/>
    <w:basedOn w:val="Tablanormal"/>
    <w:uiPriority w:val="59"/>
    <w:rsid w:val="007F32D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7F32D6"/>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Texto">
    <w:name w:val="Texto"/>
    <w:basedOn w:val="Normal"/>
    <w:link w:val="TextoCar"/>
    <w:rsid w:val="007F32D6"/>
    <w:pPr>
      <w:spacing w:after="101" w:line="216" w:lineRule="exact"/>
      <w:ind w:firstLine="288"/>
      <w:jc w:val="both"/>
    </w:pPr>
    <w:rPr>
      <w:rFonts w:ascii="Arial" w:hAnsi="Arial"/>
      <w:sz w:val="18"/>
      <w:szCs w:val="18"/>
    </w:rPr>
  </w:style>
  <w:style w:type="paragraph" w:customStyle="1" w:styleId="ANOTACION">
    <w:name w:val="ANOTACION"/>
    <w:basedOn w:val="Normal"/>
    <w:rsid w:val="007F32D6"/>
    <w:pPr>
      <w:spacing w:before="101" w:after="101" w:line="216" w:lineRule="atLeast"/>
      <w:jc w:val="center"/>
    </w:pPr>
    <w:rPr>
      <w:b/>
      <w:sz w:val="18"/>
      <w:lang w:val="es-ES_tradnl"/>
    </w:rPr>
  </w:style>
  <w:style w:type="paragraph" w:customStyle="1" w:styleId="CABEZA">
    <w:name w:val="CABEZA"/>
    <w:basedOn w:val="Ttulo1"/>
    <w:rsid w:val="007F32D6"/>
    <w:pPr>
      <w:jc w:val="center"/>
    </w:pPr>
    <w:rPr>
      <w:rFonts w:cs="CG Palacio (WN)"/>
      <w:b/>
      <w:snapToGrid/>
      <w:color w:val="auto"/>
      <w:sz w:val="28"/>
      <w:szCs w:val="18"/>
    </w:rPr>
  </w:style>
  <w:style w:type="paragraph" w:customStyle="1" w:styleId="ROMANOS">
    <w:name w:val="ROMANOS"/>
    <w:basedOn w:val="Normal"/>
    <w:rsid w:val="007F32D6"/>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32D6"/>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7F32D6"/>
    <w:pPr>
      <w:ind w:left="1987" w:hanging="720"/>
    </w:pPr>
    <w:rPr>
      <w:lang w:val="es-MX"/>
    </w:rPr>
  </w:style>
  <w:style w:type="paragraph" w:customStyle="1" w:styleId="Estilo1x">
    <w:name w:val="Estilo1x"/>
    <w:basedOn w:val="Texto"/>
    <w:rsid w:val="007F32D6"/>
    <w:pPr>
      <w:spacing w:before="20" w:after="20" w:line="240" w:lineRule="auto"/>
      <w:jc w:val="right"/>
    </w:pPr>
    <w:rPr>
      <w:b/>
      <w:sz w:val="16"/>
      <w:szCs w:val="16"/>
      <w:lang w:val="es-MX"/>
    </w:rPr>
  </w:style>
  <w:style w:type="paragraph" w:customStyle="1" w:styleId="Estilo1xx">
    <w:name w:val="Estilo1xx"/>
    <w:basedOn w:val="Texto"/>
    <w:rsid w:val="007F32D6"/>
    <w:pPr>
      <w:spacing w:before="20" w:after="20" w:line="240" w:lineRule="auto"/>
      <w:ind w:left="144" w:firstLine="0"/>
    </w:pPr>
    <w:rPr>
      <w:sz w:val="16"/>
      <w:szCs w:val="16"/>
    </w:rPr>
  </w:style>
  <w:style w:type="paragraph" w:customStyle="1" w:styleId="Titulo1">
    <w:name w:val="Titulo 1"/>
    <w:basedOn w:val="Normal"/>
    <w:rsid w:val="007F32D6"/>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32D6"/>
    <w:pPr>
      <w:pBdr>
        <w:top w:val="double" w:sz="6" w:space="1" w:color="auto"/>
      </w:pBdr>
      <w:spacing w:line="240" w:lineRule="auto"/>
      <w:ind w:firstLine="0"/>
      <w:outlineLvl w:val="1"/>
    </w:pPr>
    <w:rPr>
      <w:lang w:val="es-MX"/>
    </w:rPr>
  </w:style>
  <w:style w:type="paragraph" w:customStyle="1" w:styleId="tt">
    <w:name w:val="tt"/>
    <w:basedOn w:val="Texto"/>
    <w:rsid w:val="007F32D6"/>
    <w:pPr>
      <w:tabs>
        <w:tab w:val="left" w:pos="1320"/>
        <w:tab w:val="left" w:pos="1629"/>
      </w:tabs>
      <w:ind w:left="1647" w:hanging="1440"/>
    </w:pPr>
    <w:rPr>
      <w:lang w:val="es-ES_tradnl"/>
    </w:rPr>
  </w:style>
  <w:style w:type="paragraph" w:customStyle="1" w:styleId="cb">
    <w:name w:val="cb"/>
    <w:basedOn w:val="Texto"/>
    <w:rsid w:val="007F32D6"/>
    <w:pPr>
      <w:ind w:left="1008" w:hanging="720"/>
    </w:pPr>
    <w:rPr>
      <w:b/>
      <w:lang w:val="es-ES_tradnl"/>
    </w:rPr>
  </w:style>
  <w:style w:type="paragraph" w:customStyle="1" w:styleId="sum">
    <w:name w:val="sum"/>
    <w:basedOn w:val="Texto"/>
    <w:rsid w:val="007F32D6"/>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32D6"/>
    <w:pPr>
      <w:spacing w:after="101" w:line="216" w:lineRule="atLeast"/>
      <w:ind w:firstLine="288"/>
      <w:jc w:val="both"/>
    </w:pPr>
    <w:rPr>
      <w:rFonts w:ascii="Arial" w:hAnsi="Arial"/>
      <w:sz w:val="18"/>
      <w:lang w:val="es-ES_tradnl"/>
    </w:rPr>
  </w:style>
  <w:style w:type="paragraph" w:styleId="Textodebloque">
    <w:name w:val="Block Text"/>
    <w:basedOn w:val="Normal"/>
    <w:rsid w:val="007F32D6"/>
    <w:pPr>
      <w:ind w:left="-142" w:right="-518"/>
      <w:jc w:val="center"/>
    </w:pPr>
    <w:rPr>
      <w:rFonts w:ascii="Arial" w:hAnsi="Arial"/>
      <w:sz w:val="24"/>
      <w:lang w:val="es-MX"/>
    </w:rPr>
  </w:style>
  <w:style w:type="paragraph" w:customStyle="1" w:styleId="xl37">
    <w:name w:val="xl37"/>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7F32D6"/>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7F32D6"/>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7F32D6"/>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7F32D6"/>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7F32D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7F32D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7F32D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7F32D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F32D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7F32D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7F32D6"/>
    <w:pPr>
      <w:spacing w:before="100" w:beforeAutospacing="1" w:after="100" w:afterAutospacing="1"/>
    </w:pPr>
    <w:rPr>
      <w:rFonts w:ascii="Arial" w:eastAsia="Arial Unicode MS" w:hAnsi="Arial" w:cs="Arial"/>
    </w:rPr>
  </w:style>
  <w:style w:type="paragraph" w:customStyle="1" w:styleId="xl61">
    <w:name w:val="xl61"/>
    <w:basedOn w:val="Normal"/>
    <w:rsid w:val="007F32D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7F32D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7F32D6"/>
    <w:pPr>
      <w:spacing w:before="100" w:beforeAutospacing="1" w:after="100" w:afterAutospacing="1"/>
    </w:pPr>
    <w:rPr>
      <w:rFonts w:ascii="Arial" w:eastAsia="Arial Unicode MS" w:hAnsi="Arial" w:cs="Arial"/>
      <w:sz w:val="16"/>
      <w:szCs w:val="16"/>
    </w:rPr>
  </w:style>
  <w:style w:type="paragraph" w:styleId="Textosinformato">
    <w:name w:val="Plain Text"/>
    <w:basedOn w:val="Normal"/>
    <w:link w:val="TextosinformatoCar"/>
    <w:rsid w:val="007F32D6"/>
    <w:rPr>
      <w:rFonts w:ascii="Courier New" w:hAnsi="Courier New"/>
    </w:rPr>
  </w:style>
  <w:style w:type="character" w:customStyle="1" w:styleId="TextosinformatoCar">
    <w:name w:val="Texto sin formato Car"/>
    <w:link w:val="Textosinformato"/>
    <w:rsid w:val="007F32D6"/>
    <w:rPr>
      <w:rFonts w:ascii="Courier New" w:hAnsi="Courier New" w:cs="Courier New"/>
      <w:lang w:val="es-ES" w:eastAsia="es-ES"/>
    </w:rPr>
  </w:style>
  <w:style w:type="paragraph" w:styleId="Sangra2detindependiente">
    <w:name w:val="Body Text Indent 2"/>
    <w:basedOn w:val="Normal"/>
    <w:link w:val="Sangra2detindependienteCar"/>
    <w:rsid w:val="007F32D6"/>
    <w:pPr>
      <w:ind w:left="709" w:hanging="709"/>
      <w:jc w:val="both"/>
    </w:pPr>
    <w:rPr>
      <w:rFonts w:ascii="Arial" w:hAnsi="Arial"/>
      <w:b/>
      <w:bCs/>
      <w:lang w:val="es-ES_tradnl"/>
    </w:rPr>
  </w:style>
  <w:style w:type="character" w:customStyle="1" w:styleId="Sangra2detindependienteCar">
    <w:name w:val="Sangría 2 de t. independiente Car"/>
    <w:link w:val="Sangra2detindependiente"/>
    <w:rsid w:val="007F32D6"/>
    <w:rPr>
      <w:rFonts w:ascii="Arial" w:hAnsi="Arial"/>
      <w:b/>
      <w:bCs/>
      <w:lang w:val="es-ES_tradnl" w:eastAsia="es-ES"/>
    </w:rPr>
  </w:style>
  <w:style w:type="character" w:customStyle="1" w:styleId="Sangra3detindependienteCar">
    <w:name w:val="Sangría 3 de t. independiente Car"/>
    <w:link w:val="Sangra3detindependiente"/>
    <w:rsid w:val="007F32D6"/>
    <w:rPr>
      <w:sz w:val="16"/>
      <w:szCs w:val="16"/>
      <w:lang w:val="es-ES" w:eastAsia="es-ES"/>
    </w:rPr>
  </w:style>
  <w:style w:type="table" w:customStyle="1" w:styleId="Sombreadoclaro-nfasis11">
    <w:name w:val="Sombreado claro - Énfasis 11"/>
    <w:basedOn w:val="Tablanormal"/>
    <w:uiPriority w:val="60"/>
    <w:rsid w:val="007F32D6"/>
    <w:rPr>
      <w:rFonts w:ascii="Calibri" w:eastAsia="Calibri" w:hAnsi="Calibri"/>
      <w:color w:val="365F91"/>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7F32D6"/>
    <w:rPr>
      <w:rFonts w:ascii="Calibri" w:eastAsia="Calibri" w:hAnsi="Calibri"/>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7F32D6"/>
    <w:pPr>
      <w:numPr>
        <w:numId w:val="1"/>
      </w:numPr>
    </w:pPr>
  </w:style>
  <w:style w:type="paragraph" w:styleId="TtulodeTDC">
    <w:name w:val="TOC Heading"/>
    <w:basedOn w:val="Ttulo1"/>
    <w:next w:val="Normal"/>
    <w:uiPriority w:val="39"/>
    <w:unhideWhenUsed/>
    <w:qFormat/>
    <w:rsid w:val="007F32D6"/>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7F32D6"/>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rsid w:val="007F32D6"/>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sid w:val="007F32D6"/>
    <w:rPr>
      <w:rFonts w:ascii="Calibri" w:hAnsi="Calibri"/>
    </w:rPr>
  </w:style>
  <w:style w:type="character" w:customStyle="1" w:styleId="TextonotapieCar">
    <w:name w:val="Texto nota pie Car"/>
    <w:link w:val="Textonotapie"/>
    <w:uiPriority w:val="99"/>
    <w:rsid w:val="007F32D6"/>
    <w:rPr>
      <w:rFonts w:ascii="Calibri" w:hAnsi="Calibri"/>
    </w:rPr>
  </w:style>
  <w:style w:type="character" w:styleId="Refdenotaalpie">
    <w:name w:val="footnote reference"/>
    <w:uiPriority w:val="99"/>
    <w:unhideWhenUsed/>
    <w:rsid w:val="007F32D6"/>
    <w:rPr>
      <w:vertAlign w:val="superscript"/>
    </w:rPr>
  </w:style>
  <w:style w:type="character" w:customStyle="1" w:styleId="SangradetextonormalCar">
    <w:name w:val="Sangría de texto normal Car"/>
    <w:link w:val="Sangradetextonormal"/>
    <w:rsid w:val="007F32D6"/>
    <w:rPr>
      <w:lang w:val="es-ES" w:eastAsia="es-ES"/>
    </w:rPr>
  </w:style>
  <w:style w:type="character" w:styleId="Refdecomentario">
    <w:name w:val="annotation reference"/>
    <w:uiPriority w:val="99"/>
    <w:rsid w:val="007F32D6"/>
    <w:rPr>
      <w:sz w:val="16"/>
      <w:szCs w:val="16"/>
    </w:rPr>
  </w:style>
  <w:style w:type="paragraph" w:styleId="Textocomentario">
    <w:name w:val="annotation text"/>
    <w:basedOn w:val="Normal"/>
    <w:link w:val="TextocomentarioCar"/>
    <w:uiPriority w:val="99"/>
    <w:rsid w:val="007F32D6"/>
  </w:style>
  <w:style w:type="character" w:customStyle="1" w:styleId="TextocomentarioCar">
    <w:name w:val="Texto comentario Car"/>
    <w:link w:val="Textocomentario"/>
    <w:uiPriority w:val="99"/>
    <w:rsid w:val="007F32D6"/>
    <w:rPr>
      <w:lang w:val="es-ES" w:eastAsia="es-ES"/>
    </w:rPr>
  </w:style>
  <w:style w:type="paragraph" w:styleId="Asuntodelcomentario">
    <w:name w:val="annotation subject"/>
    <w:basedOn w:val="Textocomentario"/>
    <w:next w:val="Textocomentario"/>
    <w:link w:val="AsuntodelcomentarioCar"/>
    <w:uiPriority w:val="99"/>
    <w:rsid w:val="007F32D6"/>
    <w:rPr>
      <w:b/>
      <w:bCs/>
    </w:rPr>
  </w:style>
  <w:style w:type="character" w:customStyle="1" w:styleId="AsuntodelcomentarioCar">
    <w:name w:val="Asunto del comentario Car"/>
    <w:link w:val="Asuntodelcomentario"/>
    <w:uiPriority w:val="99"/>
    <w:rsid w:val="007F32D6"/>
    <w:rPr>
      <w:b/>
      <w:bCs/>
      <w:lang w:val="es-ES" w:eastAsia="es-ES"/>
    </w:rPr>
  </w:style>
  <w:style w:type="paragraph" w:customStyle="1" w:styleId="Default">
    <w:name w:val="Default"/>
    <w:rsid w:val="00BC0B1A"/>
    <w:pPr>
      <w:autoSpaceDE w:val="0"/>
      <w:autoSpaceDN w:val="0"/>
      <w:adjustRightInd w:val="0"/>
    </w:pPr>
    <w:rPr>
      <w:rFonts w:ascii="Arial" w:eastAsia="Calibri" w:hAnsi="Arial" w:cs="Arial"/>
      <w:color w:val="000000"/>
      <w:sz w:val="22"/>
      <w:szCs w:val="24"/>
      <w:lang w:val="es-MX" w:eastAsia="en-US"/>
    </w:rPr>
  </w:style>
  <w:style w:type="character" w:customStyle="1" w:styleId="SinespaciadoCar">
    <w:name w:val="Sin espaciado Car"/>
    <w:link w:val="Sinespaciado"/>
    <w:uiPriority w:val="1"/>
    <w:rsid w:val="00BC0B1A"/>
    <w:rPr>
      <w:rFonts w:ascii="Goudy Old Style" w:hAnsi="Goudy Old Style" w:cs="Arial Unicode MS"/>
      <w:lang w:eastAsia="es-ES" w:bidi="ar-SA"/>
    </w:rPr>
  </w:style>
  <w:style w:type="table" w:styleId="Sombreadoclaro-nfasis5">
    <w:name w:val="Light Shading Accent 5"/>
    <w:basedOn w:val="Tablanormal"/>
    <w:uiPriority w:val="60"/>
    <w:rsid w:val="00BC0B1A"/>
    <w:rPr>
      <w:rFonts w:ascii="Helvetica" w:hAnsi="Helvetica" w:cs="Helvetica"/>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BC0B1A"/>
    <w:rPr>
      <w:b/>
      <w:bCs/>
    </w:rPr>
  </w:style>
  <w:style w:type="paragraph" w:styleId="TDC3">
    <w:name w:val="toc 3"/>
    <w:basedOn w:val="Normal"/>
    <w:next w:val="Normal"/>
    <w:autoRedefine/>
    <w:uiPriority w:val="39"/>
    <w:unhideWhenUsed/>
    <w:rsid w:val="00BC0B1A"/>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sid w:val="009715C7"/>
    <w:rPr>
      <w:rFonts w:ascii="Arial" w:hAnsi="Arial" w:cs="Arial"/>
      <w:sz w:val="18"/>
      <w:szCs w:val="18"/>
      <w:lang w:val="es-ES" w:eastAsia="es-ES"/>
    </w:rPr>
  </w:style>
  <w:style w:type="paragraph" w:styleId="Subttulo">
    <w:name w:val="Subtitle"/>
    <w:basedOn w:val="Normal"/>
    <w:link w:val="SubttuloCar"/>
    <w:qFormat/>
    <w:rsid w:val="009715C7"/>
    <w:pPr>
      <w:jc w:val="center"/>
    </w:pPr>
    <w:rPr>
      <w:rFonts w:ascii="Arial" w:hAnsi="Arial"/>
      <w:b/>
      <w:bCs/>
      <w:sz w:val="24"/>
      <w:szCs w:val="24"/>
    </w:rPr>
  </w:style>
  <w:style w:type="character" w:customStyle="1" w:styleId="SubttuloCar">
    <w:name w:val="Subtítulo Car"/>
    <w:link w:val="Subttulo"/>
    <w:rsid w:val="009715C7"/>
    <w:rPr>
      <w:rFonts w:ascii="Arial" w:hAnsi="Arial"/>
      <w:b/>
      <w:bCs/>
      <w:sz w:val="24"/>
      <w:szCs w:val="24"/>
      <w:lang w:val="es-ES" w:eastAsia="es-ES"/>
    </w:rPr>
  </w:style>
  <w:style w:type="paragraph" w:styleId="ndice1">
    <w:name w:val="index 1"/>
    <w:basedOn w:val="Normal"/>
    <w:next w:val="Normal"/>
    <w:autoRedefine/>
    <w:uiPriority w:val="99"/>
    <w:unhideWhenUsed/>
    <w:rsid w:val="00671E8B"/>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paragraph" w:customStyle="1" w:styleId="Listavistosa-nfasis11">
    <w:name w:val="Lista vistosa - Énfasis 11"/>
    <w:basedOn w:val="Normal"/>
    <w:uiPriority w:val="34"/>
    <w:qFormat/>
    <w:rsid w:val="003C4DA2"/>
    <w:pPr>
      <w:suppressAutoHyphens/>
      <w:spacing w:after="200" w:line="276" w:lineRule="auto"/>
      <w:ind w:left="708"/>
    </w:pPr>
    <w:rPr>
      <w:rFonts w:ascii="Calibri" w:eastAsia="Calibri" w:hAnsi="Calibri"/>
      <w:sz w:val="22"/>
      <w:szCs w:val="22"/>
      <w:lang w:eastAsia="ar-SA"/>
    </w:rPr>
  </w:style>
  <w:style w:type="paragraph" w:styleId="Textoindependiente3">
    <w:name w:val="Body Text 3"/>
    <w:basedOn w:val="Normal"/>
    <w:link w:val="Textoindependiente3Car"/>
    <w:rsid w:val="003C4DA2"/>
    <w:pPr>
      <w:spacing w:after="120"/>
    </w:pPr>
    <w:rPr>
      <w:sz w:val="16"/>
      <w:szCs w:val="16"/>
    </w:rPr>
  </w:style>
  <w:style w:type="character" w:customStyle="1" w:styleId="Textoindependiente3Car">
    <w:name w:val="Texto independiente 3 Car"/>
    <w:basedOn w:val="Fuentedeprrafopredeter"/>
    <w:link w:val="Textoindependiente3"/>
    <w:rsid w:val="003C4DA2"/>
    <w:rPr>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eastAsia="es-ES"/>
    </w:rPr>
  </w:style>
  <w:style w:type="paragraph" w:styleId="Ttulo1">
    <w:name w:val="heading 1"/>
    <w:basedOn w:val="Normal"/>
    <w:next w:val="Normal"/>
    <w:link w:val="Ttulo1Car"/>
    <w:uiPriority w:val="9"/>
    <w:qFormat/>
    <w:rsid w:val="00CB72B1"/>
    <w:pPr>
      <w:outlineLvl w:val="0"/>
    </w:pPr>
    <w:rPr>
      <w:snapToGrid w:val="0"/>
      <w:color w:val="808000"/>
      <w:sz w:val="44"/>
      <w:lang w:val="es-ES_tradnl"/>
    </w:rPr>
  </w:style>
  <w:style w:type="paragraph" w:styleId="Ttulo2">
    <w:name w:val="heading 2"/>
    <w:basedOn w:val="Normal"/>
    <w:next w:val="Normal"/>
    <w:link w:val="Ttulo2Car"/>
    <w:qFormat/>
    <w:rsid w:val="00E4002F"/>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7F32D6"/>
    <w:pPr>
      <w:keepNext/>
      <w:jc w:val="right"/>
      <w:outlineLvl w:val="2"/>
    </w:pPr>
    <w:rPr>
      <w:rFonts w:ascii="Tahoma" w:hAnsi="Tahoma"/>
      <w:b/>
      <w:bCs/>
      <w:sz w:val="18"/>
      <w:szCs w:val="18"/>
      <w:lang w:val="es-ES_tradnl"/>
    </w:rPr>
  </w:style>
  <w:style w:type="paragraph" w:styleId="Ttulo4">
    <w:name w:val="heading 4"/>
    <w:basedOn w:val="Normal"/>
    <w:next w:val="Normal"/>
    <w:link w:val="Ttulo4Car"/>
    <w:qFormat/>
    <w:rsid w:val="007F32D6"/>
    <w:pPr>
      <w:keepNext/>
      <w:ind w:right="228"/>
      <w:jc w:val="center"/>
      <w:outlineLvl w:val="3"/>
    </w:pPr>
    <w:rPr>
      <w:rFonts w:ascii="Arial" w:hAnsi="Arial"/>
      <w:b/>
      <w:bCs/>
      <w:sz w:val="14"/>
      <w:szCs w:val="16"/>
    </w:rPr>
  </w:style>
  <w:style w:type="paragraph" w:styleId="Ttulo5">
    <w:name w:val="heading 5"/>
    <w:basedOn w:val="Normal"/>
    <w:next w:val="Normal"/>
    <w:link w:val="Ttulo5Car"/>
    <w:qFormat/>
    <w:rsid w:val="00747D3A"/>
    <w:pPr>
      <w:spacing w:before="240" w:after="60"/>
      <w:outlineLvl w:val="4"/>
    </w:pPr>
    <w:rPr>
      <w:b/>
      <w:bCs/>
      <w:i/>
      <w:iCs/>
      <w:sz w:val="26"/>
      <w:szCs w:val="26"/>
    </w:rPr>
  </w:style>
  <w:style w:type="paragraph" w:styleId="Ttulo6">
    <w:name w:val="heading 6"/>
    <w:basedOn w:val="Normal"/>
    <w:next w:val="Normal"/>
    <w:link w:val="Ttulo6Car"/>
    <w:qFormat/>
    <w:rsid w:val="007F32D6"/>
    <w:pPr>
      <w:keepNext/>
      <w:ind w:left="-407"/>
      <w:outlineLvl w:val="5"/>
    </w:pPr>
    <w:rPr>
      <w:rFonts w:ascii="Arial" w:hAnsi="Arial"/>
      <w:b/>
      <w:bCs/>
      <w:sz w:val="16"/>
      <w:szCs w:val="16"/>
    </w:rPr>
  </w:style>
  <w:style w:type="paragraph" w:styleId="Ttulo7">
    <w:name w:val="heading 7"/>
    <w:basedOn w:val="Normal"/>
    <w:next w:val="Normal"/>
    <w:link w:val="Ttulo7Car"/>
    <w:qFormat/>
    <w:rsid w:val="00747D3A"/>
    <w:pPr>
      <w:spacing w:before="240" w:after="60"/>
      <w:outlineLvl w:val="6"/>
    </w:pPr>
    <w:rPr>
      <w:sz w:val="24"/>
      <w:szCs w:val="24"/>
    </w:rPr>
  </w:style>
  <w:style w:type="paragraph" w:styleId="Ttulo8">
    <w:name w:val="heading 8"/>
    <w:basedOn w:val="Normal"/>
    <w:next w:val="Normal"/>
    <w:link w:val="Ttulo8Car"/>
    <w:qFormat/>
    <w:rsid w:val="007F32D6"/>
    <w:pPr>
      <w:keepNext/>
      <w:ind w:left="165" w:hanging="165"/>
      <w:outlineLvl w:val="7"/>
    </w:pPr>
    <w:rPr>
      <w:rFonts w:ascii="Arial" w:hAnsi="Arial"/>
      <w:b/>
      <w:bCs/>
      <w:sz w:val="14"/>
      <w:szCs w:val="14"/>
    </w:rPr>
  </w:style>
  <w:style w:type="paragraph" w:styleId="Ttulo9">
    <w:name w:val="heading 9"/>
    <w:basedOn w:val="Normal"/>
    <w:next w:val="Normal"/>
    <w:link w:val="Ttulo9Car"/>
    <w:qFormat/>
    <w:rsid w:val="007F32D6"/>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B72B1"/>
    <w:pPr>
      <w:tabs>
        <w:tab w:val="center" w:pos="4419"/>
        <w:tab w:val="right" w:pos="8838"/>
      </w:tabs>
    </w:pPr>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paragraph" w:styleId="Textoindependiente">
    <w:name w:val="Body Text"/>
    <w:basedOn w:val="Normal"/>
    <w:link w:val="TextoindependienteCar"/>
    <w:rsid w:val="00CB72B1"/>
    <w:pPr>
      <w:spacing w:after="120"/>
    </w:pPr>
  </w:style>
  <w:style w:type="paragraph" w:styleId="Sangradetextonormal">
    <w:name w:val="Body Text Indent"/>
    <w:basedOn w:val="Normal"/>
    <w:link w:val="SangradetextonormalCar"/>
    <w:rsid w:val="00E4002F"/>
    <w:pPr>
      <w:spacing w:after="120"/>
      <w:ind w:left="283"/>
    </w:pPr>
  </w:style>
  <w:style w:type="paragraph" w:styleId="Sangra3detindependiente">
    <w:name w:val="Body Text Indent 3"/>
    <w:basedOn w:val="Normal"/>
    <w:link w:val="Sangra3detindependienteCar"/>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character" w:customStyle="1" w:styleId="Ttulo1Car">
    <w:name w:val="Título 1 Car"/>
    <w:link w:val="Ttulo1"/>
    <w:uiPriority w:val="9"/>
    <w:rsid w:val="00747D3A"/>
    <w:rPr>
      <w:snapToGrid w:val="0"/>
      <w:color w:val="808000"/>
      <w:sz w:val="44"/>
      <w:lang w:val="es-ES_tradnl" w:eastAsia="es-ES" w:bidi="ar-SA"/>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3Car">
    <w:name w:val="Título 3 Car"/>
    <w:link w:val="Ttulo3"/>
    <w:uiPriority w:val="9"/>
    <w:rsid w:val="007F32D6"/>
    <w:rPr>
      <w:rFonts w:ascii="Tahoma" w:hAnsi="Tahoma" w:cs="Arial Narrow"/>
      <w:b/>
      <w:bCs/>
      <w:sz w:val="18"/>
      <w:szCs w:val="18"/>
      <w:lang w:val="es-ES_tradnl" w:eastAsia="es-ES"/>
    </w:rPr>
  </w:style>
  <w:style w:type="character" w:customStyle="1" w:styleId="Ttulo4Car">
    <w:name w:val="Título 4 Car"/>
    <w:link w:val="Ttulo4"/>
    <w:rsid w:val="007F32D6"/>
    <w:rPr>
      <w:rFonts w:ascii="Arial" w:hAnsi="Arial" w:cs="Arial"/>
      <w:b/>
      <w:bCs/>
      <w:sz w:val="14"/>
      <w:szCs w:val="16"/>
      <w:lang w:val="es-ES" w:eastAsia="es-ES"/>
    </w:rPr>
  </w:style>
  <w:style w:type="character" w:customStyle="1" w:styleId="Ttulo6Car">
    <w:name w:val="Título 6 Car"/>
    <w:link w:val="Ttulo6"/>
    <w:rsid w:val="007F32D6"/>
    <w:rPr>
      <w:rFonts w:ascii="Arial" w:hAnsi="Arial" w:cs="Arial"/>
      <w:b/>
      <w:bCs/>
      <w:sz w:val="16"/>
      <w:szCs w:val="16"/>
      <w:lang w:val="es-ES" w:eastAsia="es-ES"/>
    </w:rPr>
  </w:style>
  <w:style w:type="character" w:customStyle="1" w:styleId="Ttulo8Car">
    <w:name w:val="Título 8 Car"/>
    <w:link w:val="Ttulo8"/>
    <w:rsid w:val="007F32D6"/>
    <w:rPr>
      <w:rFonts w:ascii="Arial" w:hAnsi="Arial" w:cs="Arial"/>
      <w:b/>
      <w:bCs/>
      <w:sz w:val="14"/>
      <w:szCs w:val="14"/>
      <w:lang w:val="es-ES" w:eastAsia="es-ES"/>
    </w:rPr>
  </w:style>
  <w:style w:type="character" w:customStyle="1" w:styleId="Ttulo9Car">
    <w:name w:val="Título 9 Car"/>
    <w:link w:val="Ttulo9"/>
    <w:rsid w:val="007F32D6"/>
    <w:rPr>
      <w:rFonts w:ascii="Arial" w:hAnsi="Arial" w:cs="Arial"/>
      <w:b/>
      <w:bCs/>
      <w:sz w:val="16"/>
      <w:szCs w:val="16"/>
      <w:lang w:val="es-ES" w:eastAsia="es-ES"/>
    </w:rPr>
  </w:style>
  <w:style w:type="character" w:customStyle="1" w:styleId="Ttulo2Car">
    <w:name w:val="Título 2 Car"/>
    <w:link w:val="Ttulo2"/>
    <w:rsid w:val="007F32D6"/>
    <w:rPr>
      <w:rFonts w:ascii="Arial" w:hAnsi="Arial" w:cs="Arial"/>
      <w:b/>
      <w:bCs/>
      <w:i/>
      <w:iCs/>
      <w:sz w:val="28"/>
      <w:szCs w:val="28"/>
      <w:lang w:val="es-ES" w:eastAsia="es-ES"/>
    </w:rPr>
  </w:style>
  <w:style w:type="character" w:customStyle="1" w:styleId="Ttulo5Car">
    <w:name w:val="Título 5 Car"/>
    <w:link w:val="Ttulo5"/>
    <w:rsid w:val="007F32D6"/>
    <w:rPr>
      <w:b/>
      <w:bCs/>
      <w:i/>
      <w:iCs/>
      <w:sz w:val="26"/>
      <w:szCs w:val="26"/>
      <w:lang w:val="es-ES" w:eastAsia="es-ES"/>
    </w:rPr>
  </w:style>
  <w:style w:type="character" w:customStyle="1" w:styleId="Ttulo7Car">
    <w:name w:val="Título 7 Car"/>
    <w:link w:val="Ttulo7"/>
    <w:rsid w:val="007F32D6"/>
    <w:rPr>
      <w:sz w:val="24"/>
      <w:szCs w:val="24"/>
      <w:lang w:val="es-ES" w:eastAsia="es-ES"/>
    </w:rPr>
  </w:style>
  <w:style w:type="character" w:customStyle="1" w:styleId="PiedepginaCar">
    <w:name w:val="Pie de página Car"/>
    <w:link w:val="Piedepgina"/>
    <w:uiPriority w:val="99"/>
    <w:rsid w:val="007F32D6"/>
    <w:rPr>
      <w:rFonts w:ascii="Times" w:hAnsi="Times"/>
      <w:lang w:val="es-ES" w:eastAsia="es-ES"/>
    </w:rPr>
  </w:style>
  <w:style w:type="character" w:customStyle="1" w:styleId="TextoindependienteCar">
    <w:name w:val="Texto independiente Car"/>
    <w:link w:val="Textoindependiente"/>
    <w:rsid w:val="007F32D6"/>
    <w:rPr>
      <w:lang w:val="es-ES" w:eastAsia="es-ES"/>
    </w:rPr>
  </w:style>
  <w:style w:type="paragraph" w:styleId="Sinespaciado">
    <w:name w:val="No Spacing"/>
    <w:link w:val="SinespaciadoCar"/>
    <w:uiPriority w:val="1"/>
    <w:qFormat/>
    <w:rsid w:val="007F32D6"/>
    <w:rPr>
      <w:rFonts w:ascii="Goudy Old Style" w:hAnsi="Goudy Old Style" w:cs="Arial Unicode MS"/>
      <w:lang w:val="es-MX" w:eastAsia="es-ES"/>
    </w:rPr>
  </w:style>
  <w:style w:type="paragraph" w:customStyle="1" w:styleId="Estilo">
    <w:name w:val="Estilo"/>
    <w:rsid w:val="007F32D6"/>
    <w:pPr>
      <w:widowControl w:val="0"/>
      <w:autoSpaceDE w:val="0"/>
      <w:autoSpaceDN w:val="0"/>
      <w:adjustRightInd w:val="0"/>
    </w:pPr>
    <w:rPr>
      <w:rFonts w:ascii="Arial" w:hAnsi="Arial" w:cs="Arial"/>
      <w:sz w:val="24"/>
      <w:szCs w:val="24"/>
      <w:lang w:val="es-MX" w:eastAsia="es-MX"/>
    </w:rPr>
  </w:style>
  <w:style w:type="character" w:customStyle="1" w:styleId="EncabezadoCar">
    <w:name w:val="Encabezado Car"/>
    <w:link w:val="Encabezado"/>
    <w:uiPriority w:val="99"/>
    <w:rsid w:val="007F32D6"/>
    <w:rPr>
      <w:lang w:val="es-ES" w:eastAsia="es-ES"/>
    </w:rPr>
  </w:style>
  <w:style w:type="paragraph" w:styleId="NormalWeb">
    <w:name w:val="Normal (Web)"/>
    <w:basedOn w:val="Normal"/>
    <w:uiPriority w:val="99"/>
    <w:unhideWhenUsed/>
    <w:rsid w:val="007F32D6"/>
    <w:pPr>
      <w:spacing w:before="100" w:beforeAutospacing="1" w:after="100" w:afterAutospacing="1"/>
    </w:pPr>
    <w:rPr>
      <w:color w:val="000000"/>
      <w:sz w:val="24"/>
      <w:szCs w:val="24"/>
      <w:lang w:val="es-MX" w:eastAsia="es-MX"/>
    </w:rPr>
  </w:style>
  <w:style w:type="paragraph" w:styleId="Ttulo">
    <w:name w:val="Title"/>
    <w:basedOn w:val="Normal"/>
    <w:next w:val="Normal"/>
    <w:link w:val="TtuloCar"/>
    <w:qFormat/>
    <w:rsid w:val="007F32D6"/>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ar">
    <w:name w:val="Título Car"/>
    <w:link w:val="Ttulo"/>
    <w:rsid w:val="007F32D6"/>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7F32D6"/>
  </w:style>
  <w:style w:type="paragraph" w:customStyle="1" w:styleId="xl24">
    <w:name w:val="xl24"/>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1">
    <w:name w:val="xl3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2">
    <w:name w:val="xl32"/>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
    <w:name w:val="Hyperlink"/>
    <w:uiPriority w:val="99"/>
    <w:unhideWhenUsed/>
    <w:rsid w:val="007F32D6"/>
    <w:rPr>
      <w:color w:val="0000FF"/>
      <w:u w:val="single"/>
    </w:rPr>
  </w:style>
  <w:style w:type="character" w:styleId="Hipervnculovisitado">
    <w:name w:val="FollowedHyperlink"/>
    <w:uiPriority w:val="99"/>
    <w:unhideWhenUsed/>
    <w:rsid w:val="007F32D6"/>
    <w:rPr>
      <w:color w:val="800080"/>
      <w:u w:val="single"/>
    </w:rPr>
  </w:style>
  <w:style w:type="paragraph" w:customStyle="1" w:styleId="xl67">
    <w:name w:val="xl67"/>
    <w:basedOn w:val="Normal"/>
    <w:rsid w:val="007F32D6"/>
    <w:pPr>
      <w:spacing w:before="100" w:beforeAutospacing="1" w:after="100" w:afterAutospacing="1"/>
    </w:pPr>
    <w:rPr>
      <w:rFonts w:ascii="Arial" w:hAnsi="Arial" w:cs="Arial"/>
      <w:sz w:val="24"/>
      <w:szCs w:val="24"/>
    </w:rPr>
  </w:style>
  <w:style w:type="paragraph" w:customStyle="1" w:styleId="xl68">
    <w:name w:val="xl68"/>
    <w:basedOn w:val="Normal"/>
    <w:rsid w:val="007F32D6"/>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7F32D6"/>
    <w:pPr>
      <w:spacing w:before="100" w:beforeAutospacing="1" w:after="100" w:afterAutospacing="1"/>
      <w:jc w:val="right"/>
    </w:pPr>
    <w:rPr>
      <w:rFonts w:ascii="Arial Narrow" w:hAnsi="Arial Narrow"/>
      <w:sz w:val="24"/>
      <w:szCs w:val="24"/>
    </w:rPr>
  </w:style>
  <w:style w:type="paragraph" w:customStyle="1" w:styleId="xl73">
    <w:name w:val="xl73"/>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7F32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7F32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7F32D6"/>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7F32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7F32D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7F32D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7F32D6"/>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styleId="Textodeglobo">
    <w:name w:val="Balloon Text"/>
    <w:basedOn w:val="Normal"/>
    <w:link w:val="TextodegloboCar"/>
    <w:uiPriority w:val="99"/>
    <w:unhideWhenUsed/>
    <w:rsid w:val="007F32D6"/>
    <w:rPr>
      <w:rFonts w:ascii="Tahoma" w:eastAsia="Calibri" w:hAnsi="Tahoma"/>
      <w:sz w:val="16"/>
      <w:szCs w:val="16"/>
      <w:lang w:eastAsia="en-US"/>
    </w:rPr>
  </w:style>
  <w:style w:type="character" w:customStyle="1" w:styleId="TextodegloboCar">
    <w:name w:val="Texto de globo Car"/>
    <w:link w:val="Textodeglobo"/>
    <w:uiPriority w:val="99"/>
    <w:rsid w:val="007F32D6"/>
    <w:rPr>
      <w:rFonts w:ascii="Tahoma" w:eastAsia="Calibri" w:hAnsi="Tahoma" w:cs="Tahoma"/>
      <w:sz w:val="16"/>
      <w:szCs w:val="16"/>
      <w:lang w:eastAsia="en-US"/>
    </w:rPr>
  </w:style>
  <w:style w:type="table" w:styleId="Tablaconcuadrcula">
    <w:name w:val="Table Grid"/>
    <w:basedOn w:val="Tablanormal"/>
    <w:uiPriority w:val="59"/>
    <w:rsid w:val="007F32D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7F32D6"/>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Texto">
    <w:name w:val="Texto"/>
    <w:basedOn w:val="Normal"/>
    <w:link w:val="TextoCar"/>
    <w:rsid w:val="007F32D6"/>
    <w:pPr>
      <w:spacing w:after="101" w:line="216" w:lineRule="exact"/>
      <w:ind w:firstLine="288"/>
      <w:jc w:val="both"/>
    </w:pPr>
    <w:rPr>
      <w:rFonts w:ascii="Arial" w:hAnsi="Arial"/>
      <w:sz w:val="18"/>
      <w:szCs w:val="18"/>
    </w:rPr>
  </w:style>
  <w:style w:type="paragraph" w:customStyle="1" w:styleId="ANOTACION">
    <w:name w:val="ANOTACION"/>
    <w:basedOn w:val="Normal"/>
    <w:rsid w:val="007F32D6"/>
    <w:pPr>
      <w:spacing w:before="101" w:after="101" w:line="216" w:lineRule="atLeast"/>
      <w:jc w:val="center"/>
    </w:pPr>
    <w:rPr>
      <w:b/>
      <w:sz w:val="18"/>
      <w:lang w:val="es-ES_tradnl"/>
    </w:rPr>
  </w:style>
  <w:style w:type="paragraph" w:customStyle="1" w:styleId="CABEZA">
    <w:name w:val="CABEZA"/>
    <w:basedOn w:val="Ttulo1"/>
    <w:rsid w:val="007F32D6"/>
    <w:pPr>
      <w:jc w:val="center"/>
    </w:pPr>
    <w:rPr>
      <w:rFonts w:cs="CG Palacio (WN)"/>
      <w:b/>
      <w:snapToGrid/>
      <w:color w:val="auto"/>
      <w:sz w:val="28"/>
      <w:szCs w:val="18"/>
    </w:rPr>
  </w:style>
  <w:style w:type="paragraph" w:customStyle="1" w:styleId="ROMANOS">
    <w:name w:val="ROMANOS"/>
    <w:basedOn w:val="Normal"/>
    <w:rsid w:val="007F32D6"/>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7F32D6"/>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7F32D6"/>
    <w:pPr>
      <w:ind w:left="1987" w:hanging="720"/>
    </w:pPr>
    <w:rPr>
      <w:lang w:val="es-MX"/>
    </w:rPr>
  </w:style>
  <w:style w:type="paragraph" w:customStyle="1" w:styleId="Estilo1x">
    <w:name w:val="Estilo1x"/>
    <w:basedOn w:val="Texto"/>
    <w:rsid w:val="007F32D6"/>
    <w:pPr>
      <w:spacing w:before="20" w:after="20" w:line="240" w:lineRule="auto"/>
      <w:jc w:val="right"/>
    </w:pPr>
    <w:rPr>
      <w:b/>
      <w:sz w:val="16"/>
      <w:szCs w:val="16"/>
      <w:lang w:val="es-MX"/>
    </w:rPr>
  </w:style>
  <w:style w:type="paragraph" w:customStyle="1" w:styleId="Estilo1xx">
    <w:name w:val="Estilo1xx"/>
    <w:basedOn w:val="Texto"/>
    <w:rsid w:val="007F32D6"/>
    <w:pPr>
      <w:spacing w:before="20" w:after="20" w:line="240" w:lineRule="auto"/>
      <w:ind w:left="144" w:firstLine="0"/>
    </w:pPr>
    <w:rPr>
      <w:sz w:val="16"/>
      <w:szCs w:val="16"/>
    </w:rPr>
  </w:style>
  <w:style w:type="paragraph" w:customStyle="1" w:styleId="Titulo1">
    <w:name w:val="Titulo 1"/>
    <w:basedOn w:val="Normal"/>
    <w:rsid w:val="007F32D6"/>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7F32D6"/>
    <w:pPr>
      <w:pBdr>
        <w:top w:val="double" w:sz="6" w:space="1" w:color="auto"/>
      </w:pBdr>
      <w:spacing w:line="240" w:lineRule="auto"/>
      <w:ind w:firstLine="0"/>
      <w:outlineLvl w:val="1"/>
    </w:pPr>
    <w:rPr>
      <w:lang w:val="es-MX"/>
    </w:rPr>
  </w:style>
  <w:style w:type="paragraph" w:customStyle="1" w:styleId="tt">
    <w:name w:val="tt"/>
    <w:basedOn w:val="Texto"/>
    <w:rsid w:val="007F32D6"/>
    <w:pPr>
      <w:tabs>
        <w:tab w:val="left" w:pos="1320"/>
        <w:tab w:val="left" w:pos="1629"/>
      </w:tabs>
      <w:ind w:left="1647" w:hanging="1440"/>
    </w:pPr>
    <w:rPr>
      <w:lang w:val="es-ES_tradnl"/>
    </w:rPr>
  </w:style>
  <w:style w:type="paragraph" w:customStyle="1" w:styleId="cb">
    <w:name w:val="cb"/>
    <w:basedOn w:val="Texto"/>
    <w:rsid w:val="007F32D6"/>
    <w:pPr>
      <w:ind w:left="1008" w:hanging="720"/>
    </w:pPr>
    <w:rPr>
      <w:b/>
      <w:lang w:val="es-ES_tradnl"/>
    </w:rPr>
  </w:style>
  <w:style w:type="paragraph" w:customStyle="1" w:styleId="sum">
    <w:name w:val="sum"/>
    <w:basedOn w:val="Texto"/>
    <w:rsid w:val="007F32D6"/>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7F32D6"/>
    <w:pPr>
      <w:spacing w:after="101" w:line="216" w:lineRule="atLeast"/>
      <w:ind w:firstLine="288"/>
      <w:jc w:val="both"/>
    </w:pPr>
    <w:rPr>
      <w:rFonts w:ascii="Arial" w:hAnsi="Arial"/>
      <w:sz w:val="18"/>
      <w:lang w:val="es-ES_tradnl"/>
    </w:rPr>
  </w:style>
  <w:style w:type="paragraph" w:styleId="Textodebloque">
    <w:name w:val="Block Text"/>
    <w:basedOn w:val="Normal"/>
    <w:rsid w:val="007F32D6"/>
    <w:pPr>
      <w:ind w:left="-142" w:right="-518"/>
      <w:jc w:val="center"/>
    </w:pPr>
    <w:rPr>
      <w:rFonts w:ascii="Arial" w:hAnsi="Arial"/>
      <w:sz w:val="24"/>
      <w:lang w:val="es-MX"/>
    </w:rPr>
  </w:style>
  <w:style w:type="paragraph" w:customStyle="1" w:styleId="xl37">
    <w:name w:val="xl37"/>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rsid w:val="007F32D6"/>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rsid w:val="007F32D6"/>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rsid w:val="007F32D6"/>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7F32D6"/>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7F32D6"/>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rsid w:val="007F32D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rsid w:val="007F32D6"/>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rsid w:val="007F32D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7F32D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7F32D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7F32D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7F32D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7F32D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7F32D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7F32D6"/>
    <w:pPr>
      <w:spacing w:before="100" w:beforeAutospacing="1" w:after="100" w:afterAutospacing="1"/>
    </w:pPr>
    <w:rPr>
      <w:rFonts w:ascii="Arial" w:eastAsia="Arial Unicode MS" w:hAnsi="Arial" w:cs="Arial"/>
    </w:rPr>
  </w:style>
  <w:style w:type="paragraph" w:customStyle="1" w:styleId="xl61">
    <w:name w:val="xl61"/>
    <w:basedOn w:val="Normal"/>
    <w:rsid w:val="007F32D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7F32D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7F32D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7F32D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7F32D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7F32D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7F32D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7F32D6"/>
    <w:pPr>
      <w:spacing w:before="100" w:beforeAutospacing="1" w:after="100" w:afterAutospacing="1"/>
    </w:pPr>
    <w:rPr>
      <w:rFonts w:ascii="Arial" w:eastAsia="Arial Unicode MS" w:hAnsi="Arial" w:cs="Arial"/>
      <w:sz w:val="16"/>
      <w:szCs w:val="16"/>
    </w:rPr>
  </w:style>
  <w:style w:type="paragraph" w:styleId="Textosinformato">
    <w:name w:val="Plain Text"/>
    <w:basedOn w:val="Normal"/>
    <w:link w:val="TextosinformatoCar"/>
    <w:rsid w:val="007F32D6"/>
    <w:rPr>
      <w:rFonts w:ascii="Courier New" w:hAnsi="Courier New"/>
    </w:rPr>
  </w:style>
  <w:style w:type="character" w:customStyle="1" w:styleId="TextosinformatoCar">
    <w:name w:val="Texto sin formato Car"/>
    <w:link w:val="Textosinformato"/>
    <w:rsid w:val="007F32D6"/>
    <w:rPr>
      <w:rFonts w:ascii="Courier New" w:hAnsi="Courier New" w:cs="Courier New"/>
      <w:lang w:val="es-ES" w:eastAsia="es-ES"/>
    </w:rPr>
  </w:style>
  <w:style w:type="paragraph" w:styleId="Sangra2detindependiente">
    <w:name w:val="Body Text Indent 2"/>
    <w:basedOn w:val="Normal"/>
    <w:link w:val="Sangra2detindependienteCar"/>
    <w:rsid w:val="007F32D6"/>
    <w:pPr>
      <w:ind w:left="709" w:hanging="709"/>
      <w:jc w:val="both"/>
    </w:pPr>
    <w:rPr>
      <w:rFonts w:ascii="Arial" w:hAnsi="Arial"/>
      <w:b/>
      <w:bCs/>
      <w:lang w:val="es-ES_tradnl"/>
    </w:rPr>
  </w:style>
  <w:style w:type="character" w:customStyle="1" w:styleId="Sangra2detindependienteCar">
    <w:name w:val="Sangría 2 de t. independiente Car"/>
    <w:link w:val="Sangra2detindependiente"/>
    <w:rsid w:val="007F32D6"/>
    <w:rPr>
      <w:rFonts w:ascii="Arial" w:hAnsi="Arial"/>
      <w:b/>
      <w:bCs/>
      <w:lang w:val="es-ES_tradnl" w:eastAsia="es-ES"/>
    </w:rPr>
  </w:style>
  <w:style w:type="character" w:customStyle="1" w:styleId="Sangra3detindependienteCar">
    <w:name w:val="Sangría 3 de t. independiente Car"/>
    <w:link w:val="Sangra3detindependiente"/>
    <w:rsid w:val="007F32D6"/>
    <w:rPr>
      <w:sz w:val="16"/>
      <w:szCs w:val="16"/>
      <w:lang w:val="es-ES" w:eastAsia="es-ES"/>
    </w:rPr>
  </w:style>
  <w:style w:type="table" w:customStyle="1" w:styleId="Sombreadoclaro-nfasis11">
    <w:name w:val="Sombreado claro - Énfasis 11"/>
    <w:basedOn w:val="Tablanormal"/>
    <w:uiPriority w:val="60"/>
    <w:rsid w:val="007F32D6"/>
    <w:rPr>
      <w:rFonts w:ascii="Calibri" w:eastAsia="Calibri" w:hAnsi="Calibri"/>
      <w:color w:val="365F91"/>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7F32D6"/>
    <w:rPr>
      <w:rFonts w:ascii="Calibri" w:eastAsia="Calibri" w:hAnsi="Calibri"/>
      <w:lang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7F32D6"/>
    <w:pPr>
      <w:numPr>
        <w:numId w:val="1"/>
      </w:numPr>
    </w:pPr>
  </w:style>
  <w:style w:type="paragraph" w:styleId="TtulodeTDC">
    <w:name w:val="TOC Heading"/>
    <w:basedOn w:val="Ttulo1"/>
    <w:next w:val="Normal"/>
    <w:uiPriority w:val="39"/>
    <w:unhideWhenUsed/>
    <w:qFormat/>
    <w:rsid w:val="007F32D6"/>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7F32D6"/>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rsid w:val="007F32D6"/>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sid w:val="007F32D6"/>
    <w:rPr>
      <w:rFonts w:ascii="Calibri" w:hAnsi="Calibri"/>
    </w:rPr>
  </w:style>
  <w:style w:type="character" w:customStyle="1" w:styleId="TextonotapieCar">
    <w:name w:val="Texto nota pie Car"/>
    <w:link w:val="Textonotapie"/>
    <w:uiPriority w:val="99"/>
    <w:rsid w:val="007F32D6"/>
    <w:rPr>
      <w:rFonts w:ascii="Calibri" w:hAnsi="Calibri"/>
    </w:rPr>
  </w:style>
  <w:style w:type="character" w:styleId="Refdenotaalpie">
    <w:name w:val="footnote reference"/>
    <w:uiPriority w:val="99"/>
    <w:unhideWhenUsed/>
    <w:rsid w:val="007F32D6"/>
    <w:rPr>
      <w:vertAlign w:val="superscript"/>
    </w:rPr>
  </w:style>
  <w:style w:type="character" w:customStyle="1" w:styleId="SangradetextonormalCar">
    <w:name w:val="Sangría de texto normal Car"/>
    <w:link w:val="Sangradetextonormal"/>
    <w:rsid w:val="007F32D6"/>
    <w:rPr>
      <w:lang w:val="es-ES" w:eastAsia="es-ES"/>
    </w:rPr>
  </w:style>
  <w:style w:type="character" w:styleId="Refdecomentario">
    <w:name w:val="annotation reference"/>
    <w:uiPriority w:val="99"/>
    <w:rsid w:val="007F32D6"/>
    <w:rPr>
      <w:sz w:val="16"/>
      <w:szCs w:val="16"/>
    </w:rPr>
  </w:style>
  <w:style w:type="paragraph" w:styleId="Textocomentario">
    <w:name w:val="annotation text"/>
    <w:basedOn w:val="Normal"/>
    <w:link w:val="TextocomentarioCar"/>
    <w:uiPriority w:val="99"/>
    <w:rsid w:val="007F32D6"/>
  </w:style>
  <w:style w:type="character" w:customStyle="1" w:styleId="TextocomentarioCar">
    <w:name w:val="Texto comentario Car"/>
    <w:link w:val="Textocomentario"/>
    <w:uiPriority w:val="99"/>
    <w:rsid w:val="007F32D6"/>
    <w:rPr>
      <w:lang w:val="es-ES" w:eastAsia="es-ES"/>
    </w:rPr>
  </w:style>
  <w:style w:type="paragraph" w:styleId="Asuntodelcomentario">
    <w:name w:val="annotation subject"/>
    <w:basedOn w:val="Textocomentario"/>
    <w:next w:val="Textocomentario"/>
    <w:link w:val="AsuntodelcomentarioCar"/>
    <w:uiPriority w:val="99"/>
    <w:rsid w:val="007F32D6"/>
    <w:rPr>
      <w:b/>
      <w:bCs/>
    </w:rPr>
  </w:style>
  <w:style w:type="character" w:customStyle="1" w:styleId="AsuntodelcomentarioCar">
    <w:name w:val="Asunto del comentario Car"/>
    <w:link w:val="Asuntodelcomentario"/>
    <w:uiPriority w:val="99"/>
    <w:rsid w:val="007F32D6"/>
    <w:rPr>
      <w:b/>
      <w:bCs/>
      <w:lang w:val="es-ES" w:eastAsia="es-ES"/>
    </w:rPr>
  </w:style>
  <w:style w:type="paragraph" w:customStyle="1" w:styleId="Default">
    <w:name w:val="Default"/>
    <w:rsid w:val="00BC0B1A"/>
    <w:pPr>
      <w:autoSpaceDE w:val="0"/>
      <w:autoSpaceDN w:val="0"/>
      <w:adjustRightInd w:val="0"/>
    </w:pPr>
    <w:rPr>
      <w:rFonts w:ascii="Arial" w:eastAsia="Calibri" w:hAnsi="Arial" w:cs="Arial"/>
      <w:color w:val="000000"/>
      <w:sz w:val="22"/>
      <w:szCs w:val="24"/>
      <w:lang w:val="es-MX" w:eastAsia="en-US"/>
    </w:rPr>
  </w:style>
  <w:style w:type="character" w:customStyle="1" w:styleId="SinespaciadoCar">
    <w:name w:val="Sin espaciado Car"/>
    <w:link w:val="Sinespaciado"/>
    <w:uiPriority w:val="1"/>
    <w:rsid w:val="00BC0B1A"/>
    <w:rPr>
      <w:rFonts w:ascii="Goudy Old Style" w:hAnsi="Goudy Old Style" w:cs="Arial Unicode MS"/>
      <w:lang w:eastAsia="es-ES" w:bidi="ar-SA"/>
    </w:rPr>
  </w:style>
  <w:style w:type="table" w:styleId="Sombreadoclaro-nfasis5">
    <w:name w:val="Light Shading Accent 5"/>
    <w:basedOn w:val="Tablanormal"/>
    <w:uiPriority w:val="60"/>
    <w:rsid w:val="00BC0B1A"/>
    <w:rPr>
      <w:rFonts w:ascii="Helvetica" w:hAnsi="Helvetica" w:cs="Helvetica"/>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BC0B1A"/>
    <w:rPr>
      <w:b/>
      <w:bCs/>
    </w:rPr>
  </w:style>
  <w:style w:type="paragraph" w:styleId="TDC3">
    <w:name w:val="toc 3"/>
    <w:basedOn w:val="Normal"/>
    <w:next w:val="Normal"/>
    <w:autoRedefine/>
    <w:uiPriority w:val="39"/>
    <w:unhideWhenUsed/>
    <w:rsid w:val="00BC0B1A"/>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sid w:val="009715C7"/>
    <w:rPr>
      <w:rFonts w:ascii="Arial" w:hAnsi="Arial" w:cs="Arial"/>
      <w:sz w:val="18"/>
      <w:szCs w:val="18"/>
      <w:lang w:val="es-ES" w:eastAsia="es-ES"/>
    </w:rPr>
  </w:style>
  <w:style w:type="paragraph" w:styleId="Subttulo">
    <w:name w:val="Subtitle"/>
    <w:basedOn w:val="Normal"/>
    <w:link w:val="SubttuloCar"/>
    <w:qFormat/>
    <w:rsid w:val="009715C7"/>
    <w:pPr>
      <w:jc w:val="center"/>
    </w:pPr>
    <w:rPr>
      <w:rFonts w:ascii="Arial" w:hAnsi="Arial"/>
      <w:b/>
      <w:bCs/>
      <w:sz w:val="24"/>
      <w:szCs w:val="24"/>
    </w:rPr>
  </w:style>
  <w:style w:type="character" w:customStyle="1" w:styleId="SubttuloCar">
    <w:name w:val="Subtítulo Car"/>
    <w:link w:val="Subttulo"/>
    <w:rsid w:val="009715C7"/>
    <w:rPr>
      <w:rFonts w:ascii="Arial" w:hAnsi="Arial"/>
      <w:b/>
      <w:bCs/>
      <w:sz w:val="24"/>
      <w:szCs w:val="24"/>
      <w:lang w:val="es-ES" w:eastAsia="es-ES"/>
    </w:rPr>
  </w:style>
  <w:style w:type="paragraph" w:styleId="ndice1">
    <w:name w:val="index 1"/>
    <w:basedOn w:val="Normal"/>
    <w:next w:val="Normal"/>
    <w:autoRedefine/>
    <w:uiPriority w:val="99"/>
    <w:unhideWhenUsed/>
    <w:rsid w:val="00671E8B"/>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paragraph" w:customStyle="1" w:styleId="Listavistosa-nfasis11">
    <w:name w:val="Lista vistosa - Énfasis 11"/>
    <w:basedOn w:val="Normal"/>
    <w:uiPriority w:val="34"/>
    <w:qFormat/>
    <w:rsid w:val="003C4DA2"/>
    <w:pPr>
      <w:suppressAutoHyphens/>
      <w:spacing w:after="200" w:line="276" w:lineRule="auto"/>
      <w:ind w:left="708"/>
    </w:pPr>
    <w:rPr>
      <w:rFonts w:ascii="Calibri" w:eastAsia="Calibri" w:hAnsi="Calibri"/>
      <w:sz w:val="22"/>
      <w:szCs w:val="22"/>
      <w:lang w:eastAsia="ar-SA"/>
    </w:rPr>
  </w:style>
  <w:style w:type="paragraph" w:styleId="Textoindependiente3">
    <w:name w:val="Body Text 3"/>
    <w:basedOn w:val="Normal"/>
    <w:link w:val="Textoindependiente3Car"/>
    <w:rsid w:val="003C4DA2"/>
    <w:pPr>
      <w:spacing w:after="120"/>
    </w:pPr>
    <w:rPr>
      <w:sz w:val="16"/>
      <w:szCs w:val="16"/>
    </w:rPr>
  </w:style>
  <w:style w:type="character" w:customStyle="1" w:styleId="Textoindependiente3Car">
    <w:name w:val="Texto independiente 3 Car"/>
    <w:basedOn w:val="Fuentedeprrafopredeter"/>
    <w:link w:val="Textoindependiente3"/>
    <w:rsid w:val="003C4DA2"/>
    <w:rPr>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1160678">
      <w:bodyDiv w:val="1"/>
      <w:marLeft w:val="0"/>
      <w:marRight w:val="0"/>
      <w:marTop w:val="0"/>
      <w:marBottom w:val="0"/>
      <w:divBdr>
        <w:top w:val="none" w:sz="0" w:space="0" w:color="auto"/>
        <w:left w:val="none" w:sz="0" w:space="0" w:color="auto"/>
        <w:bottom w:val="none" w:sz="0" w:space="0" w:color="auto"/>
        <w:right w:val="none" w:sz="0" w:space="0" w:color="auto"/>
      </w:divBdr>
    </w:div>
    <w:div w:id="1564680613">
      <w:bodyDiv w:val="1"/>
      <w:marLeft w:val="0"/>
      <w:marRight w:val="0"/>
      <w:marTop w:val="0"/>
      <w:marBottom w:val="0"/>
      <w:divBdr>
        <w:top w:val="none" w:sz="0" w:space="0" w:color="auto"/>
        <w:left w:val="none" w:sz="0" w:space="0" w:color="auto"/>
        <w:bottom w:val="none" w:sz="0" w:space="0" w:color="auto"/>
        <w:right w:val="none" w:sz="0" w:space="0" w:color="auto"/>
      </w:divBdr>
    </w:div>
    <w:div w:id="17241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B7DA-9D0D-4D65-A16C-00DC5C4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11236</Words>
  <Characters>61802</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72893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lanix1924</cp:lastModifiedBy>
  <cp:revision>3</cp:revision>
  <cp:lastPrinted>2015-11-30T22:58:00Z</cp:lastPrinted>
  <dcterms:created xsi:type="dcterms:W3CDTF">2016-05-19T18:42:00Z</dcterms:created>
  <dcterms:modified xsi:type="dcterms:W3CDTF">2016-05-19T18:42:00Z</dcterms:modified>
</cp:coreProperties>
</file>