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A8" w:rsidRPr="0044565D" w:rsidRDefault="0044565D" w:rsidP="0044565D">
      <w:pPr>
        <w:pStyle w:val="Ttulo1"/>
        <w:jc w:val="center"/>
        <w:rPr>
          <w:rFonts w:cs="Arial"/>
          <w:b/>
          <w:color w:val="76923C" w:themeColor="accent3" w:themeShade="BF"/>
          <w:kern w:val="0"/>
          <w:sz w:val="19"/>
          <w:szCs w:val="19"/>
          <w:lang w:val="es-MX"/>
        </w:rPr>
      </w:pPr>
      <w:r w:rsidRPr="0044565D">
        <w:rPr>
          <w:rFonts w:cs="Arial"/>
          <w:b/>
          <w:color w:val="76923C" w:themeColor="accent3" w:themeShade="BF"/>
          <w:kern w:val="0"/>
          <w:sz w:val="19"/>
          <w:szCs w:val="19"/>
          <w:lang w:val="es-MX"/>
        </w:rPr>
        <w:t>LEY DE INGRESOS DEL ESTADO DE OAXA</w:t>
      </w:r>
      <w:r w:rsidR="00CB6C73">
        <w:rPr>
          <w:rFonts w:cs="Arial"/>
          <w:b/>
          <w:color w:val="76923C" w:themeColor="accent3" w:themeShade="BF"/>
          <w:kern w:val="0"/>
          <w:sz w:val="19"/>
          <w:szCs w:val="19"/>
          <w:lang w:val="es-MX"/>
        </w:rPr>
        <w:t>CA PARA EL EJERCICIO FISCAL 2018</w:t>
      </w:r>
    </w:p>
    <w:p w:rsidR="00E97E8A" w:rsidRPr="003578E3" w:rsidRDefault="00E97E8A" w:rsidP="00AF5EA8">
      <w:pPr>
        <w:jc w:val="center"/>
        <w:rPr>
          <w:rFonts w:ascii="Arial" w:hAnsi="Arial" w:cs="Arial"/>
          <w:b/>
          <w:sz w:val="19"/>
          <w:szCs w:val="19"/>
          <w:lang w:val="es-MX"/>
        </w:rPr>
      </w:pPr>
    </w:p>
    <w:p w:rsidR="00AF5EA8" w:rsidRPr="003578E3" w:rsidRDefault="00E97E8A" w:rsidP="00AF5EA8">
      <w:pPr>
        <w:jc w:val="center"/>
        <w:rPr>
          <w:rFonts w:ascii="Arial" w:hAnsi="Arial" w:cs="Arial"/>
          <w:b/>
          <w:sz w:val="19"/>
          <w:szCs w:val="19"/>
          <w:lang w:val="es-MX"/>
        </w:rPr>
      </w:pPr>
      <w:r w:rsidRPr="003578E3">
        <w:rPr>
          <w:rFonts w:ascii="Arial" w:hAnsi="Arial" w:cs="Arial"/>
          <w:b/>
          <w:sz w:val="19"/>
          <w:szCs w:val="19"/>
          <w:lang w:val="es-MX"/>
        </w:rPr>
        <w:t>Decreto publicado</w:t>
      </w:r>
      <w:r w:rsidR="00AF5EA8" w:rsidRPr="003578E3">
        <w:rPr>
          <w:rFonts w:ascii="Arial" w:hAnsi="Arial" w:cs="Arial"/>
          <w:b/>
          <w:sz w:val="19"/>
          <w:szCs w:val="19"/>
          <w:lang w:val="es-MX"/>
        </w:rPr>
        <w:t xml:space="preserve"> en el Periódico Oficial del Estado </w:t>
      </w:r>
      <w:r w:rsidR="00B34A51" w:rsidRPr="003578E3">
        <w:rPr>
          <w:rFonts w:ascii="Arial" w:hAnsi="Arial" w:cs="Arial"/>
          <w:b/>
          <w:sz w:val="19"/>
          <w:szCs w:val="19"/>
          <w:lang w:val="es-MX"/>
        </w:rPr>
        <w:t>el</w:t>
      </w:r>
      <w:r w:rsidR="00737A4E">
        <w:rPr>
          <w:rFonts w:ascii="Arial" w:hAnsi="Arial" w:cs="Arial"/>
          <w:b/>
          <w:sz w:val="19"/>
          <w:szCs w:val="19"/>
          <w:lang w:val="es-MX"/>
        </w:rPr>
        <w:t xml:space="preserve"> </w:t>
      </w:r>
      <w:r w:rsidR="00B34A51" w:rsidRPr="003578E3">
        <w:rPr>
          <w:rFonts w:ascii="Arial" w:hAnsi="Arial" w:cs="Arial"/>
          <w:b/>
          <w:sz w:val="19"/>
          <w:szCs w:val="19"/>
          <w:lang w:val="es-MX"/>
        </w:rPr>
        <w:t xml:space="preserve"> </w:t>
      </w:r>
      <w:r w:rsidR="00CB6C73">
        <w:rPr>
          <w:rFonts w:ascii="Arial" w:hAnsi="Arial" w:cs="Arial"/>
          <w:b/>
          <w:sz w:val="19"/>
          <w:szCs w:val="19"/>
          <w:lang w:val="es-MX"/>
        </w:rPr>
        <w:t>20-12-17</w:t>
      </w:r>
    </w:p>
    <w:p w:rsidR="009F3918" w:rsidRPr="003578E3" w:rsidRDefault="009F3918" w:rsidP="00AF5EA8">
      <w:pPr>
        <w:jc w:val="center"/>
        <w:rPr>
          <w:rFonts w:ascii="Arial" w:hAnsi="Arial" w:cs="Arial"/>
          <w:b/>
          <w:sz w:val="19"/>
          <w:szCs w:val="19"/>
          <w:lang w:val="es-MX"/>
        </w:rPr>
      </w:pPr>
    </w:p>
    <w:p w:rsidR="009F3918" w:rsidRPr="003578E3" w:rsidRDefault="009F3918" w:rsidP="00AF5EA8">
      <w:pPr>
        <w:jc w:val="center"/>
        <w:rPr>
          <w:rFonts w:ascii="Arial" w:hAnsi="Arial" w:cs="Arial"/>
          <w:b/>
          <w:sz w:val="19"/>
          <w:szCs w:val="19"/>
          <w:lang w:val="es-MX"/>
        </w:rPr>
      </w:pPr>
      <w:r w:rsidRPr="003578E3">
        <w:rPr>
          <w:rFonts w:ascii="Arial" w:hAnsi="Arial" w:cs="Arial"/>
          <w:b/>
          <w:sz w:val="19"/>
          <w:szCs w:val="19"/>
          <w:lang w:val="es-MX"/>
        </w:rPr>
        <w:t>TEXTO VIGENTE</w:t>
      </w:r>
    </w:p>
    <w:p w:rsidR="00AF5EA8" w:rsidRPr="003578E3" w:rsidRDefault="00AF5EA8" w:rsidP="00AF5EA8">
      <w:pPr>
        <w:jc w:val="center"/>
        <w:rPr>
          <w:rFonts w:ascii="Arial" w:hAnsi="Arial" w:cs="Arial"/>
          <w:b/>
          <w:sz w:val="19"/>
          <w:szCs w:val="19"/>
          <w:lang w:val="es-MX"/>
        </w:rPr>
      </w:pPr>
    </w:p>
    <w:p w:rsidR="00630458" w:rsidRPr="000B3496" w:rsidRDefault="00630458" w:rsidP="00630458">
      <w:pPr>
        <w:pStyle w:val="Ttulo1"/>
        <w:jc w:val="center"/>
        <w:rPr>
          <w:rFonts w:cs="Arial"/>
          <w:b/>
          <w:sz w:val="19"/>
          <w:szCs w:val="19"/>
          <w:lang w:val="es-MX"/>
        </w:rPr>
      </w:pPr>
      <w:r w:rsidRPr="000B3496">
        <w:rPr>
          <w:rFonts w:cs="Arial"/>
          <w:b/>
          <w:sz w:val="19"/>
          <w:szCs w:val="19"/>
          <w:lang w:val="es-MX"/>
        </w:rPr>
        <w:t>LEY DE INGRESOS DEL ESTADO DE OAXA</w:t>
      </w:r>
      <w:r w:rsidR="00CB6C73">
        <w:rPr>
          <w:rFonts w:cs="Arial"/>
          <w:b/>
          <w:sz w:val="19"/>
          <w:szCs w:val="19"/>
          <w:lang w:val="es-MX"/>
        </w:rPr>
        <w:t>CA PARA EL EJERCICIO FISCAL 2018</w:t>
      </w:r>
    </w:p>
    <w:p w:rsidR="00630458" w:rsidRPr="000B3496" w:rsidRDefault="00630458" w:rsidP="00630458">
      <w:pPr>
        <w:rPr>
          <w:sz w:val="19"/>
          <w:szCs w:val="19"/>
          <w:lang w:val="es-MX"/>
        </w:rPr>
      </w:pPr>
    </w:p>
    <w:p w:rsidR="00630458" w:rsidRPr="000B3496" w:rsidRDefault="0094244A" w:rsidP="00630458">
      <w:pPr>
        <w:pStyle w:val="Ttulo2"/>
        <w:ind w:left="851" w:right="-285" w:hanging="851"/>
        <w:jc w:val="center"/>
        <w:rPr>
          <w:rFonts w:cs="Arial"/>
          <w:b/>
          <w:sz w:val="19"/>
          <w:szCs w:val="19"/>
          <w:lang w:val="es-MX"/>
        </w:rPr>
      </w:pPr>
      <w:r w:rsidRPr="000B3496">
        <w:rPr>
          <w:rFonts w:cs="Arial"/>
          <w:b/>
          <w:sz w:val="19"/>
          <w:szCs w:val="19"/>
          <w:lang w:val="es-MX"/>
        </w:rPr>
        <w:t>TÍTULO PRIMERO</w:t>
      </w:r>
    </w:p>
    <w:p w:rsidR="00630458" w:rsidRPr="000B3496" w:rsidRDefault="0094244A" w:rsidP="00630458">
      <w:pPr>
        <w:ind w:left="851" w:right="-285" w:hanging="851"/>
        <w:jc w:val="center"/>
        <w:rPr>
          <w:rFonts w:ascii="Arial" w:hAnsi="Arial" w:cs="Arial"/>
          <w:b/>
          <w:sz w:val="19"/>
          <w:szCs w:val="19"/>
          <w:lang w:val="es-MX"/>
        </w:rPr>
      </w:pPr>
      <w:bookmarkStart w:id="0" w:name="_GoBack"/>
      <w:bookmarkEnd w:id="0"/>
      <w:r w:rsidRPr="000B3496">
        <w:rPr>
          <w:rFonts w:ascii="Arial" w:hAnsi="Arial" w:cs="Arial"/>
          <w:b/>
          <w:sz w:val="19"/>
          <w:szCs w:val="19"/>
          <w:lang w:val="es-MX"/>
        </w:rPr>
        <w:t>DISPOSICIONES GENERALES</w:t>
      </w:r>
    </w:p>
    <w:p w:rsidR="00630458" w:rsidRPr="000B3496" w:rsidRDefault="00630458" w:rsidP="00630458">
      <w:pPr>
        <w:ind w:right="-285"/>
        <w:jc w:val="center"/>
        <w:rPr>
          <w:rFonts w:ascii="Arial" w:hAnsi="Arial" w:cs="Arial"/>
          <w:b/>
          <w:sz w:val="19"/>
          <w:szCs w:val="19"/>
          <w:lang w:val="es-MX"/>
        </w:rPr>
      </w:pPr>
    </w:p>
    <w:p w:rsidR="00630458" w:rsidRPr="000B3496" w:rsidRDefault="00630458" w:rsidP="00630458">
      <w:pPr>
        <w:contextualSpacing/>
        <w:jc w:val="both"/>
        <w:rPr>
          <w:rFonts w:ascii="Arial" w:hAnsi="Arial" w:cs="Arial"/>
          <w:sz w:val="19"/>
          <w:szCs w:val="19"/>
          <w:lang w:val="es-MX"/>
        </w:rPr>
      </w:pPr>
      <w:r w:rsidRPr="000B3496">
        <w:rPr>
          <w:rFonts w:ascii="Arial" w:hAnsi="Arial" w:cs="Arial"/>
          <w:b/>
          <w:sz w:val="19"/>
          <w:szCs w:val="19"/>
          <w:lang w:val="es-MX"/>
        </w:rPr>
        <w:t xml:space="preserve">Artículo 1. </w:t>
      </w:r>
      <w:r w:rsidRPr="000B3496">
        <w:rPr>
          <w:rFonts w:ascii="Arial" w:hAnsi="Arial" w:cs="Arial"/>
          <w:sz w:val="19"/>
          <w:szCs w:val="19"/>
          <w:lang w:val="es-MX"/>
        </w:rPr>
        <w:t>Para efectos de la presente Ley, se entenderá por:</w:t>
      </w:r>
    </w:p>
    <w:p w:rsidR="00630458" w:rsidRPr="000B3496" w:rsidRDefault="00630458" w:rsidP="00630458">
      <w:pPr>
        <w:contextualSpacing/>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Código: Código Fiscal para el Estado de Oaxaca;</w:t>
      </w:r>
    </w:p>
    <w:p w:rsidR="00630458" w:rsidRPr="000B3496" w:rsidRDefault="00630458" w:rsidP="00630458">
      <w:pPr>
        <w:pStyle w:val="Prrafodelista"/>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Congreso: Congreso del Estado;</w:t>
      </w:r>
    </w:p>
    <w:p w:rsidR="00630458" w:rsidRPr="000B3496" w:rsidRDefault="00630458" w:rsidP="00630458">
      <w:pPr>
        <w:pStyle w:val="Prrafodelista"/>
        <w:tabs>
          <w:tab w:val="left" w:pos="1134"/>
        </w:tabs>
        <w:ind w:left="1134" w:hanging="1134"/>
        <w:jc w:val="both"/>
        <w:rPr>
          <w:rFonts w:ascii="Arial" w:hAnsi="Arial" w:cs="Arial"/>
          <w:sz w:val="19"/>
          <w:szCs w:val="19"/>
          <w:lang w:val="es-MX"/>
        </w:rPr>
      </w:pPr>
    </w:p>
    <w:p w:rsidR="00630458" w:rsidRPr="00176C7F"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630458">
        <w:rPr>
          <w:rFonts w:ascii="Arial" w:hAnsi="Arial" w:cs="Arial"/>
          <w:sz w:val="19"/>
          <w:szCs w:val="19"/>
          <w:lang w:val="es-MX"/>
        </w:rPr>
        <w:t xml:space="preserve">Dependencias: </w:t>
      </w:r>
      <w:r w:rsidRPr="00630458">
        <w:rPr>
          <w:rFonts w:ascii="Arial" w:hAnsi="Arial" w:cs="Arial"/>
          <w:bCs/>
          <w:sz w:val="19"/>
          <w:szCs w:val="19"/>
          <w:lang w:val="es-MX"/>
        </w:rPr>
        <w:t xml:space="preserve">Secretarías de despacho incluidas en ellas a los órganos administrativos desconcentrados; </w:t>
      </w:r>
      <w:r w:rsidR="00864111">
        <w:rPr>
          <w:rFonts w:ascii="Arial" w:hAnsi="Arial" w:cs="Arial"/>
          <w:bCs/>
          <w:sz w:val="19"/>
          <w:szCs w:val="19"/>
          <w:lang w:val="es-MX"/>
        </w:rPr>
        <w:t xml:space="preserve">Fiscalía General del Estado; </w:t>
      </w:r>
      <w:r w:rsidRPr="00630458">
        <w:rPr>
          <w:rFonts w:ascii="Arial" w:hAnsi="Arial" w:cs="Arial"/>
          <w:bCs/>
          <w:sz w:val="19"/>
          <w:szCs w:val="19"/>
          <w:lang w:val="es-MX"/>
        </w:rPr>
        <w:t>Consejería Jurídica del Gobierno del Estado; Órganos Auxiliares que dependen directamente del Gobernador del Estado, y la Coordinación General del Comité Estatal de Planeación para el Desarrollo de Oaxaca;</w:t>
      </w:r>
    </w:p>
    <w:p w:rsidR="00630458" w:rsidRPr="000B3496" w:rsidRDefault="00630458" w:rsidP="00630458">
      <w:pPr>
        <w:pStyle w:val="Prrafodelista"/>
        <w:tabs>
          <w:tab w:val="left" w:pos="1134"/>
        </w:tabs>
        <w:ind w:left="1134" w:hanging="1134"/>
        <w:rPr>
          <w:rFonts w:ascii="Arial" w:hAnsi="Arial" w:cs="Arial"/>
          <w:sz w:val="19"/>
          <w:szCs w:val="19"/>
          <w:lang w:val="es-MX"/>
        </w:rPr>
      </w:pPr>
    </w:p>
    <w:p w:rsidR="00630458" w:rsidRPr="000B3496" w:rsidRDefault="00630458" w:rsidP="00630458">
      <w:pPr>
        <w:pStyle w:val="Prrafodelista"/>
        <w:numPr>
          <w:ilvl w:val="0"/>
          <w:numId w:val="3"/>
        </w:numPr>
        <w:tabs>
          <w:tab w:val="left" w:pos="1134"/>
        </w:tabs>
        <w:autoSpaceDE w:val="0"/>
        <w:autoSpaceDN w:val="0"/>
        <w:adjustRightInd w:val="0"/>
        <w:ind w:left="1134" w:hanging="1134"/>
        <w:contextualSpacing/>
        <w:jc w:val="both"/>
        <w:rPr>
          <w:rFonts w:ascii="Arial" w:hAnsi="Arial" w:cs="Arial"/>
          <w:sz w:val="19"/>
          <w:szCs w:val="19"/>
          <w:lang w:val="es-MX"/>
        </w:rPr>
      </w:pPr>
      <w:r w:rsidRPr="00630458">
        <w:rPr>
          <w:rFonts w:ascii="Arial" w:hAnsi="Arial" w:cs="Arial"/>
          <w:sz w:val="19"/>
          <w:szCs w:val="19"/>
          <w:lang w:val="es-MX"/>
        </w:rPr>
        <w:t>Entes Públicos: A los Poderes Legislativo y Judicial, a los Órganos Autónomos por disposición constitucional y legal, así como a las Dependencias y Entidades de la Administración Pública y demás órganos que determinen las leyes y ejerzan recursos públicos</w:t>
      </w:r>
      <w:r w:rsidRPr="000B3496">
        <w:rPr>
          <w:rFonts w:ascii="Arial" w:hAnsi="Arial" w:cs="Arial"/>
          <w:sz w:val="19"/>
          <w:szCs w:val="19"/>
          <w:lang w:val="es-MX"/>
        </w:rPr>
        <w:t>;</w:t>
      </w:r>
    </w:p>
    <w:p w:rsidR="00630458" w:rsidRPr="000B3496" w:rsidRDefault="00630458" w:rsidP="00630458">
      <w:pPr>
        <w:pStyle w:val="Prrafodelista"/>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spacing w:after="200"/>
        <w:ind w:left="1134" w:hanging="1134"/>
        <w:contextualSpacing/>
        <w:jc w:val="both"/>
        <w:rPr>
          <w:rFonts w:ascii="Arial" w:hAnsi="Arial" w:cs="Arial"/>
          <w:sz w:val="19"/>
          <w:szCs w:val="19"/>
          <w:lang w:val="es-MX"/>
        </w:rPr>
      </w:pPr>
      <w:r w:rsidRPr="000B3496">
        <w:rPr>
          <w:rFonts w:ascii="Arial" w:hAnsi="Arial" w:cs="Arial"/>
          <w:sz w:val="19"/>
          <w:szCs w:val="19"/>
          <w:lang w:val="es-MX"/>
        </w:rPr>
        <w:t xml:space="preserve">Entidades: </w:t>
      </w:r>
      <w:r w:rsidRPr="00630458">
        <w:rPr>
          <w:rFonts w:ascii="Arial" w:hAnsi="Arial" w:cs="Arial"/>
          <w:sz w:val="19"/>
          <w:szCs w:val="19"/>
          <w:lang w:val="es-MX"/>
        </w:rPr>
        <w:t>Los Organismos Descentralizados, Empresas de Participación Estatal, Fideicomisos Públicos y Órganos Auxiliares de Colaboración de conformidad con la Ley de Entidades Paraestatales del Estado de Oaxaca</w:t>
      </w:r>
      <w:r w:rsidRPr="000B3496">
        <w:rPr>
          <w:rFonts w:ascii="Arial" w:hAnsi="Arial" w:cs="Arial"/>
          <w:sz w:val="19"/>
          <w:szCs w:val="19"/>
          <w:lang w:val="es-MX"/>
        </w:rPr>
        <w:t>;</w:t>
      </w:r>
    </w:p>
    <w:p w:rsidR="00630458" w:rsidRPr="000B3496" w:rsidRDefault="00630458" w:rsidP="00630458">
      <w:pPr>
        <w:pStyle w:val="Prrafodelista"/>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Ley de Ingresos del Estado de Oaxaca para el Ejercicio Fiscal 201</w:t>
      </w:r>
      <w:r w:rsidR="00864111">
        <w:rPr>
          <w:rFonts w:ascii="Arial" w:hAnsi="Arial" w:cs="Arial"/>
          <w:sz w:val="19"/>
          <w:szCs w:val="19"/>
          <w:lang w:val="es-MX"/>
        </w:rPr>
        <w:t>8</w:t>
      </w:r>
      <w:r w:rsidRPr="000B3496">
        <w:rPr>
          <w:rFonts w:ascii="Arial" w:hAnsi="Arial" w:cs="Arial"/>
          <w:sz w:val="19"/>
          <w:szCs w:val="19"/>
          <w:lang w:val="es-MX"/>
        </w:rPr>
        <w:t>;</w:t>
      </w:r>
    </w:p>
    <w:p w:rsidR="00630458" w:rsidRPr="000B3496" w:rsidRDefault="00630458" w:rsidP="00630458">
      <w:pPr>
        <w:pStyle w:val="Prrafodelista"/>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 xml:space="preserve">Ley Estatal: Ley Estatal de Presupuesto y Responsabilidad </w:t>
      </w:r>
      <w:proofErr w:type="spellStart"/>
      <w:r w:rsidRPr="000B3496">
        <w:rPr>
          <w:rFonts w:ascii="Arial" w:hAnsi="Arial" w:cs="Arial"/>
          <w:sz w:val="19"/>
          <w:szCs w:val="19"/>
          <w:lang w:val="es-MX"/>
        </w:rPr>
        <w:t>Hacendaría</w:t>
      </w:r>
      <w:proofErr w:type="spellEnd"/>
      <w:r w:rsidRPr="000B3496">
        <w:rPr>
          <w:rFonts w:ascii="Arial" w:hAnsi="Arial" w:cs="Arial"/>
          <w:sz w:val="19"/>
          <w:szCs w:val="19"/>
          <w:lang w:val="es-MX"/>
        </w:rPr>
        <w:t>;</w:t>
      </w:r>
    </w:p>
    <w:p w:rsidR="00630458" w:rsidRPr="000B3496" w:rsidRDefault="00630458" w:rsidP="00630458">
      <w:pPr>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de Fiscalización: Ley de Fiscalización Superior para el Estado de Oaxaca;</w:t>
      </w:r>
    </w:p>
    <w:p w:rsidR="00630458" w:rsidRPr="000B3496" w:rsidRDefault="00630458" w:rsidP="00630458">
      <w:pPr>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de Responsabilidades: Ley de Responsabilidades de los Servidores Públicos del Estado y Municipios de Oaxaca;</w:t>
      </w:r>
    </w:p>
    <w:p w:rsidR="00630458" w:rsidRPr="000B3496" w:rsidRDefault="00630458" w:rsidP="00630458">
      <w:pPr>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Ley General: Ley General de Contabilidad Gubernamental, y</w:t>
      </w:r>
    </w:p>
    <w:p w:rsidR="00630458" w:rsidRPr="000B3496" w:rsidRDefault="00630458" w:rsidP="00630458">
      <w:pPr>
        <w:tabs>
          <w:tab w:val="left" w:pos="1134"/>
        </w:tabs>
        <w:ind w:left="1134" w:hanging="1134"/>
        <w:jc w:val="both"/>
        <w:rPr>
          <w:rFonts w:ascii="Arial" w:hAnsi="Arial" w:cs="Arial"/>
          <w:sz w:val="19"/>
          <w:szCs w:val="19"/>
          <w:lang w:val="es-MX"/>
        </w:rPr>
      </w:pPr>
    </w:p>
    <w:p w:rsidR="00630458" w:rsidRPr="000B3496" w:rsidRDefault="00630458" w:rsidP="00630458">
      <w:pPr>
        <w:pStyle w:val="Prrafodelista"/>
        <w:numPr>
          <w:ilvl w:val="0"/>
          <w:numId w:val="3"/>
        </w:numPr>
        <w:tabs>
          <w:tab w:val="left" w:pos="1134"/>
        </w:tabs>
        <w:ind w:left="1134" w:hanging="1134"/>
        <w:contextualSpacing/>
        <w:jc w:val="both"/>
        <w:rPr>
          <w:rFonts w:ascii="Arial" w:hAnsi="Arial" w:cs="Arial"/>
          <w:sz w:val="19"/>
          <w:szCs w:val="19"/>
          <w:lang w:val="es-MX"/>
        </w:rPr>
      </w:pPr>
      <w:r w:rsidRPr="000B3496">
        <w:rPr>
          <w:rFonts w:ascii="Arial" w:hAnsi="Arial" w:cs="Arial"/>
          <w:sz w:val="19"/>
          <w:szCs w:val="19"/>
          <w:lang w:val="es-MX"/>
        </w:rPr>
        <w:t>Secretaría: Secretaría de Finanzas del Poder Ejecutivo del Estado.</w:t>
      </w:r>
    </w:p>
    <w:p w:rsidR="00630458" w:rsidRPr="000B3496" w:rsidRDefault="00630458" w:rsidP="00630458">
      <w:pPr>
        <w:pStyle w:val="Ttulo2"/>
        <w:tabs>
          <w:tab w:val="left" w:pos="1134"/>
        </w:tabs>
        <w:ind w:left="1134" w:right="-285" w:hanging="1134"/>
        <w:jc w:val="both"/>
        <w:rPr>
          <w:rFonts w:cs="Arial"/>
          <w:b/>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b/>
          <w:sz w:val="19"/>
          <w:szCs w:val="19"/>
          <w:lang w:val="es-MX"/>
        </w:rPr>
        <w:t>Artículo 2.</w:t>
      </w:r>
      <w:r w:rsidRPr="00630458">
        <w:rPr>
          <w:rFonts w:ascii="Arial" w:hAnsi="Arial" w:cs="Arial"/>
          <w:sz w:val="19"/>
          <w:szCs w:val="19"/>
          <w:lang w:val="es-MX"/>
        </w:rPr>
        <w:t xml:space="preserve"> Las contribuciones, productos o aprovechamientos a los que las leyes de carácter no fiscal otorguen una naturaleza distinta a la establecida en las leyes fiscales, tendrán la naturaleza establecida en éstas. Se derogan las disposiciones que se opongan a lo previsto en este artículo, en su parte conducente.</w:t>
      </w:r>
    </w:p>
    <w:p w:rsidR="00630458" w:rsidRPr="00630458" w:rsidRDefault="00630458" w:rsidP="00630458">
      <w:pPr>
        <w:contextualSpacing/>
        <w:jc w:val="both"/>
        <w:rPr>
          <w:rFonts w:ascii="Arial" w:hAnsi="Arial" w:cs="Arial"/>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b/>
          <w:sz w:val="19"/>
          <w:szCs w:val="19"/>
          <w:lang w:val="es-MX"/>
        </w:rPr>
        <w:t xml:space="preserve">Artículo 3. </w:t>
      </w:r>
      <w:r w:rsidRPr="00630458">
        <w:rPr>
          <w:rFonts w:ascii="Arial" w:hAnsi="Arial" w:cs="Arial"/>
          <w:sz w:val="19"/>
          <w:szCs w:val="19"/>
          <w:lang w:val="es-MX"/>
        </w:rPr>
        <w:t xml:space="preserve">Los ingresos que se recauden </w:t>
      </w:r>
      <w:r w:rsidR="008A7C06">
        <w:rPr>
          <w:rFonts w:ascii="Arial" w:hAnsi="Arial" w:cs="Arial"/>
          <w:sz w:val="19"/>
          <w:szCs w:val="19"/>
          <w:lang w:val="es-MX"/>
        </w:rPr>
        <w:t>durante el ejercicio fiscal 2018</w:t>
      </w:r>
      <w:r w:rsidR="00CB56B1">
        <w:rPr>
          <w:rFonts w:ascii="Arial" w:hAnsi="Arial" w:cs="Arial"/>
          <w:sz w:val="19"/>
          <w:szCs w:val="19"/>
          <w:lang w:val="es-MX"/>
        </w:rPr>
        <w:t xml:space="preserve">, se </w:t>
      </w:r>
      <w:proofErr w:type="spellStart"/>
      <w:r w:rsidR="00CB56B1">
        <w:rPr>
          <w:rFonts w:ascii="Arial" w:hAnsi="Arial" w:cs="Arial"/>
          <w:sz w:val="19"/>
          <w:szCs w:val="19"/>
          <w:lang w:val="es-MX"/>
        </w:rPr>
        <w:t>recepcionará</w:t>
      </w:r>
      <w:r w:rsidRPr="00630458">
        <w:rPr>
          <w:rFonts w:ascii="Arial" w:hAnsi="Arial" w:cs="Arial"/>
          <w:sz w:val="19"/>
          <w:szCs w:val="19"/>
          <w:lang w:val="es-MX"/>
        </w:rPr>
        <w:t>n</w:t>
      </w:r>
      <w:proofErr w:type="spellEnd"/>
      <w:r w:rsidRPr="00630458">
        <w:rPr>
          <w:rFonts w:ascii="Arial" w:hAnsi="Arial" w:cs="Arial"/>
          <w:sz w:val="19"/>
          <w:szCs w:val="19"/>
          <w:lang w:val="es-MX"/>
        </w:rPr>
        <w:t xml:space="preserve"> y concentrarán por la Secretaría.</w:t>
      </w:r>
    </w:p>
    <w:p w:rsidR="00630458" w:rsidRPr="00630458" w:rsidRDefault="00630458" w:rsidP="00630458">
      <w:pPr>
        <w:contextualSpacing/>
        <w:jc w:val="both"/>
        <w:rPr>
          <w:rFonts w:ascii="Arial" w:hAnsi="Arial" w:cs="Arial"/>
          <w:sz w:val="19"/>
          <w:szCs w:val="19"/>
          <w:lang w:val="es-MX"/>
        </w:rPr>
      </w:pPr>
    </w:p>
    <w:p w:rsidR="00630458" w:rsidRPr="006B1B92" w:rsidRDefault="00630458" w:rsidP="00630458">
      <w:pPr>
        <w:contextualSpacing/>
        <w:jc w:val="both"/>
        <w:rPr>
          <w:rFonts w:ascii="Arial" w:hAnsi="Arial" w:cs="Arial"/>
          <w:sz w:val="19"/>
          <w:szCs w:val="19"/>
        </w:rPr>
      </w:pPr>
      <w:r w:rsidRPr="006B1B92">
        <w:rPr>
          <w:rFonts w:ascii="Arial" w:hAnsi="Arial" w:cs="Arial"/>
          <w:sz w:val="19"/>
          <w:szCs w:val="19"/>
        </w:rPr>
        <w:t xml:space="preserve">Salvo </w:t>
      </w:r>
      <w:proofErr w:type="spellStart"/>
      <w:r w:rsidRPr="006B1B92">
        <w:rPr>
          <w:rFonts w:ascii="Arial" w:hAnsi="Arial" w:cs="Arial"/>
          <w:sz w:val="19"/>
          <w:szCs w:val="19"/>
        </w:rPr>
        <w:t>los</w:t>
      </w:r>
      <w:proofErr w:type="spellEnd"/>
      <w:r w:rsidRPr="006B1B92">
        <w:rPr>
          <w:rFonts w:ascii="Arial" w:hAnsi="Arial" w:cs="Arial"/>
          <w:sz w:val="19"/>
          <w:szCs w:val="19"/>
        </w:rPr>
        <w:t xml:space="preserve"> </w:t>
      </w:r>
      <w:proofErr w:type="spellStart"/>
      <w:r w:rsidRPr="006B1B92">
        <w:rPr>
          <w:rFonts w:ascii="Arial" w:hAnsi="Arial" w:cs="Arial"/>
          <w:sz w:val="19"/>
          <w:szCs w:val="19"/>
        </w:rPr>
        <w:t>siguientes</w:t>
      </w:r>
      <w:proofErr w:type="spellEnd"/>
      <w:r w:rsidRPr="006B1B92">
        <w:rPr>
          <w:rFonts w:ascii="Arial" w:hAnsi="Arial" w:cs="Arial"/>
          <w:sz w:val="19"/>
          <w:szCs w:val="19"/>
        </w:rPr>
        <w:t xml:space="preserve"> </w:t>
      </w:r>
      <w:proofErr w:type="spellStart"/>
      <w:r w:rsidRPr="006B1B92">
        <w:rPr>
          <w:rFonts w:ascii="Arial" w:hAnsi="Arial" w:cs="Arial"/>
          <w:sz w:val="19"/>
          <w:szCs w:val="19"/>
        </w:rPr>
        <w:t>casos</w:t>
      </w:r>
      <w:proofErr w:type="spellEnd"/>
      <w:r w:rsidRPr="006B1B92">
        <w:rPr>
          <w:rFonts w:ascii="Arial" w:hAnsi="Arial" w:cs="Arial"/>
          <w:sz w:val="19"/>
          <w:szCs w:val="19"/>
        </w:rPr>
        <w:t>:</w:t>
      </w:r>
    </w:p>
    <w:p w:rsidR="00630458" w:rsidRPr="006B1B92" w:rsidRDefault="00630458" w:rsidP="00630458">
      <w:pPr>
        <w:contextualSpacing/>
        <w:jc w:val="both"/>
        <w:rPr>
          <w:rFonts w:ascii="Arial" w:hAnsi="Arial" w:cs="Arial"/>
          <w:sz w:val="19"/>
          <w:szCs w:val="19"/>
        </w:rPr>
      </w:pPr>
    </w:p>
    <w:p w:rsidR="00630458" w:rsidRPr="006B1B92" w:rsidRDefault="00630458" w:rsidP="00630458">
      <w:pPr>
        <w:numPr>
          <w:ilvl w:val="0"/>
          <w:numId w:val="2"/>
        </w:numPr>
        <w:tabs>
          <w:tab w:val="left" w:pos="1134"/>
        </w:tabs>
        <w:ind w:left="1134" w:hanging="1134"/>
        <w:jc w:val="both"/>
        <w:rPr>
          <w:rFonts w:ascii="Arial" w:hAnsi="Arial" w:cs="Arial"/>
          <w:sz w:val="19"/>
          <w:szCs w:val="19"/>
          <w:lang w:val="es-MX"/>
        </w:rPr>
      </w:pPr>
      <w:r w:rsidRPr="006B1B92">
        <w:rPr>
          <w:rFonts w:ascii="Arial" w:hAnsi="Arial" w:cs="Arial"/>
          <w:sz w:val="19"/>
          <w:szCs w:val="19"/>
          <w:lang w:val="es-MX"/>
        </w:rPr>
        <w:t>Se concentrarán en la Secretaría, a más tardar el día hábil siguiente al de su recepción, los aprovechamientos, por sanciones, penas convencionales y recuperación de garantías por cumplimiento, anticipos y vicios ocultos.</w:t>
      </w:r>
    </w:p>
    <w:p w:rsidR="00630458" w:rsidRPr="006B1B92" w:rsidRDefault="00630458" w:rsidP="00630458">
      <w:pPr>
        <w:tabs>
          <w:tab w:val="left" w:pos="1134"/>
        </w:tabs>
        <w:ind w:left="1134"/>
        <w:jc w:val="both"/>
        <w:rPr>
          <w:rFonts w:ascii="Arial" w:hAnsi="Arial" w:cs="Arial"/>
          <w:sz w:val="19"/>
          <w:szCs w:val="19"/>
          <w:lang w:val="es-MX"/>
        </w:rPr>
      </w:pPr>
    </w:p>
    <w:p w:rsidR="00630458" w:rsidRPr="006B1B92" w:rsidRDefault="00630458" w:rsidP="00630458">
      <w:pPr>
        <w:numPr>
          <w:ilvl w:val="0"/>
          <w:numId w:val="2"/>
        </w:numPr>
        <w:tabs>
          <w:tab w:val="left" w:pos="1134"/>
        </w:tabs>
        <w:ind w:left="1134" w:hanging="1134"/>
        <w:jc w:val="both"/>
        <w:rPr>
          <w:rFonts w:ascii="Arial" w:hAnsi="Arial" w:cs="Arial"/>
          <w:sz w:val="19"/>
          <w:szCs w:val="19"/>
          <w:lang w:val="es-MX"/>
        </w:rPr>
      </w:pPr>
      <w:r w:rsidRPr="006B1B92">
        <w:rPr>
          <w:rFonts w:ascii="Arial" w:hAnsi="Arial" w:cs="Arial"/>
          <w:sz w:val="19"/>
          <w:szCs w:val="19"/>
          <w:lang w:val="es-MX"/>
        </w:rPr>
        <w:lastRenderedPageBreak/>
        <w:t xml:space="preserve">Los </w:t>
      </w:r>
      <w:r w:rsidRPr="00630458">
        <w:rPr>
          <w:rFonts w:ascii="Arial" w:hAnsi="Arial" w:cs="Arial"/>
          <w:sz w:val="19"/>
          <w:szCs w:val="19"/>
          <w:lang w:val="es-MX"/>
        </w:rPr>
        <w:t>Poderes Legislativo y Judicial, y los Órganos Autónomos por disposición constitucional, sólo registrarán los ingresos que obtengan por cualquier concepto en el rubro correspondiente de esta Ley, y deberán conservar a disposición de los órganos revisores de la Cuenta Pública Estatal, la documentación comprobatoria de dichos ingresos.</w:t>
      </w:r>
    </w:p>
    <w:p w:rsidR="00630458" w:rsidRPr="006B1B92" w:rsidRDefault="00630458" w:rsidP="00630458">
      <w:pPr>
        <w:pStyle w:val="Prrafodelista"/>
        <w:rPr>
          <w:rFonts w:ascii="Arial" w:hAnsi="Arial" w:cs="Arial"/>
          <w:sz w:val="19"/>
          <w:szCs w:val="19"/>
          <w:lang w:val="es-MX"/>
        </w:rPr>
      </w:pPr>
    </w:p>
    <w:p w:rsidR="00630458" w:rsidRPr="006B1B92" w:rsidRDefault="00630458" w:rsidP="00630458">
      <w:pPr>
        <w:pStyle w:val="Prrafodelista"/>
        <w:ind w:left="1134"/>
        <w:jc w:val="both"/>
        <w:rPr>
          <w:rFonts w:ascii="Arial" w:hAnsi="Arial" w:cs="Arial"/>
          <w:sz w:val="19"/>
          <w:szCs w:val="19"/>
          <w:lang w:val="es-MX"/>
        </w:rPr>
      </w:pPr>
      <w:r w:rsidRPr="006B1B92">
        <w:rPr>
          <w:rFonts w:ascii="Arial" w:hAnsi="Arial" w:cs="Arial"/>
          <w:sz w:val="19"/>
          <w:szCs w:val="19"/>
          <w:lang w:val="es-MX"/>
        </w:rPr>
        <w:t xml:space="preserve">Para los efectos </w:t>
      </w:r>
      <w:r w:rsidRPr="00630458">
        <w:rPr>
          <w:rFonts w:ascii="Arial" w:hAnsi="Arial" w:cs="Arial"/>
          <w:sz w:val="19"/>
          <w:szCs w:val="19"/>
          <w:lang w:val="es-MX"/>
        </w:rPr>
        <w:t>del registro de los ingresos a que se refiere esta fracción, se deberá presentar a la Secretaría dentro de los diez días naturales de concluido el mes, la documentación comprobatoria de la obtención de dichos ingresos, o bien, de los informes avalados por el órgano interno de control especificando los importes del impuesto al valor agregado que hayan trasladado por los actos o las actividades que dieron lugar a la obtención de los ingresos.</w:t>
      </w:r>
    </w:p>
    <w:p w:rsidR="00630458" w:rsidRPr="006B1B92" w:rsidRDefault="00630458" w:rsidP="00630458">
      <w:pPr>
        <w:tabs>
          <w:tab w:val="left" w:pos="1134"/>
        </w:tabs>
        <w:jc w:val="both"/>
        <w:rPr>
          <w:rFonts w:ascii="Arial" w:hAnsi="Arial" w:cs="Arial"/>
          <w:sz w:val="19"/>
          <w:szCs w:val="19"/>
          <w:lang w:val="es-MX"/>
        </w:rPr>
      </w:pPr>
    </w:p>
    <w:p w:rsidR="00630458" w:rsidRPr="006B1B92" w:rsidRDefault="00630458" w:rsidP="00630458">
      <w:pPr>
        <w:numPr>
          <w:ilvl w:val="0"/>
          <w:numId w:val="2"/>
        </w:numPr>
        <w:tabs>
          <w:tab w:val="left" w:pos="1134"/>
        </w:tabs>
        <w:ind w:left="1134" w:hanging="1134"/>
        <w:jc w:val="both"/>
        <w:rPr>
          <w:rFonts w:ascii="Arial" w:hAnsi="Arial" w:cs="Arial"/>
          <w:sz w:val="19"/>
          <w:szCs w:val="19"/>
          <w:lang w:val="es-MX"/>
        </w:rPr>
      </w:pPr>
      <w:r w:rsidRPr="006B1B92">
        <w:rPr>
          <w:rFonts w:ascii="Arial" w:hAnsi="Arial" w:cs="Arial"/>
          <w:sz w:val="19"/>
          <w:szCs w:val="19"/>
          <w:lang w:val="es-MX"/>
        </w:rPr>
        <w:t xml:space="preserve">Los </w:t>
      </w:r>
      <w:r w:rsidRPr="00630458">
        <w:rPr>
          <w:rFonts w:ascii="Arial" w:hAnsi="Arial" w:cs="Arial"/>
          <w:sz w:val="19"/>
          <w:szCs w:val="19"/>
          <w:lang w:val="es-MX"/>
        </w:rPr>
        <w:t>ingresos que obtengan las unidades aplicativas y hospitalarias del Estado de Oaxaca, podrán ser recaudados por las oficinas de los mismos, debiendo cumplir con los requisitos contables establecidos en la Ley General, e informarse a la Secretaría dentro de los diez días naturales de concluido el mes, a efecto de que se éste en posibilidad de elaborar los informes trimestrales que establece la Ley de Fiscalización y se reflejen dentro de la Cuenta Pública Estatal.</w:t>
      </w:r>
    </w:p>
    <w:p w:rsidR="00630458" w:rsidRPr="00533C19" w:rsidRDefault="00630458" w:rsidP="00630458">
      <w:pPr>
        <w:tabs>
          <w:tab w:val="left" w:pos="1134"/>
        </w:tabs>
        <w:ind w:left="1134"/>
        <w:jc w:val="both"/>
        <w:rPr>
          <w:rFonts w:ascii="Arial" w:hAnsi="Arial" w:cs="Arial"/>
          <w:sz w:val="19"/>
          <w:szCs w:val="19"/>
          <w:lang w:val="es-MX"/>
        </w:rPr>
      </w:pPr>
    </w:p>
    <w:p w:rsidR="00630458" w:rsidRPr="00533C19" w:rsidRDefault="00630458" w:rsidP="00630458">
      <w:pPr>
        <w:numPr>
          <w:ilvl w:val="0"/>
          <w:numId w:val="2"/>
        </w:numPr>
        <w:tabs>
          <w:tab w:val="left" w:pos="1134"/>
        </w:tabs>
        <w:ind w:left="1134" w:hanging="1134"/>
        <w:jc w:val="both"/>
        <w:rPr>
          <w:rFonts w:ascii="Arial" w:hAnsi="Arial" w:cs="Arial"/>
          <w:sz w:val="19"/>
          <w:szCs w:val="19"/>
          <w:lang w:val="es-MX"/>
        </w:rPr>
      </w:pPr>
      <w:r w:rsidRPr="00630458">
        <w:rPr>
          <w:rFonts w:ascii="Arial" w:hAnsi="Arial" w:cs="Arial"/>
          <w:sz w:val="19"/>
          <w:szCs w:val="19"/>
          <w:lang w:val="es-MX"/>
        </w:rPr>
        <w:t>Los ingresos que obtengan las instituciones educativas, planteles, centros de investigación de las Entidades que presten servicios de educación básica, media superior, superior y de formación para el trabajo, por la venta de bienes derivados de sus actividades o por cualquier otra vía, incluidos los que generen las escuelas, centros y unidades de enseñanza y de investigación, formarán parte de su patrimonio, en su caso, serán administrados por las propias instituciones y se destinarán a sus finalidades y programas institucionales, debiendo cumplir con los requisitos contables establecidos en la Ley General, e informarse a la Secretaría dentro de los diez días naturales de concluido el mes, a efecto de que este en posibilidad de elaborar los informes trimestrales que establece la Ley de Fiscalización y se reflejen dentro de la Cuenta Pública Estatal.</w:t>
      </w:r>
    </w:p>
    <w:p w:rsidR="00630458" w:rsidRPr="000B3496" w:rsidRDefault="00630458" w:rsidP="00630458">
      <w:pPr>
        <w:tabs>
          <w:tab w:val="left" w:pos="1134"/>
        </w:tabs>
        <w:ind w:left="1134"/>
        <w:jc w:val="both"/>
        <w:rPr>
          <w:rFonts w:ascii="Arial" w:hAnsi="Arial" w:cs="Arial"/>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sz w:val="19"/>
          <w:szCs w:val="19"/>
          <w:lang w:val="es-MX"/>
        </w:rPr>
        <w:t>Lo señalado en el presente artículo se establece sin perjuicio de la obligación de concentrar los recursos públicos al final del ejercicio a la Secretaría, en los términos del artículo 50, párrafo tercero, de la Ley Estatal de Presupuesto y Responsabilidad Hacendaria.</w:t>
      </w:r>
    </w:p>
    <w:p w:rsidR="00630458" w:rsidRPr="00630458" w:rsidRDefault="00630458" w:rsidP="00630458">
      <w:pPr>
        <w:contextualSpacing/>
        <w:jc w:val="both"/>
        <w:rPr>
          <w:rFonts w:ascii="Arial" w:hAnsi="Arial" w:cs="Arial"/>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sz w:val="19"/>
          <w:szCs w:val="19"/>
          <w:lang w:val="es-MX"/>
        </w:rPr>
        <w:t xml:space="preserve">El incumplimiento de lo dispuesto en el párrafo anterior, generará para los Servidores Públicos, Titulares, Jefes de la Unidad Administrativa o su equivalente u operativos la obligación de pagar cargas financieras por concepto de indemnización a la Hacienda Pública Estatal. </w:t>
      </w:r>
    </w:p>
    <w:p w:rsidR="00630458" w:rsidRPr="00630458" w:rsidRDefault="00630458" w:rsidP="00630458">
      <w:pPr>
        <w:contextualSpacing/>
        <w:jc w:val="both"/>
        <w:rPr>
          <w:rFonts w:ascii="Arial" w:hAnsi="Arial" w:cs="Arial"/>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sz w:val="19"/>
          <w:szCs w:val="19"/>
          <w:lang w:val="es-MX"/>
        </w:rPr>
        <w:t>La tasa anual aplicable a dichas cargas financieras será 1.5 veces la que resulte de promediar la Tasa Ponderada de Fondeo Bancario dada a conocer diariamente por el Banco de México en su página de Internet, durante el periodo que dure la falta de concentración. En el caso de que por cualquier motivo se deje de publicar la mencionada tasa, se utilizará la tasa de interés que el Banco de México dé a conocer en sustitución de la misma.</w:t>
      </w:r>
    </w:p>
    <w:p w:rsidR="00630458" w:rsidRPr="00630458" w:rsidRDefault="00630458" w:rsidP="00630458">
      <w:pPr>
        <w:contextualSpacing/>
        <w:jc w:val="both"/>
        <w:rPr>
          <w:rFonts w:ascii="Arial" w:hAnsi="Arial" w:cs="Arial"/>
          <w:sz w:val="19"/>
          <w:szCs w:val="19"/>
          <w:lang w:val="es-MX"/>
        </w:rPr>
      </w:pPr>
    </w:p>
    <w:p w:rsidR="00630458" w:rsidRPr="00630458" w:rsidRDefault="00630458" w:rsidP="00630458">
      <w:pPr>
        <w:contextualSpacing/>
        <w:jc w:val="both"/>
        <w:rPr>
          <w:rFonts w:ascii="Arial" w:hAnsi="Arial" w:cs="Arial"/>
          <w:sz w:val="19"/>
          <w:szCs w:val="19"/>
          <w:lang w:val="es-MX"/>
        </w:rPr>
      </w:pPr>
      <w:r w:rsidRPr="00630458">
        <w:rPr>
          <w:rFonts w:ascii="Arial" w:hAnsi="Arial" w:cs="Arial"/>
          <w:sz w:val="19"/>
          <w:szCs w:val="19"/>
          <w:lang w:val="es-MX"/>
        </w:rPr>
        <w:t>El monto de las cargas financieras se determinará dividiendo la tasa anual a que se refiere el párrafo anterior entre 360 y multiplicando por el número de días transcurridos desde la fecha en que debió realizarse la concentración y hasta el día en que la misma se efectúe. El resultado obtenido se multiplicará por el importe no concentrado oportunamente.</w:t>
      </w:r>
    </w:p>
    <w:p w:rsidR="00630458" w:rsidRPr="00630458" w:rsidRDefault="00630458" w:rsidP="00630458">
      <w:pPr>
        <w:contextualSpacing/>
        <w:jc w:val="both"/>
        <w:rPr>
          <w:rFonts w:ascii="Arial" w:hAnsi="Arial" w:cs="Arial"/>
          <w:sz w:val="19"/>
          <w:szCs w:val="19"/>
          <w:lang w:val="es-MX"/>
        </w:rPr>
      </w:pPr>
    </w:p>
    <w:p w:rsidR="00630458" w:rsidRPr="00176C7F" w:rsidRDefault="00630458" w:rsidP="00630458">
      <w:pPr>
        <w:pStyle w:val="Default"/>
        <w:jc w:val="both"/>
        <w:rPr>
          <w:color w:val="auto"/>
          <w:sz w:val="19"/>
          <w:szCs w:val="19"/>
        </w:rPr>
      </w:pPr>
      <w:r w:rsidRPr="00FD549C">
        <w:rPr>
          <w:b/>
          <w:color w:val="auto"/>
          <w:sz w:val="19"/>
          <w:szCs w:val="19"/>
        </w:rPr>
        <w:t xml:space="preserve">Artículo 4. </w:t>
      </w:r>
      <w:r w:rsidRPr="00FD549C">
        <w:rPr>
          <w:color w:val="auto"/>
          <w:sz w:val="19"/>
          <w:szCs w:val="19"/>
        </w:rPr>
        <w:t>Se derogan las disposiciones legales y administrativas que contengan exenciones totales o parciales o consideren a personas como no sujetos de contribuciones estatales, otorguen tratamientos preferenciales o diferenciales en materia de ingresos y contribuciones estatales, distintas de las</w:t>
      </w:r>
      <w:r w:rsidRPr="00176C7F">
        <w:rPr>
          <w:color w:val="auto"/>
          <w:sz w:val="19"/>
          <w:szCs w:val="19"/>
        </w:rPr>
        <w:t xml:space="preserve"> establecidas en la presente Ley, Ley Estatal de Haci</w:t>
      </w:r>
      <w:r w:rsidR="00CB0371">
        <w:rPr>
          <w:color w:val="auto"/>
          <w:sz w:val="19"/>
          <w:szCs w:val="19"/>
        </w:rPr>
        <w:t>enda y Ley Estatal de Derechos de Oaxaca.</w:t>
      </w:r>
    </w:p>
    <w:p w:rsidR="00630458" w:rsidRPr="00FD549C" w:rsidRDefault="00630458" w:rsidP="00630458">
      <w:pPr>
        <w:pStyle w:val="Default"/>
        <w:jc w:val="both"/>
        <w:rPr>
          <w:color w:val="auto"/>
          <w:sz w:val="19"/>
          <w:szCs w:val="19"/>
        </w:rPr>
      </w:pPr>
    </w:p>
    <w:p w:rsidR="00630458" w:rsidRPr="00FD549C" w:rsidRDefault="00630458" w:rsidP="00630458">
      <w:pPr>
        <w:pStyle w:val="Default"/>
        <w:jc w:val="both"/>
        <w:rPr>
          <w:color w:val="auto"/>
          <w:sz w:val="19"/>
          <w:szCs w:val="19"/>
        </w:rPr>
      </w:pPr>
      <w:r w:rsidRPr="00FD549C">
        <w:rPr>
          <w:color w:val="auto"/>
          <w:sz w:val="19"/>
          <w:szCs w:val="19"/>
        </w:rPr>
        <w:t xml:space="preserve">Lo dispuesto en el párrafo anterior también será aplicable cuando las disposiciones legales y administrativas contengan exenciones totales o parciales o consideren a personas como no sujetos de contribuciones estatales, otorguen tratamientos preferenciales o diferenciales en materia de ingresos y </w:t>
      </w:r>
      <w:r w:rsidRPr="00FD549C">
        <w:rPr>
          <w:color w:val="auto"/>
          <w:sz w:val="19"/>
          <w:szCs w:val="19"/>
        </w:rPr>
        <w:lastRenderedPageBreak/>
        <w:t xml:space="preserve">contribuciones estatales, se encuentren contenidas en normas jurídicas que tengan por objeto la creación o las bases de organización o funcionamiento de los Entes Públicos, cualquiera que sea su naturaleza. </w:t>
      </w:r>
    </w:p>
    <w:p w:rsidR="00630458" w:rsidRPr="00FD549C" w:rsidRDefault="00630458" w:rsidP="00630458">
      <w:pPr>
        <w:pStyle w:val="Default"/>
        <w:jc w:val="both"/>
        <w:rPr>
          <w:color w:val="auto"/>
          <w:sz w:val="19"/>
          <w:szCs w:val="19"/>
        </w:rPr>
      </w:pPr>
    </w:p>
    <w:p w:rsidR="00630458" w:rsidRPr="00FD549C" w:rsidRDefault="00630458" w:rsidP="00630458">
      <w:pPr>
        <w:pStyle w:val="Default"/>
        <w:jc w:val="both"/>
        <w:rPr>
          <w:color w:val="auto"/>
          <w:sz w:val="19"/>
          <w:szCs w:val="19"/>
        </w:rPr>
      </w:pPr>
      <w:r w:rsidRPr="00FD549C">
        <w:rPr>
          <w:color w:val="auto"/>
          <w:sz w:val="19"/>
          <w:szCs w:val="19"/>
        </w:rPr>
        <w:t>Se derogan las disposiciones legales y administrativas que establezcan que los ingresos que obtengan las Dependencias y Entidades por concepto de derechos, productos o aprovechamientos, tienen un destino específico distintas de las contenidas en la Constitución del Estado.</w:t>
      </w:r>
    </w:p>
    <w:p w:rsidR="00630458" w:rsidRDefault="00630458" w:rsidP="00630458">
      <w:pPr>
        <w:pStyle w:val="Default"/>
        <w:jc w:val="both"/>
        <w:rPr>
          <w:color w:val="auto"/>
          <w:sz w:val="19"/>
          <w:szCs w:val="19"/>
        </w:rPr>
      </w:pPr>
    </w:p>
    <w:p w:rsidR="00630458" w:rsidRPr="00630458" w:rsidRDefault="00630458" w:rsidP="00630458">
      <w:pPr>
        <w:ind w:right="49"/>
        <w:jc w:val="both"/>
        <w:rPr>
          <w:rFonts w:ascii="Arial" w:hAnsi="Arial" w:cs="Arial"/>
          <w:sz w:val="19"/>
          <w:szCs w:val="19"/>
          <w:lang w:val="es-MX"/>
        </w:rPr>
      </w:pPr>
      <w:r w:rsidRPr="00630458">
        <w:rPr>
          <w:rFonts w:ascii="Arial" w:eastAsia="Arial" w:hAnsi="Arial" w:cs="Arial"/>
          <w:b/>
          <w:bCs/>
          <w:sz w:val="19"/>
          <w:szCs w:val="19"/>
          <w:lang w:val="es-MX"/>
        </w:rPr>
        <w:t xml:space="preserve">Artículo 5. </w:t>
      </w:r>
      <w:r w:rsidRPr="00630458">
        <w:rPr>
          <w:rFonts w:ascii="Arial" w:hAnsi="Arial" w:cs="Arial"/>
          <w:sz w:val="19"/>
          <w:szCs w:val="19"/>
          <w:lang w:val="es-MX"/>
        </w:rPr>
        <w:t>El pago extemporáneo de contribuciones dará lugar al cobro de recargos, a razón de 0.75 por ciento mensual calculados por cada mes o fracción que transcurra y se computarán a partir del día siguiente a la fecha o vencimiento del plazo de pago hasta su total liquidación</w:t>
      </w:r>
      <w:r w:rsidRPr="00630458">
        <w:rPr>
          <w:rFonts w:ascii="Arial" w:eastAsia="Arial" w:hAnsi="Arial" w:cs="Arial"/>
          <w:sz w:val="19"/>
          <w:szCs w:val="19"/>
          <w:lang w:val="es-MX"/>
        </w:rPr>
        <w:t>.</w:t>
      </w:r>
    </w:p>
    <w:p w:rsidR="00630458" w:rsidRDefault="00630458" w:rsidP="00630458">
      <w:pPr>
        <w:jc w:val="both"/>
        <w:rPr>
          <w:rFonts w:ascii="Arial" w:hAnsi="Arial" w:cs="Arial"/>
          <w:b/>
          <w:sz w:val="19"/>
          <w:szCs w:val="19"/>
          <w:lang w:val="es-MX"/>
        </w:rPr>
      </w:pPr>
    </w:p>
    <w:p w:rsidR="00630458" w:rsidRPr="000B3496" w:rsidRDefault="00741DF0" w:rsidP="00630458">
      <w:pPr>
        <w:pStyle w:val="Ttulo2"/>
        <w:ind w:right="-285"/>
        <w:jc w:val="center"/>
        <w:rPr>
          <w:rFonts w:cs="Arial"/>
          <w:b/>
          <w:sz w:val="19"/>
          <w:szCs w:val="19"/>
          <w:lang w:val="es-MX"/>
        </w:rPr>
      </w:pPr>
      <w:r w:rsidRPr="000B3496">
        <w:rPr>
          <w:rFonts w:cs="Arial"/>
          <w:b/>
          <w:sz w:val="19"/>
          <w:szCs w:val="19"/>
          <w:lang w:val="es-MX"/>
        </w:rPr>
        <w:t>TÍTULO SEGUNDO</w:t>
      </w:r>
    </w:p>
    <w:p w:rsidR="00630458" w:rsidRPr="00FD549C" w:rsidRDefault="00741DF0" w:rsidP="00630458">
      <w:pPr>
        <w:ind w:right="-285"/>
        <w:jc w:val="center"/>
        <w:rPr>
          <w:rFonts w:ascii="Arial" w:hAnsi="Arial" w:cs="Arial"/>
          <w:b/>
          <w:sz w:val="19"/>
          <w:szCs w:val="19"/>
          <w:lang w:val="es-MX"/>
        </w:rPr>
      </w:pPr>
      <w:r w:rsidRPr="00FD549C">
        <w:rPr>
          <w:rFonts w:ascii="Arial" w:hAnsi="Arial" w:cs="Arial"/>
          <w:b/>
          <w:sz w:val="19"/>
          <w:szCs w:val="19"/>
          <w:lang w:val="es-MX"/>
        </w:rPr>
        <w:t xml:space="preserve">DE </w:t>
      </w:r>
      <w:r>
        <w:rPr>
          <w:rFonts w:ascii="Arial" w:hAnsi="Arial" w:cs="Arial"/>
          <w:b/>
          <w:sz w:val="19"/>
          <w:szCs w:val="19"/>
          <w:lang w:val="es-MX"/>
        </w:rPr>
        <w:t>LOS INGRESOS</w:t>
      </w:r>
    </w:p>
    <w:p w:rsidR="00630458" w:rsidRDefault="00630458" w:rsidP="00630458">
      <w:pPr>
        <w:ind w:right="-285"/>
        <w:jc w:val="center"/>
        <w:rPr>
          <w:rFonts w:ascii="Arial" w:hAnsi="Arial" w:cs="Arial"/>
          <w:b/>
          <w:sz w:val="19"/>
          <w:szCs w:val="19"/>
          <w:lang w:val="es-MX"/>
        </w:rPr>
      </w:pPr>
    </w:p>
    <w:p w:rsidR="00630458" w:rsidRDefault="00630458" w:rsidP="003F542B">
      <w:pPr>
        <w:pStyle w:val="Textoindependiente"/>
        <w:jc w:val="both"/>
        <w:rPr>
          <w:rFonts w:cs="Arial"/>
          <w:b w:val="0"/>
          <w:color w:val="auto"/>
          <w:sz w:val="19"/>
          <w:szCs w:val="19"/>
          <w:lang w:val="es-MX"/>
        </w:rPr>
      </w:pPr>
      <w:r w:rsidRPr="003F542B">
        <w:rPr>
          <w:rFonts w:cs="Arial"/>
          <w:color w:val="auto"/>
          <w:sz w:val="19"/>
          <w:szCs w:val="19"/>
        </w:rPr>
        <w:t>Artículo 6.</w:t>
      </w:r>
      <w:r w:rsidR="00F56FB5">
        <w:rPr>
          <w:rFonts w:cs="Arial"/>
          <w:b w:val="0"/>
          <w:color w:val="auto"/>
          <w:sz w:val="19"/>
          <w:szCs w:val="19"/>
        </w:rPr>
        <w:t xml:space="preserve"> En el ejercicio fiscal 201</w:t>
      </w:r>
      <w:r w:rsidR="00F56FB5">
        <w:rPr>
          <w:rFonts w:cs="Arial"/>
          <w:b w:val="0"/>
          <w:color w:val="auto"/>
          <w:sz w:val="19"/>
          <w:szCs w:val="19"/>
          <w:lang w:val="es-MX"/>
        </w:rPr>
        <w:t>8</w:t>
      </w:r>
      <w:r w:rsidRPr="003F542B">
        <w:rPr>
          <w:rFonts w:cs="Arial"/>
          <w:b w:val="0"/>
          <w:color w:val="auto"/>
          <w:sz w:val="19"/>
          <w:szCs w:val="19"/>
        </w:rPr>
        <w:t>, el Estado percibirá los ingresos provenientes de los conceptos y en las cantidades estimadas que a continuación se enumeran:</w:t>
      </w:r>
    </w:p>
    <w:p w:rsidR="003F542B" w:rsidRDefault="003F542B" w:rsidP="003F542B">
      <w:pPr>
        <w:pStyle w:val="Textoindependiente"/>
        <w:jc w:val="both"/>
        <w:rPr>
          <w:rFonts w:cs="Arial"/>
          <w:b w:val="0"/>
          <w:color w:val="auto"/>
          <w:sz w:val="19"/>
          <w:szCs w:val="19"/>
          <w:lang w:val="es-MX"/>
        </w:rPr>
      </w:pPr>
    </w:p>
    <w:p w:rsidR="00EF520F" w:rsidRDefault="00EF520F" w:rsidP="003F542B">
      <w:pPr>
        <w:pStyle w:val="Textoindependiente"/>
        <w:jc w:val="both"/>
        <w:rPr>
          <w:rFonts w:cs="Arial"/>
          <w:b w:val="0"/>
          <w:color w:val="auto"/>
          <w:sz w:val="19"/>
          <w:szCs w:val="19"/>
          <w:lang w:val="es-MX"/>
        </w:rPr>
      </w:pPr>
    </w:p>
    <w:tbl>
      <w:tblPr>
        <w:tblW w:w="8662" w:type="dxa"/>
        <w:tblInd w:w="55" w:type="dxa"/>
        <w:tblCellMar>
          <w:left w:w="70" w:type="dxa"/>
          <w:right w:w="70" w:type="dxa"/>
        </w:tblCellMar>
        <w:tblLook w:val="04A0" w:firstRow="1" w:lastRow="0" w:firstColumn="1" w:lastColumn="0" w:noHBand="0" w:noVBand="1"/>
      </w:tblPr>
      <w:tblGrid>
        <w:gridCol w:w="146"/>
        <w:gridCol w:w="233"/>
        <w:gridCol w:w="272"/>
        <w:gridCol w:w="294"/>
        <w:gridCol w:w="4032"/>
        <w:gridCol w:w="3685"/>
      </w:tblGrid>
      <w:tr w:rsidR="00EF520F" w:rsidRPr="00EF520F" w:rsidTr="00EF520F">
        <w:trPr>
          <w:trHeight w:val="315"/>
        </w:trPr>
        <w:tc>
          <w:tcPr>
            <w:tcW w:w="4977" w:type="dxa"/>
            <w:gridSpan w:val="5"/>
            <w:tcBorders>
              <w:top w:val="nil"/>
              <w:left w:val="nil"/>
              <w:bottom w:val="nil"/>
              <w:right w:val="nil"/>
            </w:tcBorders>
            <w:shd w:val="clear" w:color="auto" w:fill="auto"/>
            <w:hideMark/>
          </w:tcPr>
          <w:p w:rsidR="00EF520F" w:rsidRPr="00EF520F" w:rsidRDefault="00EF520F" w:rsidP="00EF520F">
            <w:pPr>
              <w:jc w:val="center"/>
              <w:rPr>
                <w:rFonts w:ascii="Arial" w:hAnsi="Arial" w:cs="Arial"/>
                <w:b/>
                <w:bCs/>
                <w:sz w:val="19"/>
                <w:szCs w:val="19"/>
                <w:lang w:val="es-MX" w:eastAsia="es-MX"/>
              </w:rPr>
            </w:pPr>
            <w:r w:rsidRPr="00EF520F">
              <w:rPr>
                <w:rFonts w:ascii="Arial" w:hAnsi="Arial" w:cs="Arial"/>
                <w:b/>
                <w:bCs/>
                <w:sz w:val="19"/>
                <w:szCs w:val="19"/>
                <w:lang w:val="es-MX" w:eastAsia="es-MX"/>
              </w:rPr>
              <w:t>CONCEPTOS</w:t>
            </w:r>
          </w:p>
        </w:tc>
        <w:tc>
          <w:tcPr>
            <w:tcW w:w="3685" w:type="dxa"/>
            <w:tcBorders>
              <w:top w:val="nil"/>
              <w:left w:val="nil"/>
              <w:bottom w:val="nil"/>
              <w:right w:val="nil"/>
            </w:tcBorders>
            <w:shd w:val="clear" w:color="auto" w:fill="auto"/>
            <w:hideMark/>
          </w:tcPr>
          <w:p w:rsidR="00EF520F" w:rsidRPr="00EF520F" w:rsidRDefault="00EF520F" w:rsidP="00EF520F">
            <w:pPr>
              <w:jc w:val="center"/>
              <w:rPr>
                <w:rFonts w:ascii="Arial" w:hAnsi="Arial" w:cs="Arial"/>
                <w:b/>
                <w:bCs/>
                <w:sz w:val="19"/>
                <w:szCs w:val="19"/>
                <w:lang w:val="es-MX" w:eastAsia="es-MX"/>
              </w:rPr>
            </w:pPr>
            <w:r w:rsidRPr="00EF520F">
              <w:rPr>
                <w:rFonts w:ascii="Arial" w:hAnsi="Arial" w:cs="Arial"/>
                <w:b/>
                <w:bCs/>
                <w:sz w:val="19"/>
                <w:szCs w:val="19"/>
                <w:lang w:val="es-MX" w:eastAsia="es-MX"/>
              </w:rPr>
              <w:t xml:space="preserve">                                    PESOS</w:t>
            </w:r>
          </w:p>
        </w:tc>
      </w:tr>
      <w:tr w:rsidR="00EF520F" w:rsidRPr="00EF520F" w:rsidTr="00EF520F">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DE GESTIÓN</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3,605</w:t>
            </w:r>
            <w:r>
              <w:rPr>
                <w:rFonts w:ascii="Arial" w:hAnsi="Arial" w:cs="Arial"/>
                <w:b/>
                <w:bCs/>
                <w:color w:val="000000"/>
                <w:sz w:val="19"/>
                <w:szCs w:val="19"/>
                <w:lang w:val="es-MX" w:eastAsia="es-MX"/>
              </w:rPr>
              <w:t>’</w:t>
            </w:r>
            <w:r w:rsidRPr="00EF520F">
              <w:rPr>
                <w:rFonts w:ascii="Arial" w:hAnsi="Arial" w:cs="Arial"/>
                <w:b/>
                <w:bCs/>
                <w:color w:val="000000"/>
                <w:sz w:val="19"/>
                <w:szCs w:val="19"/>
                <w:lang w:val="es-MX" w:eastAsia="es-MX"/>
              </w:rPr>
              <w:t>457,186.00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1,176’</w:t>
            </w:r>
            <w:r w:rsidRPr="00EF520F">
              <w:rPr>
                <w:rFonts w:ascii="Arial" w:hAnsi="Arial" w:cs="Arial"/>
                <w:b/>
                <w:bCs/>
                <w:color w:val="000000"/>
                <w:sz w:val="19"/>
                <w:szCs w:val="19"/>
                <w:lang w:val="es-MX" w:eastAsia="es-MX"/>
              </w:rPr>
              <w:t>741,858.00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 SOBRE LOS INGRESOS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35’</w:t>
            </w:r>
            <w:r w:rsidRPr="00EF520F">
              <w:rPr>
                <w:rFonts w:ascii="Arial" w:hAnsi="Arial" w:cs="Arial"/>
                <w:b/>
                <w:bCs/>
                <w:color w:val="000000"/>
                <w:sz w:val="19"/>
                <w:szCs w:val="19"/>
                <w:lang w:val="es-MX" w:eastAsia="es-MX"/>
              </w:rPr>
              <w:t>066,805.00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Rifas, Loterías, Sorteos y Concursos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Pr="00EF520F">
              <w:rPr>
                <w:rFonts w:ascii="Arial" w:hAnsi="Arial" w:cs="Arial"/>
                <w:color w:val="000000"/>
                <w:sz w:val="19"/>
                <w:szCs w:val="19"/>
                <w:lang w:val="es-MX" w:eastAsia="es-MX"/>
              </w:rPr>
              <w:t>503,872.00</w:t>
            </w:r>
          </w:p>
        </w:tc>
      </w:tr>
      <w:tr w:rsidR="00EF520F" w:rsidRPr="00EF520F" w:rsidTr="00647C6E">
        <w:trPr>
          <w:trHeight w:val="42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Diversiones y Espectáculos Públicos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Pr="00EF520F">
              <w:rPr>
                <w:rFonts w:ascii="Arial" w:hAnsi="Arial" w:cs="Arial"/>
                <w:color w:val="000000"/>
                <w:sz w:val="19"/>
                <w:szCs w:val="19"/>
                <w:lang w:val="es-MX" w:eastAsia="es-MX"/>
              </w:rPr>
              <w:t>116,616.00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Cedular a los Ingresos por el Otorgamiento del Uso o Goce Temporal de Bienes Inmuebles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29’</w:t>
            </w:r>
            <w:r w:rsidRPr="00EF520F">
              <w:rPr>
                <w:rFonts w:ascii="Arial" w:hAnsi="Arial" w:cs="Arial"/>
                <w:color w:val="000000"/>
                <w:sz w:val="19"/>
                <w:szCs w:val="19"/>
                <w:lang w:val="es-MX" w:eastAsia="es-MX"/>
              </w:rPr>
              <w:t>170,510.00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las Demasías Caducas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275,807.00</w:t>
            </w:r>
          </w:p>
        </w:tc>
      </w:tr>
      <w:tr w:rsidR="00EF520F" w:rsidRPr="00EF520F" w:rsidTr="00647C6E">
        <w:trPr>
          <w:trHeight w:val="27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 SOBRE EL PATRIMONIO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15’</w:t>
            </w:r>
            <w:r w:rsidRPr="00EF520F">
              <w:rPr>
                <w:rFonts w:ascii="Arial" w:hAnsi="Arial" w:cs="Arial"/>
                <w:b/>
                <w:bCs/>
                <w:color w:val="000000"/>
                <w:sz w:val="19"/>
                <w:szCs w:val="19"/>
                <w:lang w:val="es-MX" w:eastAsia="es-MX"/>
              </w:rPr>
              <w:t>137,518.00</w:t>
            </w:r>
          </w:p>
        </w:tc>
      </w:tr>
      <w:tr w:rsidR="00EF520F" w:rsidRPr="00EF520F" w:rsidTr="00647C6E">
        <w:trPr>
          <w:trHeight w:val="39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Tenencia o Uso de Vehículos</w:t>
            </w:r>
          </w:p>
        </w:tc>
        <w:tc>
          <w:tcPr>
            <w:tcW w:w="3685" w:type="dxa"/>
            <w:tcBorders>
              <w:top w:val="nil"/>
              <w:left w:val="nil"/>
              <w:bottom w:val="nil"/>
              <w:right w:val="nil"/>
            </w:tcBorders>
            <w:shd w:val="clear" w:color="auto" w:fill="auto"/>
            <w:noWrap/>
            <w:hideMark/>
          </w:tcPr>
          <w:p w:rsidR="00EF520F" w:rsidRPr="00EF520F" w:rsidRDefault="0011227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15’</w:t>
            </w:r>
            <w:r w:rsidR="00EF520F" w:rsidRPr="00EF520F">
              <w:rPr>
                <w:rFonts w:ascii="Arial" w:hAnsi="Arial" w:cs="Arial"/>
                <w:color w:val="000000"/>
                <w:sz w:val="19"/>
                <w:szCs w:val="19"/>
                <w:lang w:val="es-MX" w:eastAsia="es-MX"/>
              </w:rPr>
              <w:t>137,518.00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 SOBRE LA PRODUCCIÓN, EL COMERCIO, EL CONSUMO Y LAS TRANSACCIONES</w:t>
            </w:r>
          </w:p>
          <w:p w:rsidR="00647C6E" w:rsidRPr="00647C6E" w:rsidRDefault="00647C6E" w:rsidP="00EF520F">
            <w:pPr>
              <w:jc w:val="both"/>
              <w:rPr>
                <w:rFonts w:ascii="Arial" w:hAnsi="Arial" w:cs="Arial"/>
                <w:b/>
                <w:bCs/>
                <w:color w:val="000000"/>
                <w:sz w:val="14"/>
                <w:szCs w:val="19"/>
                <w:lang w:val="es-MX" w:eastAsia="es-MX"/>
              </w:rPr>
            </w:pPr>
          </w:p>
        </w:tc>
        <w:tc>
          <w:tcPr>
            <w:tcW w:w="3685" w:type="dxa"/>
            <w:tcBorders>
              <w:top w:val="nil"/>
              <w:left w:val="nil"/>
              <w:bottom w:val="nil"/>
              <w:right w:val="nil"/>
            </w:tcBorders>
            <w:shd w:val="clear" w:color="auto" w:fill="auto"/>
            <w:noWrap/>
            <w:hideMark/>
          </w:tcPr>
          <w:p w:rsidR="00EF520F" w:rsidRPr="00EF520F" w:rsidRDefault="00112275"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42’</w:t>
            </w:r>
            <w:r w:rsidR="00EF520F" w:rsidRPr="00EF520F">
              <w:rPr>
                <w:rFonts w:ascii="Arial" w:hAnsi="Arial" w:cs="Arial"/>
                <w:b/>
                <w:bCs/>
                <w:color w:val="000000"/>
                <w:sz w:val="19"/>
                <w:szCs w:val="19"/>
                <w:lang w:val="es-MX" w:eastAsia="es-MX"/>
              </w:rPr>
              <w:t>227,134.00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Adquisición de Vehículos de Motor Usados</w:t>
            </w:r>
          </w:p>
        </w:tc>
        <w:tc>
          <w:tcPr>
            <w:tcW w:w="3685" w:type="dxa"/>
            <w:tcBorders>
              <w:top w:val="nil"/>
              <w:left w:val="nil"/>
              <w:bottom w:val="nil"/>
              <w:right w:val="nil"/>
            </w:tcBorders>
            <w:shd w:val="clear" w:color="auto" w:fill="auto"/>
            <w:noWrap/>
            <w:hideMark/>
          </w:tcPr>
          <w:p w:rsidR="00EF520F" w:rsidRPr="00EF520F" w:rsidRDefault="0011227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00EF520F" w:rsidRPr="00EF520F">
              <w:rPr>
                <w:rFonts w:ascii="Arial" w:hAnsi="Arial" w:cs="Arial"/>
                <w:color w:val="000000"/>
                <w:sz w:val="19"/>
                <w:szCs w:val="19"/>
                <w:lang w:val="es-MX" w:eastAsia="es-MX"/>
              </w:rPr>
              <w:t>511,563.00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Prestación de Servicios de Hospedaje</w:t>
            </w:r>
          </w:p>
        </w:tc>
        <w:tc>
          <w:tcPr>
            <w:tcW w:w="3685" w:type="dxa"/>
            <w:tcBorders>
              <w:top w:val="nil"/>
              <w:left w:val="nil"/>
              <w:bottom w:val="nil"/>
              <w:right w:val="nil"/>
            </w:tcBorders>
            <w:shd w:val="clear" w:color="auto" w:fill="auto"/>
            <w:noWrap/>
            <w:hideMark/>
          </w:tcPr>
          <w:p w:rsidR="00EF520F" w:rsidRPr="00EF520F" w:rsidRDefault="0011227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38’</w:t>
            </w:r>
            <w:r w:rsidR="00EF520F" w:rsidRPr="00EF520F">
              <w:rPr>
                <w:rFonts w:ascii="Arial" w:hAnsi="Arial" w:cs="Arial"/>
                <w:color w:val="000000"/>
                <w:sz w:val="19"/>
                <w:szCs w:val="19"/>
                <w:lang w:val="es-MX" w:eastAsia="es-MX"/>
              </w:rPr>
              <w:t>715,571.00</w:t>
            </w:r>
          </w:p>
        </w:tc>
      </w:tr>
      <w:tr w:rsidR="00EF520F" w:rsidRPr="00EF520F" w:rsidTr="00647C6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 SOBRE NÓMINAS O ASIMILABLES</w:t>
            </w:r>
          </w:p>
        </w:tc>
        <w:tc>
          <w:tcPr>
            <w:tcW w:w="3685" w:type="dxa"/>
            <w:tcBorders>
              <w:top w:val="nil"/>
              <w:left w:val="nil"/>
              <w:bottom w:val="nil"/>
              <w:right w:val="nil"/>
            </w:tcBorders>
            <w:shd w:val="clear" w:color="auto" w:fill="auto"/>
            <w:noWrap/>
            <w:hideMark/>
          </w:tcPr>
          <w:p w:rsidR="00EF520F" w:rsidRPr="00EF520F" w:rsidRDefault="00112275"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920’</w:t>
            </w:r>
            <w:r w:rsidR="00EF520F" w:rsidRPr="00EF520F">
              <w:rPr>
                <w:rFonts w:ascii="Arial" w:hAnsi="Arial" w:cs="Arial"/>
                <w:b/>
                <w:bCs/>
                <w:color w:val="000000"/>
                <w:sz w:val="19"/>
                <w:szCs w:val="19"/>
                <w:lang w:val="es-MX" w:eastAsia="es-MX"/>
              </w:rPr>
              <w:t>647,672.00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Sobre Erogaciones por Remuneraciones al Trabajo Personal</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920’</w:t>
            </w:r>
            <w:r w:rsidR="00EF520F" w:rsidRPr="00EF520F">
              <w:rPr>
                <w:rFonts w:ascii="Arial" w:hAnsi="Arial" w:cs="Arial"/>
                <w:color w:val="000000"/>
                <w:sz w:val="19"/>
                <w:szCs w:val="19"/>
                <w:lang w:val="es-MX" w:eastAsia="es-MX"/>
              </w:rPr>
              <w:t>647,672.00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ACCESORIOS</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w:t>
            </w:r>
            <w:r w:rsidR="00EF520F" w:rsidRPr="00EF520F">
              <w:rPr>
                <w:rFonts w:ascii="Arial" w:hAnsi="Arial" w:cs="Arial"/>
                <w:b/>
                <w:bCs/>
                <w:color w:val="000000"/>
                <w:sz w:val="19"/>
                <w:szCs w:val="19"/>
                <w:lang w:val="es-MX" w:eastAsia="es-MX"/>
              </w:rPr>
              <w:t>102,992.00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IMPUESTOS</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154’</w:t>
            </w:r>
            <w:r w:rsidR="00EF520F" w:rsidRPr="00EF520F">
              <w:rPr>
                <w:rFonts w:ascii="Arial" w:hAnsi="Arial" w:cs="Arial"/>
                <w:b/>
                <w:bCs/>
                <w:color w:val="000000"/>
                <w:sz w:val="19"/>
                <w:szCs w:val="19"/>
                <w:lang w:val="es-MX" w:eastAsia="es-MX"/>
              </w:rPr>
              <w:t>559,737.00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para el Desarrollo Social</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154’</w:t>
            </w:r>
            <w:r w:rsidR="00EF520F" w:rsidRPr="00EF520F">
              <w:rPr>
                <w:rFonts w:ascii="Arial" w:hAnsi="Arial" w:cs="Arial"/>
                <w:color w:val="000000"/>
                <w:sz w:val="19"/>
                <w:szCs w:val="19"/>
                <w:lang w:val="es-MX" w:eastAsia="es-MX"/>
              </w:rPr>
              <w:t>559,737.00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CONTRIBUCIONES DE MEJORAS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Contribución de Mejoras por Obra Pública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1,461’</w:t>
            </w:r>
            <w:r w:rsidR="00EF520F" w:rsidRPr="00EF520F">
              <w:rPr>
                <w:rFonts w:ascii="Arial" w:hAnsi="Arial" w:cs="Arial"/>
                <w:b/>
                <w:bCs/>
                <w:color w:val="000000"/>
                <w:sz w:val="19"/>
                <w:szCs w:val="19"/>
                <w:lang w:val="es-MX" w:eastAsia="es-MX"/>
              </w:rPr>
              <w:t>228,076.00</w:t>
            </w:r>
          </w:p>
        </w:tc>
      </w:tr>
      <w:tr w:rsidR="00EF520F" w:rsidRPr="00EF520F" w:rsidTr="00647C6E">
        <w:trPr>
          <w:trHeight w:val="78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 POR EL USO, GOCE, APROVECHAMIENTO O EXPLOTACIÓN DE BIENES DE DOMINIO PÚBLICO</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14’</w:t>
            </w:r>
            <w:r w:rsidR="00EF520F" w:rsidRPr="00EF520F">
              <w:rPr>
                <w:rFonts w:ascii="Arial" w:hAnsi="Arial" w:cs="Arial"/>
                <w:b/>
                <w:bCs/>
                <w:color w:val="000000"/>
                <w:sz w:val="19"/>
                <w:szCs w:val="19"/>
                <w:lang w:val="es-MX" w:eastAsia="es-MX"/>
              </w:rPr>
              <w:t>741,681.00</w:t>
            </w:r>
          </w:p>
        </w:tc>
      </w:tr>
      <w:tr w:rsidR="00EF520F" w:rsidRPr="00EF520F" w:rsidTr="00EF520F">
        <w:trPr>
          <w:trHeight w:val="4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F520F" w:rsidRDefault="00647C6E"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w:t>
            </w:r>
            <w:r w:rsidR="00EF520F" w:rsidRPr="00EF520F">
              <w:rPr>
                <w:rFonts w:ascii="Arial" w:hAnsi="Arial" w:cs="Arial"/>
                <w:b/>
                <w:bCs/>
                <w:color w:val="000000"/>
                <w:sz w:val="19"/>
                <w:szCs w:val="19"/>
                <w:lang w:val="es-MX" w:eastAsia="es-MX"/>
              </w:rPr>
              <w:t>199,160.00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Museos</w:t>
            </w:r>
          </w:p>
        </w:tc>
        <w:tc>
          <w:tcPr>
            <w:tcW w:w="3685" w:type="dxa"/>
            <w:tcBorders>
              <w:top w:val="nil"/>
              <w:left w:val="nil"/>
              <w:bottom w:val="nil"/>
              <w:right w:val="nil"/>
            </w:tcBorders>
            <w:shd w:val="clear" w:color="auto" w:fill="auto"/>
            <w:noWrap/>
            <w:hideMark/>
          </w:tcPr>
          <w:p w:rsidR="00EF520F" w:rsidRPr="00EF520F" w:rsidRDefault="0077697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037,511.00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Teatros</w:t>
            </w:r>
          </w:p>
        </w:tc>
        <w:tc>
          <w:tcPr>
            <w:tcW w:w="3685" w:type="dxa"/>
            <w:tcBorders>
              <w:top w:val="nil"/>
              <w:left w:val="nil"/>
              <w:bottom w:val="nil"/>
              <w:right w:val="nil"/>
            </w:tcBorders>
            <w:shd w:val="clear" w:color="auto" w:fill="auto"/>
            <w:noWrap/>
            <w:hideMark/>
          </w:tcPr>
          <w:p w:rsidR="00EF520F" w:rsidRPr="00EF520F" w:rsidRDefault="0077697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00EF520F" w:rsidRPr="00EF520F">
              <w:rPr>
                <w:rFonts w:ascii="Arial" w:hAnsi="Arial" w:cs="Arial"/>
                <w:color w:val="000000"/>
                <w:sz w:val="19"/>
                <w:szCs w:val="19"/>
                <w:lang w:val="es-MX" w:eastAsia="es-MX"/>
              </w:rPr>
              <w:t>159,229.00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Casa de la Cultura Oaxaqueña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2,420.00</w:t>
            </w:r>
          </w:p>
        </w:tc>
      </w:tr>
      <w:tr w:rsidR="00EF520F" w:rsidRPr="00EF520F" w:rsidTr="00EF520F">
        <w:trPr>
          <w:trHeight w:val="43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hideMark/>
          </w:tcPr>
          <w:p w:rsidR="00EF520F" w:rsidRPr="00EF520F" w:rsidRDefault="00776971"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6’</w:t>
            </w:r>
            <w:r w:rsidR="00EF520F" w:rsidRPr="00EF520F">
              <w:rPr>
                <w:rFonts w:ascii="Arial" w:hAnsi="Arial" w:cs="Arial"/>
                <w:b/>
                <w:bCs/>
                <w:color w:val="000000"/>
                <w:sz w:val="19"/>
                <w:szCs w:val="19"/>
                <w:lang w:val="es-MX" w:eastAsia="es-MX"/>
              </w:rPr>
              <w:t>922,494.00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Complejos y Edificios Públicos</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00EF520F" w:rsidRPr="00EF520F">
              <w:rPr>
                <w:rFonts w:ascii="Arial" w:hAnsi="Arial" w:cs="Arial"/>
                <w:color w:val="000000"/>
                <w:sz w:val="19"/>
                <w:szCs w:val="19"/>
                <w:lang w:val="es-MX" w:eastAsia="es-MX"/>
              </w:rPr>
              <w:t>748,932.00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Centro de Recreación y Acondicionamiento Deportivo Venustiano Carranza (CRAC)</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Planetario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194,800.00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Jardín </w:t>
            </w:r>
            <w:proofErr w:type="spellStart"/>
            <w:r w:rsidRPr="00EF520F">
              <w:rPr>
                <w:rFonts w:ascii="Arial" w:hAnsi="Arial" w:cs="Arial"/>
                <w:color w:val="000000"/>
                <w:sz w:val="19"/>
                <w:szCs w:val="19"/>
                <w:lang w:val="es-MX" w:eastAsia="es-MX"/>
              </w:rPr>
              <w:t>Etnobotánico</w:t>
            </w:r>
            <w:proofErr w:type="spellEnd"/>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00EF520F" w:rsidRPr="00EF520F">
              <w:rPr>
                <w:rFonts w:ascii="Arial" w:hAnsi="Arial" w:cs="Arial"/>
                <w:color w:val="000000"/>
                <w:sz w:val="19"/>
                <w:szCs w:val="19"/>
                <w:lang w:val="es-MX" w:eastAsia="es-MX"/>
              </w:rPr>
              <w:t>978,762.00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EF520F" w:rsidRPr="00EF520F">
              <w:rPr>
                <w:rFonts w:ascii="Arial" w:hAnsi="Arial" w:cs="Arial"/>
                <w:b/>
                <w:bCs/>
                <w:color w:val="000000"/>
                <w:sz w:val="19"/>
                <w:szCs w:val="19"/>
                <w:lang w:val="es-MX" w:eastAsia="es-MX"/>
              </w:rPr>
              <w:t>620,027.00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Auditorio </w:t>
            </w:r>
            <w:proofErr w:type="spellStart"/>
            <w:r w:rsidRPr="00EF520F">
              <w:rPr>
                <w:rFonts w:ascii="Arial" w:hAnsi="Arial" w:cs="Arial"/>
                <w:color w:val="000000"/>
                <w:sz w:val="19"/>
                <w:szCs w:val="19"/>
                <w:lang w:val="es-MX" w:eastAsia="es-MX"/>
              </w:rPr>
              <w:t>Guelaguetza</w:t>
            </w:r>
            <w:proofErr w:type="spellEnd"/>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620,027.00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Economía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w:t>
            </w:r>
            <w:r w:rsidR="00EF520F" w:rsidRPr="00EF520F">
              <w:rPr>
                <w:rFonts w:ascii="Arial" w:hAnsi="Arial" w:cs="Arial"/>
                <w:b/>
                <w:bCs/>
                <w:color w:val="000000"/>
                <w:sz w:val="19"/>
                <w:szCs w:val="19"/>
                <w:lang w:val="es-MX" w:eastAsia="es-MX"/>
              </w:rPr>
              <w:t>000,000.00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Secretaría de Economía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00EF520F" w:rsidRPr="00EF520F">
              <w:rPr>
                <w:rFonts w:ascii="Arial" w:hAnsi="Arial" w:cs="Arial"/>
                <w:color w:val="000000"/>
                <w:sz w:val="19"/>
                <w:szCs w:val="19"/>
                <w:lang w:val="es-MX" w:eastAsia="es-MX"/>
              </w:rPr>
              <w:t>000,000.00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xml:space="preserve">DERECHOS POR PRESTACIÓN DE SERVICIOS </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1,311’</w:t>
            </w:r>
            <w:r w:rsidR="00EF520F" w:rsidRPr="00EF520F">
              <w:rPr>
                <w:rFonts w:ascii="Arial" w:hAnsi="Arial" w:cs="Arial"/>
                <w:b/>
                <w:bCs/>
                <w:color w:val="000000"/>
                <w:sz w:val="19"/>
                <w:szCs w:val="19"/>
                <w:lang w:val="es-MX" w:eastAsia="es-MX"/>
              </w:rPr>
              <w:t>363,886.00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Administración Pública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21’</w:t>
            </w:r>
            <w:r w:rsidR="00EF520F" w:rsidRPr="00EF520F">
              <w:rPr>
                <w:rFonts w:ascii="Arial" w:hAnsi="Arial" w:cs="Arial"/>
                <w:b/>
                <w:bCs/>
                <w:color w:val="000000"/>
                <w:sz w:val="19"/>
                <w:szCs w:val="19"/>
                <w:lang w:val="es-MX" w:eastAsia="es-MX"/>
              </w:rPr>
              <w:t>130,027.00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Comunes</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21’</w:t>
            </w:r>
            <w:r w:rsidR="00EF520F" w:rsidRPr="00EF520F">
              <w:rPr>
                <w:rFonts w:ascii="Arial" w:hAnsi="Arial" w:cs="Arial"/>
                <w:color w:val="000000"/>
                <w:sz w:val="19"/>
                <w:szCs w:val="19"/>
                <w:lang w:val="es-MX" w:eastAsia="es-MX"/>
              </w:rPr>
              <w:t>130,027.00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General de Gobierno</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w:t>
            </w:r>
            <w:r w:rsidR="00EF520F" w:rsidRPr="00EF520F">
              <w:rPr>
                <w:rFonts w:ascii="Arial" w:hAnsi="Arial" w:cs="Arial"/>
                <w:b/>
                <w:bCs/>
                <w:color w:val="000000"/>
                <w:sz w:val="19"/>
                <w:szCs w:val="19"/>
                <w:lang w:val="es-MX" w:eastAsia="es-MX"/>
              </w:rPr>
              <w:t>452,893.00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Protección Civil</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00EF520F" w:rsidRPr="00EF520F">
              <w:rPr>
                <w:rFonts w:ascii="Arial" w:hAnsi="Arial" w:cs="Arial"/>
                <w:color w:val="000000"/>
                <w:sz w:val="19"/>
                <w:szCs w:val="19"/>
                <w:lang w:val="es-MX" w:eastAsia="es-MX"/>
              </w:rPr>
              <w:t>452,893.00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Seguridad Pública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286’</w:t>
            </w:r>
            <w:r w:rsidR="00EF520F" w:rsidRPr="00EF520F">
              <w:rPr>
                <w:rFonts w:ascii="Arial" w:hAnsi="Arial" w:cs="Arial"/>
                <w:b/>
                <w:bCs/>
                <w:color w:val="000000"/>
                <w:sz w:val="19"/>
                <w:szCs w:val="19"/>
                <w:lang w:val="es-MX" w:eastAsia="es-MX"/>
              </w:rPr>
              <w:t>604,842.00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Seguridad Pública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w:t>
            </w:r>
            <w:r w:rsidR="00EF520F" w:rsidRPr="00EF520F">
              <w:rPr>
                <w:rFonts w:ascii="Arial" w:hAnsi="Arial" w:cs="Arial"/>
                <w:color w:val="000000"/>
                <w:sz w:val="19"/>
                <w:szCs w:val="19"/>
                <w:lang w:val="es-MX" w:eastAsia="es-MX"/>
              </w:rPr>
              <w:t>499,116.00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de Confianza</w:t>
            </w:r>
          </w:p>
        </w:tc>
        <w:tc>
          <w:tcPr>
            <w:tcW w:w="3685" w:type="dxa"/>
            <w:tcBorders>
              <w:top w:val="nil"/>
              <w:left w:val="nil"/>
              <w:bottom w:val="nil"/>
              <w:right w:val="nil"/>
            </w:tcBorders>
            <w:shd w:val="clear" w:color="auto" w:fill="auto"/>
            <w:noWrap/>
            <w:hideMark/>
          </w:tcPr>
          <w:p w:rsidR="00EF520F" w:rsidRPr="00EF520F" w:rsidRDefault="009363D0"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8’</w:t>
            </w:r>
            <w:r w:rsidR="00EF520F" w:rsidRPr="00EF520F">
              <w:rPr>
                <w:rFonts w:ascii="Arial" w:hAnsi="Arial" w:cs="Arial"/>
                <w:color w:val="000000"/>
                <w:sz w:val="19"/>
                <w:szCs w:val="19"/>
                <w:lang w:val="es-MX" w:eastAsia="es-MX"/>
              </w:rPr>
              <w:t>136,576.00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Vialidad</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927,530.00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Seguridad y Vigilancia</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271’</w:t>
            </w:r>
            <w:r w:rsidR="00EF520F" w:rsidRPr="00EF520F">
              <w:rPr>
                <w:rFonts w:ascii="Arial" w:hAnsi="Arial" w:cs="Arial"/>
                <w:color w:val="000000"/>
                <w:sz w:val="19"/>
                <w:szCs w:val="19"/>
                <w:lang w:val="es-MX" w:eastAsia="es-MX"/>
              </w:rPr>
              <w:t>041,620.00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Salud</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EF520F" w:rsidRPr="00EF520F">
              <w:rPr>
                <w:rFonts w:ascii="Arial" w:hAnsi="Arial" w:cs="Arial"/>
                <w:b/>
                <w:bCs/>
                <w:color w:val="000000"/>
                <w:sz w:val="19"/>
                <w:szCs w:val="19"/>
                <w:lang w:val="es-MX" w:eastAsia="es-MX"/>
              </w:rPr>
              <w:t>541,640.00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Atención en Salud</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Vigilancia y Control Sanitario</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541,640.00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Infraestructuras y el Ordenamiento Territorial Sustentable</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203’</w:t>
            </w:r>
            <w:r w:rsidR="00EF520F" w:rsidRPr="00EF520F">
              <w:rPr>
                <w:rFonts w:ascii="Arial" w:hAnsi="Arial" w:cs="Arial"/>
                <w:b/>
                <w:bCs/>
                <w:color w:val="000000"/>
                <w:sz w:val="19"/>
                <w:szCs w:val="19"/>
                <w:lang w:val="es-MX" w:eastAsia="es-MX"/>
              </w:rPr>
              <w:t>547,878.00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Relacionados con Obra Pública</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00EF520F" w:rsidRPr="00EF520F">
              <w:rPr>
                <w:rFonts w:ascii="Arial" w:hAnsi="Arial" w:cs="Arial"/>
                <w:color w:val="000000"/>
                <w:sz w:val="19"/>
                <w:szCs w:val="19"/>
                <w:lang w:val="es-MX" w:eastAsia="es-MX"/>
              </w:rPr>
              <w:t>213,200.00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Agua, Alcantarillado y Drenaje</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175’</w:t>
            </w:r>
            <w:r w:rsidR="00EF520F" w:rsidRPr="00EF520F">
              <w:rPr>
                <w:rFonts w:ascii="Arial" w:hAnsi="Arial" w:cs="Arial"/>
                <w:color w:val="000000"/>
                <w:sz w:val="19"/>
                <w:szCs w:val="19"/>
                <w:lang w:val="es-MX" w:eastAsia="es-MX"/>
              </w:rPr>
              <w:t>274,761.00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Regularización de la Tenencia de la Tierra urbana</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25’</w:t>
            </w:r>
            <w:r w:rsidR="00EF520F" w:rsidRPr="00EF520F">
              <w:rPr>
                <w:rFonts w:ascii="Arial" w:hAnsi="Arial" w:cs="Arial"/>
                <w:color w:val="000000"/>
                <w:sz w:val="19"/>
                <w:szCs w:val="19"/>
                <w:lang w:val="es-MX" w:eastAsia="es-MX"/>
              </w:rPr>
              <w:t>059,917.00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Vialidad y Transporte</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377’</w:t>
            </w:r>
            <w:r w:rsidR="00EF520F" w:rsidRPr="00EF520F">
              <w:rPr>
                <w:rFonts w:ascii="Arial" w:hAnsi="Arial" w:cs="Arial"/>
                <w:b/>
                <w:bCs/>
                <w:color w:val="000000"/>
                <w:sz w:val="19"/>
                <w:szCs w:val="19"/>
                <w:lang w:val="es-MX" w:eastAsia="es-MX"/>
              </w:rPr>
              <w:t>584,919.00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Transporte Público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500,770.00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vehicular</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377’</w:t>
            </w:r>
            <w:r w:rsidR="00EF520F" w:rsidRPr="00EF520F">
              <w:rPr>
                <w:rFonts w:ascii="Arial" w:hAnsi="Arial" w:cs="Arial"/>
                <w:color w:val="000000"/>
                <w:sz w:val="19"/>
                <w:szCs w:val="19"/>
                <w:lang w:val="es-MX" w:eastAsia="es-MX"/>
              </w:rPr>
              <w:t>084,149.00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F520F" w:rsidRDefault="00CC7151"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4’</w:t>
            </w:r>
            <w:r w:rsidR="00EF520F" w:rsidRPr="00EF520F">
              <w:rPr>
                <w:rFonts w:ascii="Arial" w:hAnsi="Arial" w:cs="Arial"/>
                <w:b/>
                <w:bCs/>
                <w:color w:val="000000"/>
                <w:sz w:val="19"/>
                <w:szCs w:val="19"/>
                <w:lang w:val="es-MX" w:eastAsia="es-MX"/>
              </w:rPr>
              <w:t>069,066.00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Cursos y Talleres Culturales</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w:t>
            </w:r>
            <w:r w:rsidR="00EF520F" w:rsidRPr="00EF520F">
              <w:rPr>
                <w:rFonts w:ascii="Arial" w:hAnsi="Arial" w:cs="Arial"/>
                <w:color w:val="000000"/>
                <w:sz w:val="19"/>
                <w:szCs w:val="19"/>
                <w:lang w:val="es-MX" w:eastAsia="es-MX"/>
              </w:rPr>
              <w:t>069,066.00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Social y Humano</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27’</w:t>
            </w:r>
            <w:r w:rsidR="00EF520F" w:rsidRPr="00EF520F">
              <w:rPr>
                <w:rFonts w:ascii="Arial" w:hAnsi="Arial" w:cs="Arial"/>
                <w:b/>
                <w:bCs/>
                <w:color w:val="000000"/>
                <w:sz w:val="19"/>
                <w:szCs w:val="19"/>
                <w:lang w:val="es-MX" w:eastAsia="es-MX"/>
              </w:rPr>
              <w:t>350,335.00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Atención Social </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27’</w:t>
            </w:r>
            <w:r w:rsidR="00EF520F" w:rsidRPr="00EF520F">
              <w:rPr>
                <w:rFonts w:ascii="Arial" w:hAnsi="Arial" w:cs="Arial"/>
                <w:color w:val="000000"/>
                <w:sz w:val="19"/>
                <w:szCs w:val="19"/>
                <w:lang w:val="es-MX" w:eastAsia="es-MX"/>
              </w:rPr>
              <w:t>350,335.00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Agropecuario, Forestal, Pesca y Acuacultura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376,344.00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Zoosanitario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376,344.00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Finanzas</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76’</w:t>
            </w:r>
            <w:r w:rsidR="00EF520F" w:rsidRPr="00EF520F">
              <w:rPr>
                <w:rFonts w:ascii="Arial" w:hAnsi="Arial" w:cs="Arial"/>
                <w:b/>
                <w:bCs/>
                <w:color w:val="000000"/>
                <w:sz w:val="19"/>
                <w:szCs w:val="19"/>
                <w:lang w:val="es-MX" w:eastAsia="es-MX"/>
              </w:rPr>
              <w:t>360,563.00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Fiscales</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139,728.00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Catastrales</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75’</w:t>
            </w:r>
            <w:r w:rsidR="00EF520F" w:rsidRPr="00EF520F">
              <w:rPr>
                <w:rFonts w:ascii="Arial" w:hAnsi="Arial" w:cs="Arial"/>
                <w:color w:val="000000"/>
                <w:sz w:val="19"/>
                <w:szCs w:val="19"/>
                <w:lang w:val="es-MX" w:eastAsia="es-MX"/>
              </w:rPr>
              <w:t>220,835.00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815,586.00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y Permisos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778,644.00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Archivísticos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36,942.00</w:t>
            </w:r>
          </w:p>
        </w:tc>
      </w:tr>
      <w:tr w:rsidR="00EF520F" w:rsidRPr="00EF520F" w:rsidTr="00EF520F">
        <w:trPr>
          <w:trHeight w:val="491"/>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 Contraloría y Transparencia Gubernamental</w:t>
            </w:r>
          </w:p>
        </w:tc>
        <w:tc>
          <w:tcPr>
            <w:tcW w:w="3685" w:type="dxa"/>
            <w:tcBorders>
              <w:top w:val="nil"/>
              <w:left w:val="nil"/>
              <w:bottom w:val="nil"/>
              <w:right w:val="nil"/>
            </w:tcBorders>
            <w:shd w:val="clear" w:color="auto" w:fill="auto"/>
            <w:noWrap/>
            <w:hideMark/>
          </w:tcPr>
          <w:p w:rsidR="00EF520F" w:rsidRPr="00EF520F" w:rsidRDefault="00185E35"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EF520F" w:rsidRPr="00EF520F">
              <w:rPr>
                <w:rFonts w:ascii="Arial" w:hAnsi="Arial" w:cs="Arial"/>
                <w:b/>
                <w:bCs/>
                <w:color w:val="000000"/>
                <w:sz w:val="19"/>
                <w:szCs w:val="19"/>
                <w:lang w:val="es-MX" w:eastAsia="es-MX"/>
              </w:rPr>
              <w:t>723,015.00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Inspección y Vigilancia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de Responsabilidad Administrativa</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723,014.00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Economía</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w:t>
            </w:r>
            <w:r w:rsidR="00EF520F" w:rsidRPr="00EF520F">
              <w:rPr>
                <w:rFonts w:ascii="Arial" w:hAnsi="Arial" w:cs="Arial"/>
                <w:b/>
                <w:bCs/>
                <w:color w:val="000000"/>
                <w:sz w:val="19"/>
                <w:szCs w:val="19"/>
                <w:lang w:val="es-MX" w:eastAsia="es-MX"/>
              </w:rPr>
              <w:t>281,323.00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Capacitación y Productividad</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00EF520F" w:rsidRPr="00EF520F">
              <w:rPr>
                <w:rFonts w:ascii="Arial" w:hAnsi="Arial" w:cs="Arial"/>
                <w:color w:val="000000"/>
                <w:sz w:val="19"/>
                <w:szCs w:val="19"/>
                <w:lang w:val="es-MX" w:eastAsia="es-MX"/>
              </w:rPr>
              <w:t>281,323.00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16’</w:t>
            </w:r>
            <w:r w:rsidR="00EF520F" w:rsidRPr="00EF520F">
              <w:rPr>
                <w:rFonts w:ascii="Arial" w:hAnsi="Arial" w:cs="Arial"/>
                <w:b/>
                <w:bCs/>
                <w:color w:val="000000"/>
                <w:sz w:val="19"/>
                <w:szCs w:val="19"/>
                <w:lang w:val="es-MX" w:eastAsia="es-MX"/>
              </w:rPr>
              <w:t>035,200.00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Eventos Lunes del Cerro</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16’</w:t>
            </w:r>
            <w:r w:rsidR="00EF520F" w:rsidRPr="00EF520F">
              <w:rPr>
                <w:rFonts w:ascii="Arial" w:hAnsi="Arial" w:cs="Arial"/>
                <w:color w:val="000000"/>
                <w:sz w:val="19"/>
                <w:szCs w:val="19"/>
                <w:lang w:val="es-MX" w:eastAsia="es-MX"/>
              </w:rPr>
              <w:t>035,200.00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Medio Ambiente, Energías y Desarrollo Sustentable</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77’</w:t>
            </w:r>
            <w:r w:rsidR="00EF520F" w:rsidRPr="00EF520F">
              <w:rPr>
                <w:rFonts w:ascii="Arial" w:hAnsi="Arial" w:cs="Arial"/>
                <w:b/>
                <w:bCs/>
                <w:color w:val="000000"/>
                <w:sz w:val="19"/>
                <w:szCs w:val="19"/>
                <w:lang w:val="es-MX" w:eastAsia="es-MX"/>
              </w:rPr>
              <w:t>125,758.00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Ecológicos</w:t>
            </w:r>
          </w:p>
        </w:tc>
        <w:tc>
          <w:tcPr>
            <w:tcW w:w="3685" w:type="dxa"/>
            <w:tcBorders>
              <w:top w:val="nil"/>
              <w:left w:val="nil"/>
              <w:bottom w:val="nil"/>
              <w:right w:val="nil"/>
            </w:tcBorders>
            <w:shd w:val="clear" w:color="auto" w:fill="auto"/>
            <w:noWrap/>
            <w:hideMark/>
          </w:tcPr>
          <w:p w:rsidR="00EF520F" w:rsidRPr="00EF520F" w:rsidRDefault="00840A0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77’</w:t>
            </w:r>
            <w:r w:rsidR="00EF520F" w:rsidRPr="00EF520F">
              <w:rPr>
                <w:rFonts w:ascii="Arial" w:hAnsi="Arial" w:cs="Arial"/>
                <w:color w:val="000000"/>
                <w:sz w:val="19"/>
                <w:szCs w:val="19"/>
                <w:lang w:val="es-MX" w:eastAsia="es-MX"/>
              </w:rPr>
              <w:t>125,758.00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Consejería Jurídica del Gobierno del Estado</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212’</w:t>
            </w:r>
            <w:r w:rsidR="00EF520F" w:rsidRPr="00EF520F">
              <w:rPr>
                <w:rFonts w:ascii="Arial" w:hAnsi="Arial" w:cs="Arial"/>
                <w:b/>
                <w:bCs/>
                <w:color w:val="000000"/>
                <w:sz w:val="19"/>
                <w:szCs w:val="19"/>
                <w:lang w:val="es-MX" w:eastAsia="es-MX"/>
              </w:rPr>
              <w:t>364,497.00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Registro Civil</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102’</w:t>
            </w:r>
            <w:r w:rsidR="00EF520F" w:rsidRPr="00EF520F">
              <w:rPr>
                <w:rFonts w:ascii="Arial" w:hAnsi="Arial" w:cs="Arial"/>
                <w:color w:val="000000"/>
                <w:sz w:val="19"/>
                <w:szCs w:val="19"/>
                <w:lang w:val="es-MX" w:eastAsia="es-MX"/>
              </w:rPr>
              <w:t>471,336.00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Registral</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97’</w:t>
            </w:r>
            <w:r w:rsidR="00EF520F" w:rsidRPr="00EF520F">
              <w:rPr>
                <w:rFonts w:ascii="Arial" w:hAnsi="Arial" w:cs="Arial"/>
                <w:color w:val="000000"/>
                <w:sz w:val="19"/>
                <w:szCs w:val="19"/>
                <w:lang w:val="es-MX" w:eastAsia="es-MX"/>
              </w:rPr>
              <w:t>913,440.00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Notarial</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w:t>
            </w:r>
            <w:r w:rsidR="00EF520F" w:rsidRPr="00EF520F">
              <w:rPr>
                <w:rFonts w:ascii="Arial" w:hAnsi="Arial" w:cs="Arial"/>
                <w:color w:val="000000"/>
                <w:sz w:val="19"/>
                <w:szCs w:val="19"/>
                <w:lang w:val="es-MX" w:eastAsia="es-MX"/>
              </w:rPr>
              <w:t>887,860.00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Publicaciones</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w:t>
            </w:r>
            <w:r w:rsidR="00EF520F" w:rsidRPr="00EF520F">
              <w:rPr>
                <w:rFonts w:ascii="Arial" w:hAnsi="Arial" w:cs="Arial"/>
                <w:color w:val="000000"/>
                <w:sz w:val="19"/>
                <w:szCs w:val="19"/>
                <w:lang w:val="es-MX" w:eastAsia="es-MX"/>
              </w:rPr>
              <w:t>091,861.00</w:t>
            </w:r>
          </w:p>
        </w:tc>
      </w:tr>
      <w:tr w:rsidR="00EF520F" w:rsidRPr="00EF520F" w:rsidTr="00EF520F">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 POR PRESTACIÓN DE SERVICIOS EDUCATIVOS</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130’</w:t>
            </w:r>
            <w:r w:rsidR="00EF520F" w:rsidRPr="00EF520F">
              <w:rPr>
                <w:rFonts w:ascii="Arial" w:hAnsi="Arial" w:cs="Arial"/>
                <w:b/>
                <w:bCs/>
                <w:color w:val="000000"/>
                <w:sz w:val="19"/>
                <w:szCs w:val="19"/>
                <w:lang w:val="es-MX" w:eastAsia="es-MX"/>
              </w:rPr>
              <w:t>981,897.00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Básica</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EF520F" w:rsidRPr="00EF520F">
              <w:rPr>
                <w:rFonts w:ascii="Arial" w:hAnsi="Arial" w:cs="Arial"/>
                <w:b/>
                <w:bCs/>
                <w:color w:val="000000"/>
                <w:sz w:val="19"/>
                <w:szCs w:val="19"/>
                <w:lang w:val="es-MX" w:eastAsia="es-MX"/>
              </w:rPr>
              <w:t>856,361.00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Estatal de Educación Pública de Oaxaca</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856,361.00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Media Superior</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107’</w:t>
            </w:r>
            <w:r w:rsidR="00EF520F" w:rsidRPr="00EF520F">
              <w:rPr>
                <w:rFonts w:ascii="Arial" w:hAnsi="Arial" w:cs="Arial"/>
                <w:b/>
                <w:bCs/>
                <w:color w:val="000000"/>
                <w:sz w:val="19"/>
                <w:szCs w:val="19"/>
                <w:lang w:val="es-MX" w:eastAsia="es-MX"/>
              </w:rPr>
              <w:t>946,612.00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Coordinación General de Educación Media Superior y Superior, Ciencia y Tecnología</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w:t>
            </w:r>
            <w:r w:rsidR="00EF520F" w:rsidRPr="00EF520F">
              <w:rPr>
                <w:rFonts w:ascii="Arial" w:hAnsi="Arial" w:cs="Arial"/>
                <w:color w:val="000000"/>
                <w:sz w:val="19"/>
                <w:szCs w:val="19"/>
                <w:lang w:val="es-MX" w:eastAsia="es-MX"/>
              </w:rPr>
              <w:t>641,612.00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de Estudios de Bachillerato del Estado de Oaxaca</w:t>
            </w:r>
          </w:p>
        </w:tc>
        <w:tc>
          <w:tcPr>
            <w:tcW w:w="3685" w:type="dxa"/>
            <w:tcBorders>
              <w:top w:val="nil"/>
              <w:left w:val="nil"/>
              <w:bottom w:val="nil"/>
              <w:right w:val="nil"/>
            </w:tcBorders>
            <w:shd w:val="clear" w:color="auto" w:fill="auto"/>
            <w:noWrap/>
            <w:hideMark/>
          </w:tcPr>
          <w:p w:rsidR="00EF520F" w:rsidRPr="00EF520F" w:rsidRDefault="00520B1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29’</w:t>
            </w:r>
            <w:r w:rsidR="00EF520F" w:rsidRPr="00EF520F">
              <w:rPr>
                <w:rFonts w:ascii="Arial" w:hAnsi="Arial" w:cs="Arial"/>
                <w:color w:val="000000"/>
                <w:sz w:val="19"/>
                <w:szCs w:val="19"/>
                <w:lang w:val="es-MX" w:eastAsia="es-MX"/>
              </w:rPr>
              <w:t>570,762.00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Bachilleres del Estado de Oaxaca</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52’</w:t>
            </w:r>
            <w:r w:rsidR="00EF520F" w:rsidRPr="00EF520F">
              <w:rPr>
                <w:rFonts w:ascii="Arial" w:hAnsi="Arial" w:cs="Arial"/>
                <w:color w:val="000000"/>
                <w:sz w:val="19"/>
                <w:szCs w:val="19"/>
                <w:lang w:val="es-MX" w:eastAsia="es-MX"/>
              </w:rPr>
              <w:t>428,340.00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Estudios Científicos y Tecnológicos del Estado de Oaxaca</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w:t>
            </w:r>
            <w:r w:rsidR="00EF520F" w:rsidRPr="00EF520F">
              <w:rPr>
                <w:rFonts w:ascii="Arial" w:hAnsi="Arial" w:cs="Arial"/>
                <w:color w:val="000000"/>
                <w:sz w:val="19"/>
                <w:szCs w:val="19"/>
                <w:lang w:val="es-MX" w:eastAsia="es-MX"/>
              </w:rPr>
              <w:t>305,898.00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Estudios Tecnológicos</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w:t>
            </w:r>
            <w:r w:rsidR="00EF520F" w:rsidRPr="00EF520F">
              <w:rPr>
                <w:rFonts w:ascii="Arial" w:hAnsi="Arial" w:cs="Arial"/>
                <w:b/>
                <w:bCs/>
                <w:color w:val="000000"/>
                <w:sz w:val="19"/>
                <w:szCs w:val="19"/>
                <w:lang w:val="es-MX" w:eastAsia="es-MX"/>
              </w:rPr>
              <w:t>289,247.00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Instituto Tecnológico de </w:t>
            </w:r>
            <w:proofErr w:type="spellStart"/>
            <w:r w:rsidRPr="00EF520F">
              <w:rPr>
                <w:rFonts w:ascii="Arial" w:hAnsi="Arial" w:cs="Arial"/>
                <w:color w:val="000000"/>
                <w:sz w:val="19"/>
                <w:szCs w:val="19"/>
                <w:lang w:val="es-MX" w:eastAsia="es-MX"/>
              </w:rPr>
              <w:t>Teposcolula</w:t>
            </w:r>
            <w:proofErr w:type="spellEnd"/>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983,237.00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Sierra Sur</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222,975.00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Tecnológico San Miguel el Grande</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634,990.00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los Valles Centrales de Oaxaca</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w:t>
            </w:r>
            <w:r w:rsidR="00EF520F" w:rsidRPr="00EF520F">
              <w:rPr>
                <w:rFonts w:ascii="Arial" w:hAnsi="Arial" w:cs="Arial"/>
                <w:color w:val="000000"/>
                <w:sz w:val="19"/>
                <w:szCs w:val="19"/>
                <w:lang w:val="es-MX" w:eastAsia="es-MX"/>
              </w:rPr>
              <w:t>448,045.00</w:t>
            </w:r>
          </w:p>
        </w:tc>
      </w:tr>
      <w:tr w:rsidR="00EF520F" w:rsidRPr="00EF520F"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Universidades Estatales de Oaxaca</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11’</w:t>
            </w:r>
            <w:r w:rsidR="00EF520F" w:rsidRPr="00EF520F">
              <w:rPr>
                <w:rFonts w:ascii="Arial" w:hAnsi="Arial" w:cs="Arial"/>
                <w:b/>
                <w:bCs/>
                <w:color w:val="000000"/>
                <w:sz w:val="19"/>
                <w:szCs w:val="19"/>
                <w:lang w:val="es-MX" w:eastAsia="es-MX"/>
              </w:rPr>
              <w:t>889,677.00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Mixteca</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w:t>
            </w:r>
            <w:r w:rsidR="00EF520F" w:rsidRPr="00EF520F">
              <w:rPr>
                <w:rFonts w:ascii="Arial" w:hAnsi="Arial" w:cs="Arial"/>
                <w:color w:val="000000"/>
                <w:sz w:val="19"/>
                <w:szCs w:val="19"/>
                <w:lang w:val="es-MX" w:eastAsia="es-MX"/>
              </w:rPr>
              <w:t>482,125.00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Mar</w:t>
            </w:r>
          </w:p>
        </w:tc>
        <w:tc>
          <w:tcPr>
            <w:tcW w:w="3685" w:type="dxa"/>
            <w:tcBorders>
              <w:top w:val="nil"/>
              <w:left w:val="nil"/>
              <w:bottom w:val="nil"/>
              <w:right w:val="nil"/>
            </w:tcBorders>
            <w:shd w:val="clear" w:color="auto" w:fill="auto"/>
            <w:noWrap/>
            <w:hideMark/>
          </w:tcPr>
          <w:p w:rsidR="00EF520F" w:rsidRPr="00EF520F" w:rsidRDefault="00F87C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w:t>
            </w:r>
            <w:r w:rsidR="00EF520F" w:rsidRPr="00EF520F">
              <w:rPr>
                <w:rFonts w:ascii="Arial" w:hAnsi="Arial" w:cs="Arial"/>
                <w:color w:val="000000"/>
                <w:sz w:val="19"/>
                <w:szCs w:val="19"/>
                <w:lang w:val="es-MX" w:eastAsia="es-MX"/>
              </w:rPr>
              <w:t>859,959.00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Istmo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1,476,473.00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Papaloapan</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1,200,656.00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Sur</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909,091.00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Juárez</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451,079.00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Cañada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109,595.00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roofErr w:type="spellStart"/>
            <w:r w:rsidRPr="00EF520F">
              <w:rPr>
                <w:rFonts w:ascii="Arial" w:hAnsi="Arial" w:cs="Arial"/>
                <w:color w:val="000000"/>
                <w:sz w:val="19"/>
                <w:szCs w:val="19"/>
                <w:lang w:val="es-MX" w:eastAsia="es-MX"/>
              </w:rPr>
              <w:t>Novauniversitas</w:t>
            </w:r>
            <w:proofErr w:type="spellEnd"/>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708,599.00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Costa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351,767.00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Universidad de </w:t>
            </w:r>
            <w:proofErr w:type="spellStart"/>
            <w:r w:rsidRPr="00EF520F">
              <w:rPr>
                <w:rFonts w:ascii="Arial" w:hAnsi="Arial" w:cs="Arial"/>
                <w:color w:val="000000"/>
                <w:sz w:val="19"/>
                <w:szCs w:val="19"/>
                <w:lang w:val="es-MX" w:eastAsia="es-MX"/>
              </w:rPr>
              <w:t>Chalcatongo</w:t>
            </w:r>
            <w:proofErr w:type="spellEnd"/>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340,333.00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DERECHOS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ACCESORIOS</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4’</w:t>
            </w:r>
            <w:r w:rsidR="00EF520F" w:rsidRPr="00EF520F">
              <w:rPr>
                <w:rFonts w:ascii="Arial" w:hAnsi="Arial" w:cs="Arial"/>
                <w:b/>
                <w:bCs/>
                <w:color w:val="000000"/>
                <w:sz w:val="19"/>
                <w:szCs w:val="19"/>
                <w:lang w:val="es-MX" w:eastAsia="es-MX"/>
              </w:rPr>
              <w:t>140,611.00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PRODUCTOS</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22’</w:t>
            </w:r>
            <w:r w:rsidR="00EF520F" w:rsidRPr="00EF520F">
              <w:rPr>
                <w:rFonts w:ascii="Arial" w:hAnsi="Arial" w:cs="Arial"/>
                <w:b/>
                <w:bCs/>
                <w:color w:val="000000"/>
                <w:sz w:val="19"/>
                <w:szCs w:val="19"/>
                <w:lang w:val="es-MX" w:eastAsia="es-MX"/>
              </w:rPr>
              <w:t>261,070.00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iCs/>
                <w:color w:val="000000"/>
                <w:sz w:val="19"/>
                <w:szCs w:val="19"/>
                <w:lang w:val="es-MX" w:eastAsia="es-MX"/>
              </w:rPr>
            </w:pPr>
            <w:r w:rsidRPr="00EF520F">
              <w:rPr>
                <w:rFonts w:ascii="Arial" w:hAnsi="Arial" w:cs="Arial"/>
                <w:b/>
                <w:bCs/>
                <w:iCs/>
                <w:color w:val="000000"/>
                <w:sz w:val="19"/>
                <w:szCs w:val="19"/>
                <w:lang w:val="es-MX" w:eastAsia="es-MX"/>
              </w:rPr>
              <w:t xml:space="preserve">PRODUCTOS DE TIPO CORRIENTE </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22’</w:t>
            </w:r>
            <w:r w:rsidR="00EF520F" w:rsidRPr="00EF520F">
              <w:rPr>
                <w:rFonts w:ascii="Arial" w:hAnsi="Arial" w:cs="Arial"/>
                <w:b/>
                <w:bCs/>
                <w:color w:val="000000"/>
                <w:sz w:val="19"/>
                <w:szCs w:val="19"/>
                <w:lang w:val="es-MX" w:eastAsia="es-MX"/>
              </w:rPr>
              <w:t>261,070.00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Productos Derivados del Uso y Aprovechamiento de Bienes No Sujetos a Régimen de Dominio Público</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22’</w:t>
            </w:r>
            <w:r w:rsidR="00EF520F" w:rsidRPr="00EF520F">
              <w:rPr>
                <w:rFonts w:ascii="Arial" w:hAnsi="Arial" w:cs="Arial"/>
                <w:color w:val="000000"/>
                <w:sz w:val="19"/>
                <w:szCs w:val="19"/>
                <w:lang w:val="es-MX" w:eastAsia="es-MX"/>
              </w:rPr>
              <w:t>235,039.00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Enajenación de Bienes Muebles e Inmuebles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9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Enajenación de Bienes Muebles no Sujetos a ser Inventariados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Otros Productos que Generen Ingresos Corrientes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26,031.00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943’</w:t>
            </w:r>
            <w:r w:rsidR="00EF520F" w:rsidRPr="00EF520F">
              <w:rPr>
                <w:rFonts w:ascii="Arial" w:hAnsi="Arial" w:cs="Arial"/>
                <w:b/>
                <w:bCs/>
                <w:color w:val="000000"/>
                <w:sz w:val="19"/>
                <w:szCs w:val="19"/>
                <w:lang w:val="es-MX" w:eastAsia="es-MX"/>
              </w:rPr>
              <w:t>435,552.00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 DE TIPO CORRIENTE</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943’</w:t>
            </w:r>
            <w:r w:rsidR="00EF520F" w:rsidRPr="00EF520F">
              <w:rPr>
                <w:rFonts w:ascii="Arial" w:hAnsi="Arial" w:cs="Arial"/>
                <w:b/>
                <w:bCs/>
                <w:color w:val="000000"/>
                <w:sz w:val="19"/>
                <w:szCs w:val="19"/>
                <w:lang w:val="es-MX" w:eastAsia="es-MX"/>
              </w:rPr>
              <w:t>435,552.00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Incentivos Derivados de la Colaboración Fiscal </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720’</w:t>
            </w:r>
            <w:r w:rsidR="00EF520F" w:rsidRPr="00EF520F">
              <w:rPr>
                <w:rFonts w:ascii="Arial" w:hAnsi="Arial" w:cs="Arial"/>
                <w:b/>
                <w:bCs/>
                <w:color w:val="000000"/>
                <w:sz w:val="19"/>
                <w:szCs w:val="19"/>
                <w:lang w:val="es-MX" w:eastAsia="es-MX"/>
              </w:rPr>
              <w:t>315,005.00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sobre Automóviles Nuevos</w:t>
            </w:r>
          </w:p>
        </w:tc>
        <w:tc>
          <w:tcPr>
            <w:tcW w:w="3685" w:type="dxa"/>
            <w:tcBorders>
              <w:top w:val="nil"/>
              <w:left w:val="nil"/>
              <w:bottom w:val="nil"/>
              <w:right w:val="nil"/>
            </w:tcBorders>
            <w:shd w:val="clear" w:color="auto" w:fill="auto"/>
            <w:noWrap/>
            <w:hideMark/>
          </w:tcPr>
          <w:p w:rsidR="00EF520F" w:rsidRPr="00EF520F" w:rsidRDefault="00F6607C"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111’</w:t>
            </w:r>
            <w:r w:rsidR="00EF520F" w:rsidRPr="00EF520F">
              <w:rPr>
                <w:rFonts w:ascii="Arial" w:hAnsi="Arial" w:cs="Arial"/>
                <w:color w:val="000000"/>
                <w:sz w:val="19"/>
                <w:szCs w:val="19"/>
                <w:lang w:val="es-MX" w:eastAsia="es-MX"/>
              </w:rPr>
              <w:t>262,057.00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Actos de Fiscalización</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71’</w:t>
            </w:r>
            <w:r w:rsidR="00EF520F" w:rsidRPr="00EF520F">
              <w:rPr>
                <w:rFonts w:ascii="Arial" w:hAnsi="Arial" w:cs="Arial"/>
                <w:color w:val="000000"/>
                <w:sz w:val="19"/>
                <w:szCs w:val="19"/>
                <w:lang w:val="es-MX" w:eastAsia="es-MX"/>
              </w:rPr>
              <w:t>759,349.00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Otros Incentivos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24’</w:t>
            </w:r>
            <w:r w:rsidR="00EF520F" w:rsidRPr="00EF520F">
              <w:rPr>
                <w:rFonts w:ascii="Arial" w:hAnsi="Arial" w:cs="Arial"/>
                <w:color w:val="000000"/>
                <w:sz w:val="19"/>
                <w:szCs w:val="19"/>
                <w:lang w:val="es-MX" w:eastAsia="es-MX"/>
              </w:rPr>
              <w:t>818,349.00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De los Ingresos por la Enajenación de Terrenos, Construcciones o Terrenos y Construcciones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w:t>
            </w:r>
            <w:r w:rsidR="00EF520F" w:rsidRPr="00EF520F">
              <w:rPr>
                <w:rFonts w:ascii="Arial" w:hAnsi="Arial" w:cs="Arial"/>
                <w:color w:val="000000"/>
                <w:sz w:val="19"/>
                <w:szCs w:val="19"/>
                <w:lang w:val="es-MX" w:eastAsia="es-MX"/>
              </w:rPr>
              <w:t>123,588.00</w:t>
            </w:r>
          </w:p>
        </w:tc>
      </w:tr>
      <w:tr w:rsidR="00EF520F" w:rsidRPr="00EF520F" w:rsidTr="00EF520F">
        <w:trPr>
          <w:trHeight w:val="3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Impuestos a las Ventas Finales de Gasolinas y Diésel</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442’</w:t>
            </w:r>
            <w:r w:rsidR="00EF520F" w:rsidRPr="00EF520F">
              <w:rPr>
                <w:rFonts w:ascii="Arial" w:hAnsi="Arial" w:cs="Arial"/>
                <w:color w:val="000000"/>
                <w:sz w:val="19"/>
                <w:szCs w:val="19"/>
                <w:lang w:val="es-MX" w:eastAsia="es-MX"/>
              </w:rPr>
              <w:t>234,518.00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Incentivo Régimen de Incorporación Fiscal</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w:t>
            </w:r>
            <w:r w:rsidR="00EF520F" w:rsidRPr="00EF520F">
              <w:rPr>
                <w:rFonts w:ascii="Arial" w:hAnsi="Arial" w:cs="Arial"/>
                <w:color w:val="000000"/>
                <w:sz w:val="19"/>
                <w:szCs w:val="19"/>
                <w:lang w:val="es-MX" w:eastAsia="es-MX"/>
              </w:rPr>
              <w:t>206,125.00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Incentivo derivado del Impuesto sobre la Renta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Compensación del Impuesto Sobre Automóviles Nuevos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31’</w:t>
            </w:r>
            <w:r w:rsidR="00EF520F" w:rsidRPr="00EF520F">
              <w:rPr>
                <w:rFonts w:ascii="Arial" w:hAnsi="Arial" w:cs="Arial"/>
                <w:color w:val="000000"/>
                <w:sz w:val="19"/>
                <w:szCs w:val="19"/>
                <w:lang w:val="es-MX" w:eastAsia="es-MX"/>
              </w:rPr>
              <w:t>016,005.00</w:t>
            </w:r>
          </w:p>
        </w:tc>
      </w:tr>
      <w:tr w:rsidR="00EF520F" w:rsidRPr="00EF520F" w:rsidTr="00EF520F">
        <w:trPr>
          <w:trHeight w:val="70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Compensación del Régimen de Pequeños Contribuyentes y Régimen de Intermedios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11’</w:t>
            </w:r>
            <w:r w:rsidR="00EF520F" w:rsidRPr="00EF520F">
              <w:rPr>
                <w:rFonts w:ascii="Arial" w:hAnsi="Arial" w:cs="Arial"/>
                <w:color w:val="000000"/>
                <w:sz w:val="19"/>
                <w:szCs w:val="19"/>
                <w:lang w:val="es-MX" w:eastAsia="es-MX"/>
              </w:rPr>
              <w:t>895,013.00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Multas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18’</w:t>
            </w:r>
            <w:r w:rsidR="00EF520F" w:rsidRPr="00EF520F">
              <w:rPr>
                <w:rFonts w:ascii="Arial" w:hAnsi="Arial" w:cs="Arial"/>
                <w:color w:val="000000"/>
                <w:sz w:val="19"/>
                <w:szCs w:val="19"/>
                <w:lang w:val="es-MX" w:eastAsia="es-MX"/>
              </w:rPr>
              <w:t>562,346.00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Indemnizaciones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Reintegros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Fianzas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Aprovechamiento por Participaciones Derivadas de Aplicación de Leyes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w:t>
            </w:r>
            <w:r w:rsidR="00EF520F" w:rsidRPr="00EF520F">
              <w:rPr>
                <w:rFonts w:ascii="Arial" w:hAnsi="Arial" w:cs="Arial"/>
                <w:color w:val="000000"/>
                <w:sz w:val="19"/>
                <w:szCs w:val="19"/>
                <w:lang w:val="es-MX" w:eastAsia="es-MX"/>
              </w:rPr>
              <w:t>281,316.00</w:t>
            </w:r>
          </w:p>
        </w:tc>
      </w:tr>
      <w:tr w:rsidR="00EF520F" w:rsidRPr="00EF520F" w:rsidTr="00EF520F">
        <w:trPr>
          <w:trHeight w:val="486"/>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Aprovechamiento por Aportaciones y Cooperaciones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Otros Aprovechamientos</w:t>
            </w:r>
          </w:p>
        </w:tc>
        <w:tc>
          <w:tcPr>
            <w:tcW w:w="3685" w:type="dxa"/>
            <w:tcBorders>
              <w:top w:val="nil"/>
              <w:left w:val="nil"/>
              <w:bottom w:val="nil"/>
              <w:right w:val="nil"/>
            </w:tcBorders>
            <w:shd w:val="clear" w:color="auto" w:fill="auto"/>
            <w:noWrap/>
            <w:hideMark/>
          </w:tcPr>
          <w:p w:rsidR="00EF520F" w:rsidRPr="00EF520F" w:rsidRDefault="005A04A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200’</w:t>
            </w:r>
            <w:r w:rsidR="00EF520F" w:rsidRPr="00EF520F">
              <w:rPr>
                <w:rFonts w:ascii="Arial" w:hAnsi="Arial" w:cs="Arial"/>
                <w:color w:val="000000"/>
                <w:sz w:val="19"/>
                <w:szCs w:val="19"/>
                <w:lang w:val="es-MX" w:eastAsia="es-MX"/>
              </w:rPr>
              <w:t>276,885.00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POR VENTA DE BIENES Y SERVICIOS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INGRESOS POR VENTA DE BIENES Y SERVICIOS DE ORGANISMOS DESCENTRALIZADOS </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Por las actividades de producción y/o comercialización de Organismos Descentralizados </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INGRESOS DE OPERACIÓN DE ENTIDADES PARAESTALES EMPRESARIALES </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Por las actividades empresariales de los organismos descentralizados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941E50" w:rsidTr="00EF520F">
        <w:trPr>
          <w:trHeight w:val="63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POR VENTAS DE BIENES Y SERVICIOS PRODUCIDOS EN ESTABLECIMIENTOS DEL GOBIERNO CENTRAL</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p>
        </w:tc>
      </w:tr>
      <w:tr w:rsidR="00EF520F" w:rsidRPr="00EF520F" w:rsidTr="00EF520F">
        <w:trPr>
          <w:trHeight w:val="71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Por las actividades de producción y/o comercialización de Dependencias de la Administración Pública Centralizada</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111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NO COMPRENDIDOS EN LAS FRACCIONES DE LA LEY DE INGRESOS CAUSADOS EN EJERCICIOS FISCALES ANTERIORES PENDIENTES DE LIQUIDACIÓN O PAGO</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w:t>
            </w:r>
            <w:r w:rsidR="00EF520F" w:rsidRPr="00EF520F">
              <w:rPr>
                <w:rFonts w:ascii="Arial" w:hAnsi="Arial" w:cs="Arial"/>
                <w:color w:val="000000"/>
                <w:sz w:val="19"/>
                <w:szCs w:val="19"/>
                <w:lang w:val="es-MX" w:eastAsia="es-MX"/>
              </w:rPr>
              <w:t>790,630.00</w:t>
            </w:r>
          </w:p>
        </w:tc>
      </w:tr>
      <w:tr w:rsidR="00EF520F" w:rsidRPr="00EF520F" w:rsidTr="00EF520F">
        <w:trPr>
          <w:trHeight w:val="690"/>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PARTICIPACIONES, APORTACIONES, TRANSFERENCIAS, ASIGNACIONES, SUBSIDIOS Y OTRAS AYUDAS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63,414’</w:t>
            </w:r>
            <w:r w:rsidR="00EF520F" w:rsidRPr="00EF520F">
              <w:rPr>
                <w:rFonts w:ascii="Arial" w:hAnsi="Arial" w:cs="Arial"/>
                <w:b/>
                <w:bCs/>
                <w:color w:val="000000"/>
                <w:sz w:val="19"/>
                <w:szCs w:val="19"/>
                <w:lang w:val="es-MX" w:eastAsia="es-MX"/>
              </w:rPr>
              <w:t>329,469.00</w:t>
            </w:r>
          </w:p>
        </w:tc>
      </w:tr>
      <w:tr w:rsidR="00EF520F" w:rsidRPr="00EF520F" w:rsidTr="00EF520F">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PARTICIPACIONES Y APORTACIONES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61,372’</w:t>
            </w:r>
            <w:r w:rsidR="00EF520F" w:rsidRPr="00EF520F">
              <w:rPr>
                <w:rFonts w:ascii="Arial" w:hAnsi="Arial" w:cs="Arial"/>
                <w:b/>
                <w:bCs/>
                <w:color w:val="000000"/>
                <w:sz w:val="19"/>
                <w:szCs w:val="19"/>
                <w:lang w:val="es-MX" w:eastAsia="es-MX"/>
              </w:rPr>
              <w:t>303,226.00</w:t>
            </w:r>
          </w:p>
        </w:tc>
      </w:tr>
      <w:tr w:rsidR="00EF520F" w:rsidRPr="00EF520F" w:rsidTr="00EF520F">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PARTICIPACIONES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17,831’</w:t>
            </w:r>
            <w:r w:rsidR="00EF520F" w:rsidRPr="00EF520F">
              <w:rPr>
                <w:rFonts w:ascii="Arial" w:hAnsi="Arial" w:cs="Arial"/>
                <w:b/>
                <w:bCs/>
                <w:color w:val="000000"/>
                <w:sz w:val="19"/>
                <w:szCs w:val="19"/>
                <w:lang w:val="es-MX" w:eastAsia="es-MX"/>
              </w:rPr>
              <w:t>633,238.00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General de Participaciones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14,856’</w:t>
            </w:r>
            <w:r w:rsidR="00EF520F" w:rsidRPr="00EF520F">
              <w:rPr>
                <w:rFonts w:ascii="Arial" w:hAnsi="Arial" w:cs="Arial"/>
                <w:color w:val="000000"/>
                <w:sz w:val="19"/>
                <w:szCs w:val="19"/>
                <w:lang w:val="es-MX" w:eastAsia="es-MX"/>
              </w:rPr>
              <w:t>140,210.00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Fomento Municipal</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1,309’</w:t>
            </w:r>
            <w:r w:rsidR="00EF520F" w:rsidRPr="00EF520F">
              <w:rPr>
                <w:rFonts w:ascii="Arial" w:hAnsi="Arial" w:cs="Arial"/>
                <w:color w:val="000000"/>
                <w:sz w:val="19"/>
                <w:szCs w:val="19"/>
                <w:lang w:val="es-MX" w:eastAsia="es-MX"/>
              </w:rPr>
              <w:t>065,230.00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Participaciones en Impuestos Especiales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237’</w:t>
            </w:r>
            <w:r w:rsidR="00EF520F" w:rsidRPr="00EF520F">
              <w:rPr>
                <w:rFonts w:ascii="Arial" w:hAnsi="Arial" w:cs="Arial"/>
                <w:color w:val="000000"/>
                <w:sz w:val="19"/>
                <w:szCs w:val="19"/>
                <w:lang w:val="es-MX" w:eastAsia="es-MX"/>
              </w:rPr>
              <w:t>648,542.00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Fiscalización y Recaudación</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845’</w:t>
            </w:r>
            <w:r w:rsidR="00EF520F" w:rsidRPr="00EF520F">
              <w:rPr>
                <w:rFonts w:ascii="Arial" w:hAnsi="Arial" w:cs="Arial"/>
                <w:color w:val="000000"/>
                <w:sz w:val="19"/>
                <w:szCs w:val="19"/>
                <w:lang w:val="es-MX" w:eastAsia="es-MX"/>
              </w:rPr>
              <w:t>340,227.00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Compensación </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583’</w:t>
            </w:r>
            <w:r w:rsidR="00EF520F" w:rsidRPr="00EF520F">
              <w:rPr>
                <w:rFonts w:ascii="Arial" w:hAnsi="Arial" w:cs="Arial"/>
                <w:color w:val="000000"/>
                <w:sz w:val="19"/>
                <w:szCs w:val="19"/>
                <w:lang w:val="es-MX" w:eastAsia="es-MX"/>
              </w:rPr>
              <w:t>439,029.00</w:t>
            </w:r>
          </w:p>
        </w:tc>
      </w:tr>
      <w:tr w:rsidR="00EF520F" w:rsidRPr="00EF520F" w:rsidTr="00EF520F">
        <w:trPr>
          <w:trHeight w:val="54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APORTACIONES</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39,398’</w:t>
            </w:r>
            <w:r w:rsidR="00EF520F" w:rsidRPr="00EF520F">
              <w:rPr>
                <w:rFonts w:ascii="Arial" w:hAnsi="Arial" w:cs="Arial"/>
                <w:b/>
                <w:bCs/>
                <w:color w:val="000000"/>
                <w:sz w:val="19"/>
                <w:szCs w:val="19"/>
                <w:lang w:val="es-MX" w:eastAsia="es-MX"/>
              </w:rPr>
              <w:t>225,209.00</w:t>
            </w:r>
          </w:p>
        </w:tc>
      </w:tr>
      <w:tr w:rsidR="00EF520F" w:rsidRPr="00EF520F" w:rsidTr="00EF520F">
        <w:trPr>
          <w:trHeight w:val="69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Nómina Educativa y Gasto Operativo</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22,520’</w:t>
            </w:r>
            <w:r w:rsidR="00EF520F" w:rsidRPr="00EF520F">
              <w:rPr>
                <w:rFonts w:ascii="Arial" w:hAnsi="Arial" w:cs="Arial"/>
                <w:color w:val="000000"/>
                <w:sz w:val="19"/>
                <w:szCs w:val="19"/>
                <w:lang w:val="es-MX" w:eastAsia="es-MX"/>
              </w:rPr>
              <w:t>999,063.00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los Servicios de Salud </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4,256’</w:t>
            </w:r>
            <w:r w:rsidR="00EF520F" w:rsidRPr="00EF520F">
              <w:rPr>
                <w:rFonts w:ascii="Arial" w:hAnsi="Arial" w:cs="Arial"/>
                <w:color w:val="000000"/>
                <w:sz w:val="19"/>
                <w:szCs w:val="19"/>
                <w:lang w:val="es-MX" w:eastAsia="es-MX"/>
              </w:rPr>
              <w:t>675,351.00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Infraestructura Social</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6,990’</w:t>
            </w:r>
            <w:r w:rsidR="00EF520F" w:rsidRPr="00EF520F">
              <w:rPr>
                <w:rFonts w:ascii="Arial" w:hAnsi="Arial" w:cs="Arial"/>
                <w:color w:val="000000"/>
                <w:sz w:val="19"/>
                <w:szCs w:val="19"/>
                <w:lang w:val="es-MX" w:eastAsia="es-MX"/>
              </w:rPr>
              <w:t>636,200.00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Infraestructura Social Municipal</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6,143’</w:t>
            </w:r>
            <w:r w:rsidR="00EF520F" w:rsidRPr="00EF520F">
              <w:rPr>
                <w:rFonts w:ascii="Arial" w:hAnsi="Arial" w:cs="Arial"/>
                <w:color w:val="000000"/>
                <w:sz w:val="19"/>
                <w:szCs w:val="19"/>
                <w:lang w:val="es-MX" w:eastAsia="es-MX"/>
              </w:rPr>
              <w:t>269,608.00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Infraestructura Social estatal</w:t>
            </w:r>
          </w:p>
        </w:tc>
        <w:tc>
          <w:tcPr>
            <w:tcW w:w="3685" w:type="dxa"/>
            <w:tcBorders>
              <w:top w:val="nil"/>
              <w:left w:val="nil"/>
              <w:bottom w:val="nil"/>
              <w:right w:val="nil"/>
            </w:tcBorders>
            <w:shd w:val="clear" w:color="auto" w:fill="auto"/>
            <w:noWrap/>
            <w:hideMark/>
          </w:tcPr>
          <w:p w:rsidR="00EF520F" w:rsidRPr="00EF520F" w:rsidRDefault="009B396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847’</w:t>
            </w:r>
            <w:r w:rsidR="00EF520F" w:rsidRPr="00EF520F">
              <w:rPr>
                <w:rFonts w:ascii="Arial" w:hAnsi="Arial" w:cs="Arial"/>
                <w:color w:val="000000"/>
                <w:sz w:val="19"/>
                <w:szCs w:val="19"/>
                <w:lang w:val="es-MX" w:eastAsia="es-MX"/>
              </w:rPr>
              <w:t>366,592.00</w:t>
            </w:r>
          </w:p>
        </w:tc>
      </w:tr>
      <w:tr w:rsidR="00EF520F" w:rsidRPr="00EF520F" w:rsidTr="00EF520F">
        <w:trPr>
          <w:trHeight w:val="9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el Fortalecimiento de los Municipios y de las Demarcaciones Territoriales del Distrito Federal </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2,394’</w:t>
            </w:r>
            <w:r w:rsidR="00EF520F" w:rsidRPr="00EF520F">
              <w:rPr>
                <w:rFonts w:ascii="Arial" w:hAnsi="Arial" w:cs="Arial"/>
                <w:color w:val="000000"/>
                <w:sz w:val="19"/>
                <w:szCs w:val="19"/>
                <w:lang w:val="es-MX" w:eastAsia="es-MX"/>
              </w:rPr>
              <w:t>270,958.00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Múltiples</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1,199’</w:t>
            </w:r>
            <w:r w:rsidR="00EF520F" w:rsidRPr="00EF520F">
              <w:rPr>
                <w:rFonts w:ascii="Arial" w:hAnsi="Arial" w:cs="Arial"/>
                <w:color w:val="000000"/>
                <w:sz w:val="19"/>
                <w:szCs w:val="19"/>
                <w:lang w:val="es-MX" w:eastAsia="es-MX"/>
              </w:rPr>
              <w:t>058,957.00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Asistencia Social</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58</w:t>
            </w:r>
            <w:r w:rsidR="00A40B7C">
              <w:rPr>
                <w:rFonts w:ascii="Arial" w:hAnsi="Arial" w:cs="Arial"/>
                <w:color w:val="000000"/>
                <w:sz w:val="19"/>
                <w:szCs w:val="19"/>
                <w:lang w:val="es-MX" w:eastAsia="es-MX"/>
              </w:rPr>
              <w:t>5</w:t>
            </w:r>
            <w:r>
              <w:rPr>
                <w:rFonts w:ascii="Arial" w:hAnsi="Arial" w:cs="Arial"/>
                <w:color w:val="000000"/>
                <w:sz w:val="19"/>
                <w:szCs w:val="19"/>
                <w:lang w:val="es-MX" w:eastAsia="es-MX"/>
              </w:rPr>
              <w:t>’</w:t>
            </w:r>
            <w:r w:rsidR="00EF520F" w:rsidRPr="00EF520F">
              <w:rPr>
                <w:rFonts w:ascii="Arial" w:hAnsi="Arial" w:cs="Arial"/>
                <w:color w:val="000000"/>
                <w:sz w:val="19"/>
                <w:szCs w:val="19"/>
                <w:lang w:val="es-MX" w:eastAsia="es-MX"/>
              </w:rPr>
              <w:t>784,163.00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Básica</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342’</w:t>
            </w:r>
            <w:r w:rsidR="00EF520F" w:rsidRPr="00EF520F">
              <w:rPr>
                <w:rFonts w:ascii="Arial" w:hAnsi="Arial" w:cs="Arial"/>
                <w:color w:val="000000"/>
                <w:sz w:val="19"/>
                <w:szCs w:val="19"/>
                <w:lang w:val="es-MX" w:eastAsia="es-MX"/>
              </w:rPr>
              <w:t>061,211.00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Media Superior</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18’</w:t>
            </w:r>
            <w:r w:rsidR="00EF520F" w:rsidRPr="00EF520F">
              <w:rPr>
                <w:rFonts w:ascii="Arial" w:hAnsi="Arial" w:cs="Arial"/>
                <w:color w:val="000000"/>
                <w:sz w:val="19"/>
                <w:szCs w:val="19"/>
                <w:lang w:val="es-MX" w:eastAsia="es-MX"/>
              </w:rPr>
              <w:t>222,263.00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Superior</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252’</w:t>
            </w:r>
            <w:r w:rsidR="00EF520F" w:rsidRPr="00EF520F">
              <w:rPr>
                <w:rFonts w:ascii="Arial" w:hAnsi="Arial" w:cs="Arial"/>
                <w:color w:val="000000"/>
                <w:sz w:val="19"/>
                <w:szCs w:val="19"/>
                <w:lang w:val="es-MX" w:eastAsia="es-MX"/>
              </w:rPr>
              <w:t>991,320.00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Educación Tecnológica y de Adultos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135</w:t>
            </w:r>
            <w:r w:rsidR="004C3243">
              <w:rPr>
                <w:rFonts w:ascii="Arial" w:hAnsi="Arial" w:cs="Arial"/>
                <w:color w:val="000000"/>
                <w:sz w:val="19"/>
                <w:szCs w:val="19"/>
                <w:lang w:val="es-MX" w:eastAsia="es-MX"/>
              </w:rPr>
              <w:t>’</w:t>
            </w:r>
            <w:r w:rsidRPr="00EF520F">
              <w:rPr>
                <w:rFonts w:ascii="Arial" w:hAnsi="Arial" w:cs="Arial"/>
                <w:color w:val="000000"/>
                <w:sz w:val="19"/>
                <w:szCs w:val="19"/>
                <w:lang w:val="es-MX" w:eastAsia="es-MX"/>
              </w:rPr>
              <w:t>748,240.00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Seguridad Pública de los Estados y del Distrito Federal</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228’</w:t>
            </w:r>
            <w:r w:rsidR="00EF520F" w:rsidRPr="00EF520F">
              <w:rPr>
                <w:rFonts w:ascii="Arial" w:hAnsi="Arial" w:cs="Arial"/>
                <w:color w:val="000000"/>
                <w:sz w:val="19"/>
                <w:szCs w:val="19"/>
                <w:lang w:val="es-MX" w:eastAsia="es-MX"/>
              </w:rPr>
              <w:t>823,741.00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el Fortalecimiento de las Entidades Federativas</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1,672’</w:t>
            </w:r>
            <w:r w:rsidR="00EF520F" w:rsidRPr="00EF520F">
              <w:rPr>
                <w:rFonts w:ascii="Arial" w:hAnsi="Arial" w:cs="Arial"/>
                <w:color w:val="000000"/>
                <w:sz w:val="19"/>
                <w:szCs w:val="19"/>
                <w:lang w:val="es-MX" w:eastAsia="es-MX"/>
              </w:rPr>
              <w:t>012,699.00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CONVENIOS</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4,142’</w:t>
            </w:r>
            <w:r w:rsidR="00EF520F" w:rsidRPr="00EF520F">
              <w:rPr>
                <w:rFonts w:ascii="Arial" w:hAnsi="Arial" w:cs="Arial"/>
                <w:b/>
                <w:bCs/>
                <w:color w:val="000000"/>
                <w:sz w:val="19"/>
                <w:szCs w:val="19"/>
                <w:lang w:val="es-MX" w:eastAsia="es-MX"/>
              </w:rPr>
              <w:t>444,779.00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Convenios</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4,142’</w:t>
            </w:r>
            <w:r w:rsidR="00EF520F" w:rsidRPr="00EF520F">
              <w:rPr>
                <w:rFonts w:ascii="Arial" w:hAnsi="Arial" w:cs="Arial"/>
                <w:color w:val="000000"/>
                <w:sz w:val="19"/>
                <w:szCs w:val="19"/>
                <w:lang w:val="es-MX" w:eastAsia="es-MX"/>
              </w:rPr>
              <w:t>444,779.00</w:t>
            </w:r>
          </w:p>
        </w:tc>
      </w:tr>
      <w:tr w:rsidR="00EF520F" w:rsidRPr="00EF520F" w:rsidTr="00EF520F">
        <w:trPr>
          <w:trHeight w:val="393"/>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TRANSFERENCIAS, ASIGNACIONES, SUBSIDIOS Y OTRAS AYUDAS</w:t>
            </w:r>
          </w:p>
        </w:tc>
        <w:tc>
          <w:tcPr>
            <w:tcW w:w="3685" w:type="dxa"/>
            <w:tcBorders>
              <w:top w:val="nil"/>
              <w:left w:val="nil"/>
              <w:bottom w:val="nil"/>
              <w:right w:val="nil"/>
            </w:tcBorders>
            <w:shd w:val="clear" w:color="auto" w:fill="auto"/>
            <w:noWrap/>
            <w:hideMark/>
          </w:tcPr>
          <w:p w:rsidR="00EF520F" w:rsidRPr="00EF520F" w:rsidRDefault="004C3243"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2,042’</w:t>
            </w:r>
            <w:r w:rsidR="00EF520F" w:rsidRPr="00EF520F">
              <w:rPr>
                <w:rFonts w:ascii="Arial" w:hAnsi="Arial" w:cs="Arial"/>
                <w:b/>
                <w:bCs/>
                <w:color w:val="000000"/>
                <w:sz w:val="19"/>
                <w:szCs w:val="19"/>
                <w:lang w:val="es-MX" w:eastAsia="es-MX"/>
              </w:rPr>
              <w:t>026,243.00</w:t>
            </w:r>
          </w:p>
        </w:tc>
      </w:tr>
      <w:tr w:rsidR="00EF520F" w:rsidRPr="00EF520F" w:rsidTr="00EF520F">
        <w:trPr>
          <w:trHeight w:val="414"/>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Transferencias Internas y Asignaciones al Sector Público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Transferencias Internas al resto del Sector Público</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Subsidios y Subvenciones </w:t>
            </w:r>
          </w:p>
        </w:tc>
        <w:tc>
          <w:tcPr>
            <w:tcW w:w="3685" w:type="dxa"/>
            <w:tcBorders>
              <w:top w:val="nil"/>
              <w:left w:val="nil"/>
              <w:bottom w:val="nil"/>
              <w:right w:val="nil"/>
            </w:tcBorders>
            <w:shd w:val="clear" w:color="auto" w:fill="auto"/>
            <w:noWrap/>
            <w:hideMark/>
          </w:tcPr>
          <w:p w:rsidR="00EF520F" w:rsidRPr="00EF520F" w:rsidRDefault="00B30D28"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2,042’</w:t>
            </w:r>
            <w:r w:rsidR="00EF520F" w:rsidRPr="00EF520F">
              <w:rPr>
                <w:rFonts w:ascii="Arial" w:hAnsi="Arial" w:cs="Arial"/>
                <w:color w:val="000000"/>
                <w:sz w:val="19"/>
                <w:szCs w:val="19"/>
                <w:lang w:val="es-MX" w:eastAsia="es-MX"/>
              </w:rPr>
              <w:t>026,243.00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Ayudas sociales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Pensiones y Jubilaciones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Transferencias a fideicomisos, mandatos y análogos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w:t>
            </w:r>
          </w:p>
        </w:tc>
      </w:tr>
      <w:tr w:rsidR="00EF520F" w:rsidRPr="00EF520F" w:rsidTr="00EF520F">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INGRESOS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1.00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Intereses Ganados de Valores, Créditos, Bonos y Otros</w:t>
            </w:r>
          </w:p>
        </w:tc>
        <w:tc>
          <w:tcPr>
            <w:tcW w:w="3685" w:type="dxa"/>
            <w:tcBorders>
              <w:top w:val="nil"/>
              <w:left w:val="nil"/>
              <w:bottom w:val="nil"/>
              <w:right w:val="nil"/>
            </w:tcBorders>
            <w:shd w:val="clear" w:color="auto" w:fill="auto"/>
            <w:noWrap/>
            <w:hideMark/>
          </w:tcPr>
          <w:p w:rsidR="00EF520F" w:rsidRPr="00EF520F" w:rsidRDefault="00EF520F" w:rsidP="00EF520F">
            <w:pPr>
              <w:jc w:val="right"/>
              <w:rPr>
                <w:rFonts w:ascii="Arial" w:hAnsi="Arial" w:cs="Arial"/>
                <w:color w:val="000000"/>
                <w:sz w:val="19"/>
                <w:szCs w:val="19"/>
                <w:lang w:val="es-MX" w:eastAsia="es-MX"/>
              </w:rPr>
            </w:pPr>
            <w:r w:rsidRPr="00EF520F">
              <w:rPr>
                <w:rFonts w:ascii="Arial" w:hAnsi="Arial" w:cs="Arial"/>
                <w:color w:val="000000"/>
                <w:sz w:val="19"/>
                <w:szCs w:val="19"/>
                <w:lang w:val="es-MX" w:eastAsia="es-MX"/>
              </w:rPr>
              <w:t>1.00</w:t>
            </w:r>
          </w:p>
        </w:tc>
      </w:tr>
      <w:tr w:rsidR="00EF520F" w:rsidRPr="00EF520F" w:rsidTr="00EF520F">
        <w:trPr>
          <w:trHeight w:val="315"/>
        </w:trPr>
        <w:tc>
          <w:tcPr>
            <w:tcW w:w="4977" w:type="dxa"/>
            <w:gridSpan w:val="5"/>
            <w:tcBorders>
              <w:top w:val="nil"/>
              <w:left w:val="nil"/>
              <w:bottom w:val="nil"/>
              <w:right w:val="nil"/>
            </w:tcBorders>
            <w:shd w:val="clear" w:color="auto" w:fill="auto"/>
            <w:hideMark/>
          </w:tcPr>
          <w:p w:rsidR="00EF520F" w:rsidRPr="00EF520F" w:rsidRDefault="00EF520F" w:rsidP="00EF520F">
            <w:pPr>
              <w:jc w:val="center"/>
              <w:rPr>
                <w:rFonts w:ascii="Arial" w:hAnsi="Arial" w:cs="Arial"/>
                <w:b/>
                <w:bCs/>
                <w:sz w:val="19"/>
                <w:szCs w:val="19"/>
                <w:lang w:val="es-MX" w:eastAsia="es-MX"/>
              </w:rPr>
            </w:pPr>
            <w:r w:rsidRPr="00EF520F">
              <w:rPr>
                <w:rFonts w:ascii="Arial" w:hAnsi="Arial" w:cs="Arial"/>
                <w:b/>
                <w:bCs/>
                <w:sz w:val="19"/>
                <w:szCs w:val="19"/>
                <w:lang w:val="es-MX" w:eastAsia="es-MX"/>
              </w:rPr>
              <w:t>TOTAL DE INGRESOS</w:t>
            </w:r>
          </w:p>
        </w:tc>
        <w:tc>
          <w:tcPr>
            <w:tcW w:w="3685" w:type="dxa"/>
            <w:tcBorders>
              <w:top w:val="nil"/>
              <w:left w:val="nil"/>
              <w:bottom w:val="nil"/>
              <w:right w:val="nil"/>
            </w:tcBorders>
            <w:shd w:val="clear" w:color="auto" w:fill="auto"/>
            <w:hideMark/>
          </w:tcPr>
          <w:p w:rsidR="00EF520F" w:rsidRPr="00EF520F" w:rsidRDefault="00B813A6" w:rsidP="00EF520F">
            <w:pPr>
              <w:jc w:val="right"/>
              <w:rPr>
                <w:rFonts w:ascii="Arial" w:hAnsi="Arial" w:cs="Arial"/>
                <w:b/>
                <w:bCs/>
                <w:sz w:val="19"/>
                <w:szCs w:val="19"/>
                <w:lang w:val="es-MX" w:eastAsia="es-MX"/>
              </w:rPr>
            </w:pPr>
            <w:r>
              <w:rPr>
                <w:rFonts w:ascii="Arial" w:hAnsi="Arial" w:cs="Arial"/>
                <w:b/>
                <w:bCs/>
                <w:sz w:val="19"/>
                <w:szCs w:val="19"/>
                <w:lang w:val="es-MX" w:eastAsia="es-MX"/>
              </w:rPr>
              <w:t>67,019’</w:t>
            </w:r>
            <w:r w:rsidR="00EF520F" w:rsidRPr="00EF520F">
              <w:rPr>
                <w:rFonts w:ascii="Arial" w:hAnsi="Arial" w:cs="Arial"/>
                <w:b/>
                <w:bCs/>
                <w:sz w:val="19"/>
                <w:szCs w:val="19"/>
                <w:lang w:val="es-MX" w:eastAsia="es-MX"/>
              </w:rPr>
              <w:t>786,656.00</w:t>
            </w:r>
          </w:p>
        </w:tc>
      </w:tr>
    </w:tbl>
    <w:p w:rsidR="00EF520F" w:rsidRDefault="00EF520F" w:rsidP="003F542B">
      <w:pPr>
        <w:pStyle w:val="Textoindependiente"/>
        <w:jc w:val="both"/>
        <w:rPr>
          <w:rFonts w:cs="Arial"/>
          <w:b w:val="0"/>
          <w:color w:val="auto"/>
          <w:sz w:val="19"/>
          <w:szCs w:val="19"/>
          <w:lang w:val="es-MX"/>
        </w:rPr>
      </w:pPr>
    </w:p>
    <w:p w:rsidR="005318C1" w:rsidRPr="005318C1" w:rsidRDefault="005318C1" w:rsidP="005318C1">
      <w:pPr>
        <w:pStyle w:val="Textoindependiente"/>
        <w:jc w:val="both"/>
        <w:rPr>
          <w:rFonts w:cs="Arial"/>
          <w:b w:val="0"/>
          <w:color w:val="auto"/>
          <w:sz w:val="19"/>
          <w:szCs w:val="19"/>
        </w:rPr>
      </w:pPr>
      <w:r w:rsidRPr="005318C1">
        <w:rPr>
          <w:rFonts w:cs="Arial"/>
          <w:b w:val="0"/>
          <w:color w:val="auto"/>
          <w:sz w:val="19"/>
          <w:szCs w:val="19"/>
        </w:rPr>
        <w:t xml:space="preserve">El desglose de Convenios se presenta en el Anexo 1 de la presente Ley.  La integración de Transferencias, Asignaciones, Subsidios y Otras Ayudas se presentan en el Anexo 2 y el Anexo 3, corresponde al Calendario de Ingresos para el Ejercicio Fiscal 2018. </w:t>
      </w:r>
    </w:p>
    <w:p w:rsidR="005318C1" w:rsidRPr="005318C1" w:rsidRDefault="005318C1" w:rsidP="005318C1">
      <w:pPr>
        <w:pStyle w:val="Textoindependiente"/>
        <w:jc w:val="both"/>
        <w:rPr>
          <w:rFonts w:cs="Arial"/>
          <w:b w:val="0"/>
          <w:color w:val="auto"/>
          <w:sz w:val="19"/>
          <w:szCs w:val="19"/>
        </w:rPr>
      </w:pPr>
    </w:p>
    <w:p w:rsidR="005318C1" w:rsidRPr="005318C1" w:rsidRDefault="005318C1" w:rsidP="005318C1">
      <w:pPr>
        <w:pStyle w:val="Textoindependiente"/>
        <w:jc w:val="both"/>
        <w:rPr>
          <w:rFonts w:cs="Arial"/>
          <w:b w:val="0"/>
          <w:color w:val="auto"/>
          <w:sz w:val="19"/>
          <w:szCs w:val="19"/>
        </w:rPr>
      </w:pPr>
      <w:r w:rsidRPr="005318C1">
        <w:rPr>
          <w:rFonts w:cs="Arial"/>
          <w:b w:val="0"/>
          <w:color w:val="auto"/>
          <w:sz w:val="19"/>
          <w:szCs w:val="19"/>
        </w:rPr>
        <w:t>Cuando en una ley o decreto se establezcan ingresos previstos en este artículo, o determinen otros conceptos de ingresos, estos se considerarán comprendidos en la fracción que corresponda a los ingresos a que se refiere este artículo.</w:t>
      </w:r>
    </w:p>
    <w:p w:rsidR="005318C1" w:rsidRDefault="005318C1" w:rsidP="003F542B">
      <w:pPr>
        <w:pStyle w:val="Textoindependiente"/>
        <w:jc w:val="both"/>
        <w:rPr>
          <w:rFonts w:cs="Arial"/>
          <w:b w:val="0"/>
          <w:color w:val="auto"/>
          <w:sz w:val="19"/>
          <w:szCs w:val="19"/>
          <w:lang w:val="es-MX"/>
        </w:rPr>
      </w:pPr>
    </w:p>
    <w:p w:rsidR="005318C1" w:rsidRPr="000B3496" w:rsidRDefault="005318C1" w:rsidP="005318C1">
      <w:pPr>
        <w:pStyle w:val="Texto"/>
        <w:spacing w:after="0" w:line="240" w:lineRule="auto"/>
        <w:ind w:firstLine="2"/>
        <w:jc w:val="center"/>
        <w:rPr>
          <w:b/>
          <w:sz w:val="19"/>
          <w:szCs w:val="19"/>
        </w:rPr>
      </w:pPr>
      <w:r w:rsidRPr="000B3496">
        <w:rPr>
          <w:b/>
          <w:sz w:val="19"/>
          <w:szCs w:val="19"/>
        </w:rPr>
        <w:t>TÍTULO TERCERO</w:t>
      </w:r>
    </w:p>
    <w:p w:rsidR="005318C1" w:rsidRPr="000B3496" w:rsidRDefault="005318C1" w:rsidP="005318C1">
      <w:pPr>
        <w:pStyle w:val="Texto"/>
        <w:spacing w:after="0" w:line="240" w:lineRule="auto"/>
        <w:ind w:firstLine="2"/>
        <w:jc w:val="center"/>
        <w:rPr>
          <w:b/>
          <w:sz w:val="19"/>
          <w:szCs w:val="19"/>
        </w:rPr>
      </w:pPr>
      <w:r w:rsidRPr="000B3496">
        <w:rPr>
          <w:b/>
          <w:sz w:val="19"/>
          <w:szCs w:val="19"/>
        </w:rPr>
        <w:t>DE LAS FACILIDADES ADMINISTRATIVAS, ESTÍMULOS Y SUBSIDIOS FISCALES</w:t>
      </w:r>
    </w:p>
    <w:p w:rsidR="005318C1" w:rsidRPr="006459BD" w:rsidRDefault="005318C1" w:rsidP="003F542B">
      <w:pPr>
        <w:pStyle w:val="Textoindependiente"/>
        <w:jc w:val="both"/>
        <w:rPr>
          <w:rFonts w:cs="Arial"/>
          <w:b w:val="0"/>
          <w:color w:val="auto"/>
          <w:sz w:val="19"/>
          <w:szCs w:val="19"/>
          <w:lang w:val="es-MX"/>
        </w:rPr>
      </w:pPr>
    </w:p>
    <w:p w:rsidR="006459BD" w:rsidRPr="006459BD" w:rsidRDefault="006459BD" w:rsidP="006459BD">
      <w:pPr>
        <w:pStyle w:val="Texto"/>
        <w:spacing w:after="0" w:line="240" w:lineRule="auto"/>
        <w:ind w:firstLine="0"/>
        <w:rPr>
          <w:sz w:val="19"/>
          <w:szCs w:val="19"/>
        </w:rPr>
      </w:pPr>
      <w:r w:rsidRPr="006459BD">
        <w:rPr>
          <w:b/>
          <w:sz w:val="19"/>
          <w:szCs w:val="19"/>
        </w:rPr>
        <w:t>Artículo 7</w:t>
      </w:r>
      <w:r w:rsidRPr="006459BD">
        <w:rPr>
          <w:sz w:val="19"/>
          <w:szCs w:val="19"/>
        </w:rPr>
        <w:t>. En los casos de prórroga para el pago de créditos fiscales se causarán recargos:</w:t>
      </w:r>
    </w:p>
    <w:p w:rsidR="006459BD" w:rsidRPr="006459BD" w:rsidRDefault="006459BD" w:rsidP="006459BD">
      <w:pPr>
        <w:pStyle w:val="Texto"/>
        <w:spacing w:after="0" w:line="240" w:lineRule="auto"/>
        <w:ind w:firstLine="0"/>
        <w:rPr>
          <w:sz w:val="19"/>
          <w:szCs w:val="19"/>
        </w:rPr>
      </w:pPr>
    </w:p>
    <w:p w:rsidR="006459BD" w:rsidRPr="006459BD" w:rsidRDefault="006459BD" w:rsidP="006459BD">
      <w:pPr>
        <w:pStyle w:val="Texto"/>
        <w:numPr>
          <w:ilvl w:val="0"/>
          <w:numId w:val="8"/>
        </w:numPr>
        <w:spacing w:after="0" w:line="240" w:lineRule="auto"/>
        <w:ind w:left="851" w:hanging="851"/>
        <w:rPr>
          <w:sz w:val="19"/>
          <w:szCs w:val="19"/>
        </w:rPr>
      </w:pPr>
      <w:r w:rsidRPr="006459BD">
        <w:rPr>
          <w:sz w:val="19"/>
          <w:szCs w:val="19"/>
        </w:rPr>
        <w:t>Al 0.98 por ciento mensual sobre los saldos insolutos.</w:t>
      </w:r>
    </w:p>
    <w:p w:rsidR="006459BD" w:rsidRPr="006459BD" w:rsidRDefault="006459BD" w:rsidP="006459BD">
      <w:pPr>
        <w:pStyle w:val="Texto"/>
        <w:spacing w:after="0" w:line="240" w:lineRule="auto"/>
        <w:ind w:left="851" w:hanging="708"/>
        <w:rPr>
          <w:sz w:val="19"/>
          <w:szCs w:val="19"/>
        </w:rPr>
      </w:pPr>
    </w:p>
    <w:p w:rsidR="006459BD" w:rsidRPr="006459BD" w:rsidRDefault="006459BD" w:rsidP="006459BD">
      <w:pPr>
        <w:pStyle w:val="Texto"/>
        <w:numPr>
          <w:ilvl w:val="0"/>
          <w:numId w:val="8"/>
        </w:numPr>
        <w:spacing w:after="0" w:line="240" w:lineRule="auto"/>
        <w:ind w:left="851" w:hanging="851"/>
        <w:rPr>
          <w:sz w:val="19"/>
          <w:szCs w:val="19"/>
        </w:rPr>
      </w:pPr>
      <w:r w:rsidRPr="006459BD">
        <w:rPr>
          <w:sz w:val="19"/>
          <w:szCs w:val="19"/>
        </w:rPr>
        <w:t>Cuando de conformidad con el Código, se autorice el pago a plazos, se aplicará la tasa de recargos que a continuación se establece, sobre los saldos y durante el periodo de que se trate:</w:t>
      </w:r>
    </w:p>
    <w:p w:rsidR="006459BD" w:rsidRPr="006459BD" w:rsidRDefault="006459BD" w:rsidP="006459BD">
      <w:pPr>
        <w:pStyle w:val="Texto"/>
        <w:spacing w:after="0" w:line="240" w:lineRule="auto"/>
        <w:ind w:left="851" w:hanging="708"/>
        <w:rPr>
          <w:sz w:val="19"/>
          <w:szCs w:val="19"/>
        </w:rPr>
      </w:pPr>
    </w:p>
    <w:p w:rsidR="006459BD" w:rsidRPr="006459BD" w:rsidRDefault="006459BD" w:rsidP="006459BD">
      <w:pPr>
        <w:pStyle w:val="Texto"/>
        <w:numPr>
          <w:ilvl w:val="0"/>
          <w:numId w:val="9"/>
        </w:numPr>
        <w:spacing w:after="0" w:line="240" w:lineRule="auto"/>
        <w:ind w:left="851" w:hanging="567"/>
        <w:rPr>
          <w:sz w:val="19"/>
          <w:szCs w:val="19"/>
        </w:rPr>
      </w:pPr>
      <w:r w:rsidRPr="006459BD">
        <w:rPr>
          <w:sz w:val="19"/>
          <w:szCs w:val="19"/>
        </w:rPr>
        <w:t>Pagos a plazos en parcialidades de hasta 12 meses, la tasa de recargos será del 1.26 por ciento mensual.</w:t>
      </w:r>
    </w:p>
    <w:p w:rsidR="006459BD" w:rsidRPr="006459BD" w:rsidRDefault="006459BD" w:rsidP="006459BD">
      <w:pPr>
        <w:pStyle w:val="Texto"/>
        <w:spacing w:after="0" w:line="240" w:lineRule="auto"/>
        <w:ind w:left="851" w:hanging="567"/>
        <w:rPr>
          <w:sz w:val="19"/>
          <w:szCs w:val="19"/>
        </w:rPr>
      </w:pPr>
    </w:p>
    <w:p w:rsidR="006459BD" w:rsidRPr="006459BD" w:rsidRDefault="006459BD" w:rsidP="006459BD">
      <w:pPr>
        <w:pStyle w:val="Texto"/>
        <w:numPr>
          <w:ilvl w:val="0"/>
          <w:numId w:val="9"/>
        </w:numPr>
        <w:spacing w:after="0" w:line="240" w:lineRule="auto"/>
        <w:ind w:left="851" w:hanging="567"/>
        <w:rPr>
          <w:sz w:val="19"/>
          <w:szCs w:val="19"/>
        </w:rPr>
      </w:pPr>
      <w:r w:rsidRPr="006459BD">
        <w:rPr>
          <w:sz w:val="19"/>
          <w:szCs w:val="19"/>
        </w:rPr>
        <w:t>Pagos a plazos en parcialidades de más de 12 meses y hasta de 24 meses, la tasa de recargos será de 1.53 por ciento mensual.</w:t>
      </w:r>
    </w:p>
    <w:p w:rsidR="006459BD" w:rsidRPr="006459BD" w:rsidRDefault="006459BD" w:rsidP="006459BD">
      <w:pPr>
        <w:pStyle w:val="Texto"/>
        <w:spacing w:after="0" w:line="240" w:lineRule="auto"/>
        <w:ind w:left="851" w:hanging="567"/>
        <w:rPr>
          <w:sz w:val="19"/>
          <w:szCs w:val="19"/>
        </w:rPr>
      </w:pPr>
    </w:p>
    <w:p w:rsidR="006459BD" w:rsidRPr="006459BD" w:rsidRDefault="006459BD" w:rsidP="006459BD">
      <w:pPr>
        <w:pStyle w:val="Texto"/>
        <w:numPr>
          <w:ilvl w:val="0"/>
          <w:numId w:val="9"/>
        </w:numPr>
        <w:spacing w:after="0" w:line="240" w:lineRule="auto"/>
        <w:ind w:left="851" w:hanging="567"/>
        <w:rPr>
          <w:sz w:val="19"/>
          <w:szCs w:val="19"/>
        </w:rPr>
      </w:pPr>
      <w:r w:rsidRPr="006459BD">
        <w:rPr>
          <w:sz w:val="19"/>
          <w:szCs w:val="19"/>
        </w:rPr>
        <w:t>Pagos a plazos en parcialidades superiores a 24 meses, así como tratándose de pagos a plazo diferido, la tasa de recargos será de 1.82 por ciento mensual.</w:t>
      </w:r>
    </w:p>
    <w:p w:rsidR="006459BD" w:rsidRPr="006459BD" w:rsidRDefault="006459BD" w:rsidP="006459BD">
      <w:pPr>
        <w:pStyle w:val="Texto"/>
        <w:spacing w:after="0" w:line="240" w:lineRule="auto"/>
        <w:ind w:left="709" w:hanging="567"/>
        <w:rPr>
          <w:sz w:val="19"/>
          <w:szCs w:val="19"/>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Las tasas de recargos establecidas en la fracción II de este artículo incluyen la actualización realizada conforme a lo establecido por el Código.</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8.</w:t>
      </w:r>
      <w:r w:rsidRPr="006459BD">
        <w:rPr>
          <w:rFonts w:ascii="Arial" w:hAnsi="Arial" w:cs="Arial"/>
          <w:sz w:val="19"/>
          <w:szCs w:val="19"/>
          <w:lang w:val="es-MX"/>
        </w:rPr>
        <w:t xml:space="preserve"> Se otorgará estímulo fiscal del 100 por ciento a los propietarios y/o tenedores de vehículos, por los cuales deban pagar el Impuesto sobre Tenencia o Uso de Vehículos, excepto aeronaves, embarcaciones y vehículo nuevos.</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Para acogerse a este beneficio deberán:</w:t>
      </w:r>
    </w:p>
    <w:p w:rsidR="006459BD" w:rsidRPr="006459BD" w:rsidRDefault="006459BD" w:rsidP="006459BD">
      <w:pPr>
        <w:jc w:val="both"/>
        <w:rPr>
          <w:rFonts w:ascii="Arial" w:hAnsi="Arial" w:cs="Arial"/>
          <w:sz w:val="19"/>
          <w:szCs w:val="19"/>
          <w:lang w:val="es-MX"/>
        </w:rPr>
      </w:pPr>
    </w:p>
    <w:p w:rsidR="006459BD" w:rsidRPr="006459BD" w:rsidRDefault="006459BD" w:rsidP="00450C2E">
      <w:pPr>
        <w:numPr>
          <w:ilvl w:val="0"/>
          <w:numId w:val="25"/>
        </w:numPr>
        <w:ind w:left="851" w:hanging="567"/>
        <w:contextualSpacing/>
        <w:jc w:val="both"/>
        <w:rPr>
          <w:rFonts w:ascii="Arial" w:hAnsi="Arial" w:cs="Arial"/>
          <w:sz w:val="19"/>
          <w:szCs w:val="19"/>
          <w:lang w:val="es-MX"/>
        </w:rPr>
      </w:pPr>
      <w:r w:rsidRPr="006459BD">
        <w:rPr>
          <w:rFonts w:ascii="Arial" w:hAnsi="Arial" w:cs="Arial"/>
          <w:sz w:val="19"/>
          <w:szCs w:val="19"/>
          <w:lang w:val="es-MX"/>
        </w:rPr>
        <w:t>Estar al corriente en el pago del Impuesto sobre Tenencia o Uso de Vehículos y derechos vehiculares, y</w:t>
      </w:r>
    </w:p>
    <w:p w:rsidR="006459BD" w:rsidRPr="006459BD" w:rsidRDefault="006459BD" w:rsidP="006459BD">
      <w:pPr>
        <w:ind w:hanging="720"/>
        <w:jc w:val="both"/>
        <w:rPr>
          <w:rFonts w:ascii="Arial" w:hAnsi="Arial" w:cs="Arial"/>
          <w:sz w:val="19"/>
          <w:szCs w:val="19"/>
          <w:lang w:val="es-MX"/>
        </w:rPr>
      </w:pPr>
    </w:p>
    <w:p w:rsidR="006459BD" w:rsidRPr="006459BD" w:rsidRDefault="006459BD" w:rsidP="00450C2E">
      <w:pPr>
        <w:numPr>
          <w:ilvl w:val="0"/>
          <w:numId w:val="25"/>
        </w:numPr>
        <w:ind w:left="851" w:hanging="567"/>
        <w:contextualSpacing/>
        <w:jc w:val="both"/>
        <w:rPr>
          <w:rFonts w:ascii="Arial" w:hAnsi="Arial" w:cs="Arial"/>
          <w:sz w:val="19"/>
          <w:szCs w:val="19"/>
          <w:lang w:val="es-MX"/>
        </w:rPr>
      </w:pPr>
      <w:r w:rsidRPr="006459BD">
        <w:rPr>
          <w:rFonts w:ascii="Arial" w:hAnsi="Arial" w:cs="Arial"/>
          <w:sz w:val="19"/>
          <w:szCs w:val="19"/>
          <w:lang w:val="es-MX"/>
        </w:rPr>
        <w:t>Efectuar el pago del Impuesto sobre Tenencia o Uso de Vehículos, derechos de control vehicular y el primer semestre de la verificación de emisiones a la atmosfera que corresponda a más tardar el 30 de junio del ejercicio fiscal 2018.</w:t>
      </w:r>
    </w:p>
    <w:p w:rsidR="006459BD" w:rsidRPr="006459BD" w:rsidRDefault="006459BD" w:rsidP="006459BD">
      <w:pPr>
        <w:ind w:hanging="720"/>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9. </w:t>
      </w:r>
      <w:r w:rsidRPr="006459BD">
        <w:rPr>
          <w:rFonts w:ascii="Arial" w:hAnsi="Arial" w:cs="Arial"/>
          <w:sz w:val="19"/>
          <w:szCs w:val="19"/>
          <w:lang w:val="es-MX"/>
        </w:rPr>
        <w:t xml:space="preserve">A los propietarios y/o tenedores de vehículos, enajenados por primera vez al consumidor por el fabricante, ensamblador, distribuidor o comerciales en el ramo de vehículos, excepto aeronaves y embarcaciones, por los cuales deban pagar el Impuesto sobre Tenencia o Uso de Vehículos del servicio </w:t>
      </w:r>
      <w:r w:rsidRPr="006459BD">
        <w:rPr>
          <w:rFonts w:ascii="Arial" w:hAnsi="Arial" w:cs="Arial"/>
          <w:sz w:val="19"/>
          <w:szCs w:val="19"/>
          <w:lang w:val="es-MX"/>
        </w:rPr>
        <w:lastRenderedPageBreak/>
        <w:t>privado, se les otorgará un estímulo fiscal del 100 por ciento del Impuesto sobre Tenencia o Uso de Vehículos en el ejercicio fiscal 2018.</w:t>
      </w:r>
    </w:p>
    <w:p w:rsidR="006459BD" w:rsidRPr="006459BD" w:rsidRDefault="006459BD" w:rsidP="006459BD">
      <w:pPr>
        <w:jc w:val="both"/>
        <w:rPr>
          <w:rFonts w:ascii="Arial" w:hAnsi="Arial" w:cs="Arial"/>
          <w:b/>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Para ser beneficiario de lo anterior, deberá realizar el registro (alta) dentro de los 15 días hábiles siguientes a la fecha de adquisición y efectuar de manera conjunta el pago del Impuesto sobre Tenencia o Uso de Vehículos, derechos de control vehicular y el primer semestre de la verificación de emisiones a la atmosfera.</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10. </w:t>
      </w:r>
      <w:r w:rsidRPr="006459BD">
        <w:rPr>
          <w:rFonts w:ascii="Arial" w:hAnsi="Arial" w:cs="Arial"/>
          <w:sz w:val="19"/>
          <w:szCs w:val="19"/>
          <w:lang w:val="es-MX"/>
        </w:rPr>
        <w:t>Los propietarios y/o tenedores de vehículos gozarán de un estímulo del 50 por ciento durante el primer semestre del ejercicio fiscal 2018 en el pago de derechos por los servicios de verificación de emisiones a la atmósfera, para acogerse a este beneficio deberán:</w:t>
      </w:r>
    </w:p>
    <w:p w:rsidR="006459BD" w:rsidRPr="006459BD" w:rsidRDefault="006459BD" w:rsidP="006459BD">
      <w:pPr>
        <w:ind w:left="851" w:hanging="851"/>
        <w:jc w:val="both"/>
        <w:rPr>
          <w:rFonts w:ascii="Arial" w:hAnsi="Arial" w:cs="Arial"/>
          <w:sz w:val="19"/>
          <w:szCs w:val="19"/>
          <w:lang w:val="es-MX"/>
        </w:rPr>
      </w:pPr>
    </w:p>
    <w:p w:rsidR="006459BD" w:rsidRPr="006459BD" w:rsidRDefault="006459BD" w:rsidP="00450C2E">
      <w:pPr>
        <w:numPr>
          <w:ilvl w:val="0"/>
          <w:numId w:val="26"/>
        </w:numPr>
        <w:ind w:left="851" w:hanging="491"/>
        <w:jc w:val="both"/>
        <w:rPr>
          <w:rFonts w:ascii="Arial" w:hAnsi="Arial" w:cs="Arial"/>
          <w:sz w:val="19"/>
          <w:szCs w:val="19"/>
          <w:lang w:val="es-MX"/>
        </w:rPr>
      </w:pPr>
      <w:r w:rsidRPr="006459BD">
        <w:rPr>
          <w:rFonts w:ascii="Arial" w:hAnsi="Arial" w:cs="Arial"/>
          <w:sz w:val="19"/>
          <w:szCs w:val="19"/>
          <w:lang w:val="es-MX"/>
        </w:rPr>
        <w:t>Contar con el registro del vehículo en el Registro Estatal de Contribuyentes, y</w:t>
      </w:r>
    </w:p>
    <w:p w:rsidR="006459BD" w:rsidRPr="006459BD" w:rsidRDefault="006459BD" w:rsidP="006459BD">
      <w:pPr>
        <w:ind w:left="720"/>
        <w:jc w:val="both"/>
        <w:rPr>
          <w:rFonts w:ascii="Arial" w:hAnsi="Arial" w:cs="Arial"/>
          <w:sz w:val="19"/>
          <w:szCs w:val="19"/>
          <w:lang w:val="es-MX"/>
        </w:rPr>
      </w:pPr>
    </w:p>
    <w:p w:rsidR="006459BD" w:rsidRPr="006459BD" w:rsidRDefault="006459BD" w:rsidP="00450C2E">
      <w:pPr>
        <w:numPr>
          <w:ilvl w:val="0"/>
          <w:numId w:val="26"/>
        </w:numPr>
        <w:ind w:left="851" w:hanging="491"/>
        <w:jc w:val="both"/>
        <w:rPr>
          <w:rFonts w:ascii="Arial" w:hAnsi="Arial" w:cs="Arial"/>
          <w:sz w:val="19"/>
          <w:szCs w:val="19"/>
          <w:lang w:val="es-MX"/>
        </w:rPr>
      </w:pPr>
      <w:r w:rsidRPr="006459BD">
        <w:rPr>
          <w:rFonts w:ascii="Arial" w:hAnsi="Arial" w:cs="Arial"/>
          <w:sz w:val="19"/>
          <w:szCs w:val="19"/>
          <w:lang w:val="es-MX"/>
        </w:rPr>
        <w:t>Tener placas, calcomanía y tarjeta de circulación expedido por el Estado de Oaxaca.</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11. </w:t>
      </w:r>
      <w:r w:rsidRPr="006459BD">
        <w:rPr>
          <w:rFonts w:ascii="Arial" w:hAnsi="Arial" w:cs="Arial"/>
          <w:sz w:val="19"/>
          <w:szCs w:val="19"/>
          <w:lang w:val="es-MX"/>
        </w:rPr>
        <w:t xml:space="preserve">Se exime del pago del Impuesto Sobre Tenencia o Uso de Vehículos y Derechos Vehiculares relacionados que correspondan, a los propietarios y/o tenedores de vehículos que no hayan realizado el trámite de baja por pérdida total, por robo o siniestro en los ejercicios fiscales 2013 al 2018, según corresponda, considerando el ejercicio fiscal inmediato posterior en el que ocurrió lo antes señalado. </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Para acogerse a este beneficio, se deberán presentar ante las oficinas de la autoridad fiscal copia certificada de la averiguación previa. Tratándose de pérdida total por siniestro se presentará el dictamen emitido por la Aseguradora o el acta levantada por la autoridad correspondiente que haya tomado parte del siniestro.</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12.</w:t>
      </w:r>
      <w:r w:rsidRPr="006459BD">
        <w:rPr>
          <w:rFonts w:ascii="Arial" w:hAnsi="Arial" w:cs="Arial"/>
          <w:sz w:val="19"/>
          <w:szCs w:val="19"/>
          <w:lang w:val="es-MX"/>
        </w:rPr>
        <w:t xml:space="preserve"> Se otorgará estímulo fiscal a los contribuyentes del Impuesto Sobre Erogaciones por Remuneraciones al Trabajo Personal durante los meses de enero a diciembre de 2018, cuando se encuentren en los supuestos siguientes: </w:t>
      </w:r>
    </w:p>
    <w:p w:rsidR="006459BD" w:rsidRPr="006459BD" w:rsidRDefault="006459BD" w:rsidP="006459BD">
      <w:pPr>
        <w:jc w:val="both"/>
        <w:rPr>
          <w:rFonts w:ascii="Arial" w:hAnsi="Arial" w:cs="Arial"/>
          <w:sz w:val="19"/>
          <w:szCs w:val="19"/>
          <w:lang w:val="es-MX"/>
        </w:rPr>
      </w:pPr>
    </w:p>
    <w:tbl>
      <w:tblPr>
        <w:tblW w:w="6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551"/>
        <w:gridCol w:w="1984"/>
      </w:tblGrid>
      <w:tr w:rsidR="006459BD" w:rsidRPr="006459BD" w:rsidTr="00E933B8">
        <w:trPr>
          <w:trHeight w:val="372"/>
          <w:jc w:val="center"/>
        </w:trPr>
        <w:tc>
          <w:tcPr>
            <w:tcW w:w="1984" w:type="dxa"/>
            <w:shd w:val="clear" w:color="auto" w:fill="auto"/>
          </w:tcPr>
          <w:p w:rsidR="006459BD" w:rsidRPr="006459BD" w:rsidRDefault="006459BD" w:rsidP="00FA4228">
            <w:pPr>
              <w:jc w:val="center"/>
              <w:rPr>
                <w:rFonts w:ascii="Arial" w:eastAsia="MS Mincho" w:hAnsi="Arial" w:cs="Arial"/>
                <w:b/>
                <w:sz w:val="19"/>
                <w:szCs w:val="19"/>
                <w:lang w:val="es-ES_tradnl"/>
              </w:rPr>
            </w:pPr>
            <w:r w:rsidRPr="006459BD">
              <w:rPr>
                <w:rFonts w:ascii="Arial" w:eastAsia="MS Mincho" w:hAnsi="Arial" w:cs="Arial"/>
                <w:b/>
                <w:sz w:val="19"/>
                <w:szCs w:val="19"/>
                <w:lang w:val="es-ES_tradnl"/>
              </w:rPr>
              <w:t>Contribuyente</w:t>
            </w:r>
          </w:p>
        </w:tc>
        <w:tc>
          <w:tcPr>
            <w:tcW w:w="2551" w:type="dxa"/>
            <w:shd w:val="clear" w:color="auto" w:fill="auto"/>
          </w:tcPr>
          <w:p w:rsidR="00E933B8" w:rsidRDefault="006459BD" w:rsidP="00FA4228">
            <w:pPr>
              <w:jc w:val="center"/>
              <w:rPr>
                <w:rFonts w:ascii="Arial" w:eastAsia="MS Mincho" w:hAnsi="Arial" w:cs="Arial"/>
                <w:b/>
                <w:sz w:val="19"/>
                <w:szCs w:val="19"/>
                <w:lang w:val="es-ES_tradnl"/>
              </w:rPr>
            </w:pPr>
            <w:r w:rsidRPr="006459BD">
              <w:rPr>
                <w:rFonts w:ascii="Arial" w:eastAsia="MS Mincho" w:hAnsi="Arial" w:cs="Arial"/>
                <w:b/>
                <w:sz w:val="19"/>
                <w:szCs w:val="19"/>
                <w:lang w:val="es-ES_tradnl"/>
              </w:rPr>
              <w:t xml:space="preserve">Rango de </w:t>
            </w:r>
          </w:p>
          <w:p w:rsidR="006459BD" w:rsidRPr="006459BD" w:rsidRDefault="006459BD" w:rsidP="00FA4228">
            <w:pPr>
              <w:jc w:val="center"/>
              <w:rPr>
                <w:rFonts w:ascii="Arial" w:eastAsia="MS Mincho" w:hAnsi="Arial" w:cs="Arial"/>
                <w:b/>
                <w:sz w:val="19"/>
                <w:szCs w:val="19"/>
                <w:lang w:val="es-ES_tradnl"/>
              </w:rPr>
            </w:pPr>
            <w:r w:rsidRPr="006459BD">
              <w:rPr>
                <w:rFonts w:ascii="Arial" w:eastAsia="MS Mincho" w:hAnsi="Arial" w:cs="Arial"/>
                <w:b/>
                <w:sz w:val="19"/>
                <w:szCs w:val="19"/>
                <w:lang w:val="es-ES_tradnl"/>
              </w:rPr>
              <w:t>Trabajadores</w:t>
            </w:r>
          </w:p>
        </w:tc>
        <w:tc>
          <w:tcPr>
            <w:tcW w:w="1984" w:type="dxa"/>
            <w:shd w:val="clear" w:color="auto" w:fill="auto"/>
          </w:tcPr>
          <w:p w:rsidR="006459BD" w:rsidRPr="006459BD" w:rsidRDefault="006459BD" w:rsidP="00FA4228">
            <w:pPr>
              <w:jc w:val="center"/>
              <w:rPr>
                <w:rFonts w:ascii="Arial" w:eastAsia="MS Mincho" w:hAnsi="Arial" w:cs="Arial"/>
                <w:b/>
                <w:sz w:val="19"/>
                <w:szCs w:val="19"/>
                <w:lang w:val="es-ES_tradnl"/>
              </w:rPr>
            </w:pPr>
            <w:r w:rsidRPr="006459BD">
              <w:rPr>
                <w:rFonts w:ascii="Arial" w:eastAsia="MS Mincho" w:hAnsi="Arial" w:cs="Arial"/>
                <w:b/>
                <w:sz w:val="19"/>
                <w:szCs w:val="19"/>
                <w:lang w:val="es-ES_tradnl"/>
              </w:rPr>
              <w:t>Estímulo Fiscal</w:t>
            </w:r>
          </w:p>
        </w:tc>
      </w:tr>
      <w:tr w:rsidR="006459BD" w:rsidRPr="006459BD" w:rsidTr="00FA4228">
        <w:trPr>
          <w:jc w:val="center"/>
        </w:trPr>
        <w:tc>
          <w:tcPr>
            <w:tcW w:w="1984" w:type="dxa"/>
            <w:shd w:val="clear" w:color="auto" w:fill="auto"/>
          </w:tcPr>
          <w:p w:rsidR="00E933B8" w:rsidRDefault="00E933B8" w:rsidP="00FA4228">
            <w:pPr>
              <w:jc w:val="center"/>
              <w:rPr>
                <w:rFonts w:ascii="Arial" w:eastAsia="MS Mincho" w:hAnsi="Arial" w:cs="Arial"/>
                <w:sz w:val="19"/>
                <w:szCs w:val="19"/>
                <w:lang w:val="es-ES_tradnl"/>
              </w:rPr>
            </w:pP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Microempresas</w:t>
            </w:r>
          </w:p>
        </w:tc>
        <w:tc>
          <w:tcPr>
            <w:tcW w:w="2551" w:type="dxa"/>
            <w:shd w:val="clear" w:color="auto" w:fill="auto"/>
          </w:tcPr>
          <w:p w:rsidR="00E933B8" w:rsidRDefault="00E933B8" w:rsidP="00FA4228">
            <w:pPr>
              <w:jc w:val="center"/>
              <w:rPr>
                <w:rFonts w:ascii="Arial" w:eastAsia="MS Mincho" w:hAnsi="Arial" w:cs="Arial"/>
                <w:sz w:val="19"/>
                <w:szCs w:val="19"/>
                <w:lang w:val="es-ES_tradnl"/>
              </w:rPr>
            </w:pP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1 a 10 trabajadores</w:t>
            </w:r>
          </w:p>
        </w:tc>
        <w:tc>
          <w:tcPr>
            <w:tcW w:w="1984" w:type="dxa"/>
            <w:shd w:val="clear" w:color="auto" w:fill="auto"/>
          </w:tcPr>
          <w:p w:rsidR="00E933B8" w:rsidRDefault="00E933B8" w:rsidP="00FA4228">
            <w:pPr>
              <w:jc w:val="center"/>
              <w:rPr>
                <w:rFonts w:ascii="Arial" w:eastAsia="MS Mincho" w:hAnsi="Arial" w:cs="Arial"/>
                <w:sz w:val="19"/>
                <w:szCs w:val="19"/>
                <w:lang w:val="es-ES_tradnl"/>
              </w:rPr>
            </w:pP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25 por ciento</w:t>
            </w:r>
          </w:p>
        </w:tc>
      </w:tr>
      <w:tr w:rsidR="006459BD" w:rsidRPr="006459BD" w:rsidTr="00FA4228">
        <w:trPr>
          <w:jc w:val="center"/>
        </w:trPr>
        <w:tc>
          <w:tcPr>
            <w:tcW w:w="1984" w:type="dxa"/>
            <w:shd w:val="clear" w:color="auto" w:fill="auto"/>
          </w:tcPr>
          <w:p w:rsidR="00E933B8"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 xml:space="preserve">Pequeñas </w:t>
            </w: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empresas</w:t>
            </w:r>
          </w:p>
        </w:tc>
        <w:tc>
          <w:tcPr>
            <w:tcW w:w="2551" w:type="dxa"/>
            <w:shd w:val="clear" w:color="auto" w:fill="auto"/>
          </w:tcPr>
          <w:p w:rsidR="00E933B8" w:rsidRDefault="00E933B8" w:rsidP="00FA4228">
            <w:pPr>
              <w:jc w:val="center"/>
              <w:rPr>
                <w:rFonts w:ascii="Arial" w:eastAsia="MS Mincho" w:hAnsi="Arial" w:cs="Arial"/>
                <w:sz w:val="19"/>
                <w:szCs w:val="19"/>
                <w:lang w:val="es-ES_tradnl"/>
              </w:rPr>
            </w:pP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11 a 50 trabajadores</w:t>
            </w:r>
          </w:p>
        </w:tc>
        <w:tc>
          <w:tcPr>
            <w:tcW w:w="1984" w:type="dxa"/>
            <w:shd w:val="clear" w:color="auto" w:fill="auto"/>
          </w:tcPr>
          <w:p w:rsidR="00E933B8" w:rsidRDefault="00E933B8" w:rsidP="00FA4228">
            <w:pPr>
              <w:jc w:val="center"/>
              <w:rPr>
                <w:rFonts w:ascii="Arial" w:eastAsia="MS Mincho" w:hAnsi="Arial" w:cs="Arial"/>
                <w:sz w:val="19"/>
                <w:szCs w:val="19"/>
                <w:lang w:val="es-ES_tradnl"/>
              </w:rPr>
            </w:pPr>
          </w:p>
          <w:p w:rsidR="006459BD" w:rsidRPr="006459BD" w:rsidRDefault="006459BD" w:rsidP="00FA4228">
            <w:pPr>
              <w:jc w:val="center"/>
              <w:rPr>
                <w:rFonts w:ascii="Arial" w:eastAsia="MS Mincho" w:hAnsi="Arial" w:cs="Arial"/>
                <w:sz w:val="19"/>
                <w:szCs w:val="19"/>
                <w:lang w:val="es-ES_tradnl"/>
              </w:rPr>
            </w:pPr>
            <w:r w:rsidRPr="006459BD">
              <w:rPr>
                <w:rFonts w:ascii="Arial" w:eastAsia="MS Mincho" w:hAnsi="Arial" w:cs="Arial"/>
                <w:sz w:val="19"/>
                <w:szCs w:val="19"/>
                <w:lang w:val="es-ES_tradnl"/>
              </w:rPr>
              <w:t>10 por ciento</w:t>
            </w:r>
          </w:p>
        </w:tc>
      </w:tr>
    </w:tbl>
    <w:p w:rsidR="006459BD" w:rsidRPr="006459BD" w:rsidRDefault="006459BD" w:rsidP="006459BD">
      <w:pPr>
        <w:jc w:val="both"/>
        <w:rPr>
          <w:rFonts w:ascii="Arial" w:hAnsi="Arial" w:cs="Arial"/>
          <w:sz w:val="19"/>
          <w:szCs w:val="19"/>
          <w:lang w:val="es-MX"/>
        </w:rPr>
      </w:pPr>
      <w:r w:rsidRPr="006459BD">
        <w:rPr>
          <w:rFonts w:cs="Calibri"/>
          <w:lang w:val="es-MX"/>
        </w:rPr>
        <w:br/>
      </w:r>
      <w:r w:rsidRPr="006459BD">
        <w:rPr>
          <w:rFonts w:ascii="Arial" w:hAnsi="Arial" w:cs="Arial"/>
          <w:sz w:val="19"/>
          <w:szCs w:val="19"/>
          <w:lang w:val="es-MX"/>
        </w:rPr>
        <w:t xml:space="preserve">Para ser beneficiario del estímulo deberán cumplir con lo siguiente: </w:t>
      </w:r>
    </w:p>
    <w:p w:rsidR="006459BD" w:rsidRPr="006459BD" w:rsidRDefault="006459BD" w:rsidP="006459BD">
      <w:pPr>
        <w:jc w:val="both"/>
        <w:rPr>
          <w:rFonts w:ascii="Arial" w:hAnsi="Arial" w:cs="Arial"/>
          <w:sz w:val="19"/>
          <w:szCs w:val="19"/>
          <w:lang w:val="es-MX"/>
        </w:rPr>
      </w:pPr>
    </w:p>
    <w:p w:rsidR="006459BD" w:rsidRPr="006459BD" w:rsidRDefault="006459BD" w:rsidP="002121E7">
      <w:pPr>
        <w:numPr>
          <w:ilvl w:val="0"/>
          <w:numId w:val="27"/>
        </w:numPr>
        <w:ind w:left="851" w:hanging="491"/>
        <w:contextualSpacing/>
        <w:jc w:val="both"/>
        <w:rPr>
          <w:rFonts w:ascii="Arial" w:hAnsi="Arial" w:cs="Arial"/>
          <w:sz w:val="19"/>
          <w:szCs w:val="19"/>
          <w:lang w:val="es-MX"/>
        </w:rPr>
      </w:pPr>
      <w:r w:rsidRPr="006459BD">
        <w:rPr>
          <w:rFonts w:ascii="Arial" w:hAnsi="Arial" w:cs="Arial"/>
          <w:sz w:val="19"/>
          <w:szCs w:val="19"/>
          <w:lang w:val="es-MX"/>
        </w:rPr>
        <w:t>Estar al corriente en el pago de los Impuestos Estatales, conforme a las Leyes fiscales correspondientes, y</w:t>
      </w:r>
    </w:p>
    <w:p w:rsidR="006459BD" w:rsidRPr="006459BD" w:rsidRDefault="006459BD" w:rsidP="006459BD">
      <w:pPr>
        <w:jc w:val="both"/>
        <w:rPr>
          <w:rFonts w:ascii="Arial" w:hAnsi="Arial" w:cs="Arial"/>
          <w:sz w:val="19"/>
          <w:szCs w:val="19"/>
          <w:lang w:val="es-MX"/>
        </w:rPr>
      </w:pPr>
    </w:p>
    <w:p w:rsidR="006459BD" w:rsidRPr="006459BD" w:rsidRDefault="006459BD" w:rsidP="002121E7">
      <w:pPr>
        <w:numPr>
          <w:ilvl w:val="0"/>
          <w:numId w:val="27"/>
        </w:numPr>
        <w:ind w:left="851" w:hanging="491"/>
        <w:contextualSpacing/>
        <w:jc w:val="both"/>
        <w:rPr>
          <w:rFonts w:ascii="Arial" w:hAnsi="Arial" w:cs="Arial"/>
          <w:sz w:val="19"/>
          <w:szCs w:val="19"/>
          <w:lang w:val="es-MX"/>
        </w:rPr>
      </w:pPr>
      <w:r w:rsidRPr="006459BD">
        <w:rPr>
          <w:rFonts w:ascii="Arial" w:hAnsi="Arial" w:cs="Arial"/>
          <w:sz w:val="19"/>
          <w:szCs w:val="19"/>
          <w:lang w:val="es-MX"/>
        </w:rPr>
        <w:t>Que el número de trabajadores que se declara no sea inferior al número de trabajadores del bimestre anterior.</w:t>
      </w:r>
    </w:p>
    <w:p w:rsidR="006459BD" w:rsidRPr="006459BD" w:rsidRDefault="006459BD" w:rsidP="006459BD">
      <w:pPr>
        <w:ind w:left="714"/>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13</w:t>
      </w:r>
      <w:r w:rsidRPr="006459BD">
        <w:rPr>
          <w:rFonts w:ascii="Arial" w:hAnsi="Arial" w:cs="Arial"/>
          <w:sz w:val="19"/>
          <w:szCs w:val="19"/>
          <w:lang w:val="es-MX"/>
        </w:rPr>
        <w:t>. Los contribuyentes sujetos al pago del Impuesto Cedular a los Ingresos por el Otorgamiento del Uso o Goce Temporal de Bienes Inmuebles, tendrán un estímulo fiscal del 100 por ciento de recargos y multas, respecto de adeudos generados en el ejercicio fiscal 2017 o anteriores.</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Para ser beneficiario del estímulo deberán realizar la presentación de la declaración y pago correspondiente dentro del plazo contado del 2 de enero hasta el 31 de diciembre de 2018.</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14</w:t>
      </w:r>
      <w:r w:rsidRPr="006459BD">
        <w:rPr>
          <w:rFonts w:ascii="Arial" w:hAnsi="Arial" w:cs="Arial"/>
          <w:sz w:val="19"/>
          <w:szCs w:val="19"/>
          <w:lang w:val="es-MX"/>
        </w:rPr>
        <w:t>. Las personas físicas, morales o unidades económicas retenedores del Impuesto Sobre la Prestación de Servicios de Hospedaje, se les otorgará un estímulo fiscal del 50 por ciento de recargos y multas, respecto de los adeudos generados en el ejercicio fiscal 2017 o anteriores.</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lastRenderedPageBreak/>
        <w:t>Para ser beneficiario del estímulo deberán realizar la presentación de la declaración y entero correspondiente dentro del plazo contado del 2 de enero hasta el 31 de diciembre de 2018.</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15. </w:t>
      </w:r>
      <w:r w:rsidRPr="006459BD">
        <w:rPr>
          <w:rFonts w:ascii="Arial" w:hAnsi="Arial" w:cs="Arial"/>
          <w:sz w:val="19"/>
          <w:szCs w:val="19"/>
          <w:lang w:val="es-MX"/>
        </w:rPr>
        <w:t>A los grupos y artistas independientes oaxaqueños, se les otorgará el 50 por ciento del Impuesto para el Desarrollo Social que resulte de la cuota que se genere por el uso, goce y aprovechamiento de los bienes de dominio público en custodia de la Secretaría de las Culturas y Artes de Oaxaca.</w:t>
      </w:r>
    </w:p>
    <w:p w:rsidR="006459BD" w:rsidRPr="006459BD" w:rsidRDefault="006459BD" w:rsidP="006459BD">
      <w:pPr>
        <w:pStyle w:val="Texto"/>
        <w:spacing w:after="0" w:line="240" w:lineRule="auto"/>
        <w:ind w:firstLine="0"/>
        <w:rPr>
          <w:sz w:val="19"/>
          <w:szCs w:val="19"/>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Las Empresas Culturales Oaxaqueñas, a las que se les otorgue el uso, goce o aprovechamiento de los bienes de dominio público en custodia de la Secretaría de las Culturas y Artes de Oaxaca se les otorgará un estímulo fiscal del 50 por ciento de la cuota que le corresponda pagar como derechos por actividades empresariales, y el 50 por ciento sobre el monto a pagar por el Impuesto para el Desarrollo Social.</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16. </w:t>
      </w:r>
      <w:r w:rsidRPr="006459BD">
        <w:rPr>
          <w:rFonts w:ascii="Arial" w:hAnsi="Arial" w:cs="Arial"/>
          <w:sz w:val="19"/>
          <w:szCs w:val="19"/>
          <w:lang w:val="es-MX"/>
        </w:rPr>
        <w:t>A los usuarios de los servicios de seguridad y vigilancia integral especializada se otorgará un estímulo fiscal del 100 por ciento de los accesorios que se generen durante el ejercicio 2018 y en años anteriores.</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 xml:space="preserve">Artículo 17. </w:t>
      </w:r>
      <w:r w:rsidRPr="006459BD">
        <w:rPr>
          <w:rFonts w:ascii="Arial" w:hAnsi="Arial" w:cs="Arial"/>
          <w:sz w:val="19"/>
          <w:szCs w:val="19"/>
          <w:lang w:val="es-MX"/>
        </w:rPr>
        <w:t>Se autoriza al Ejecutivo Estatal, por conducto de la Secretaría, para condonar contribuciones cuando se susciten contingencias generadas por fenómenos naturales o a grupos sociales en situación de vulnerabilidad, así como con el objetivo de favorecer la reactivación económica estatal.</w:t>
      </w:r>
    </w:p>
    <w:p w:rsidR="006459BD" w:rsidRPr="006459BD" w:rsidRDefault="006459BD" w:rsidP="006459BD">
      <w:pPr>
        <w:jc w:val="both"/>
        <w:rPr>
          <w:rFonts w:ascii="Arial" w:hAnsi="Arial" w:cs="Arial"/>
          <w:sz w:val="19"/>
          <w:szCs w:val="19"/>
          <w:lang w:val="es-MX"/>
        </w:rPr>
      </w:pP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TÍTULO CUARTO</w:t>
      </w: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DE LA INFORMACIÓN Y TRANSPARENCIA</w:t>
      </w:r>
    </w:p>
    <w:p w:rsidR="006459BD" w:rsidRPr="006459BD" w:rsidRDefault="006459BD" w:rsidP="006459BD">
      <w:pPr>
        <w:jc w:val="center"/>
        <w:rPr>
          <w:rFonts w:ascii="Arial" w:hAnsi="Arial" w:cs="Arial"/>
          <w:b/>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18.</w:t>
      </w:r>
      <w:r w:rsidRPr="006459BD">
        <w:rPr>
          <w:rFonts w:ascii="Arial" w:hAnsi="Arial" w:cs="Arial"/>
          <w:sz w:val="19"/>
          <w:szCs w:val="19"/>
          <w:lang w:val="es-MX"/>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Ingresos y Decreto de Presupuesto de Egresos de la Federación del Ejercicio Fiscal 2018, de las facilidades administrativas, Estímulos y Subsidios Fiscales otorgados, de los créditos u obligaciones de pago, situación económica y de las finanzas públicas en los términos previstos en la Ley General, Ley Estatal y Ley de Fiscalización. </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sz w:val="19"/>
          <w:szCs w:val="19"/>
          <w:lang w:val="es-MX"/>
        </w:rPr>
        <w:t>Asimismo, la información a que se hace referencia en el párrafo anterior, deberá ser difundida en la página de internet respectiva.</w:t>
      </w:r>
    </w:p>
    <w:p w:rsidR="006459BD" w:rsidRPr="006459BD" w:rsidRDefault="006459BD" w:rsidP="006459BD">
      <w:pPr>
        <w:jc w:val="both"/>
        <w:rPr>
          <w:rFonts w:ascii="Arial" w:hAnsi="Arial" w:cs="Arial"/>
          <w:sz w:val="19"/>
          <w:szCs w:val="19"/>
          <w:lang w:val="es-MX"/>
        </w:rPr>
      </w:pPr>
    </w:p>
    <w:p w:rsidR="006459BD" w:rsidRPr="006459BD" w:rsidRDefault="006459BD" w:rsidP="006459BD">
      <w:pPr>
        <w:jc w:val="both"/>
        <w:rPr>
          <w:rFonts w:ascii="Arial" w:hAnsi="Arial" w:cs="Arial"/>
          <w:sz w:val="19"/>
          <w:szCs w:val="19"/>
          <w:lang w:val="es-MX"/>
        </w:rPr>
      </w:pPr>
      <w:r w:rsidRPr="006459BD">
        <w:rPr>
          <w:rFonts w:ascii="Arial" w:hAnsi="Arial" w:cs="Arial"/>
          <w:b/>
          <w:sz w:val="19"/>
          <w:szCs w:val="19"/>
          <w:lang w:val="es-MX"/>
        </w:rPr>
        <w:t>Artículo 19.</w:t>
      </w:r>
      <w:r w:rsidRPr="006459BD">
        <w:rPr>
          <w:rFonts w:ascii="Arial" w:hAnsi="Arial" w:cs="Arial"/>
          <w:sz w:val="19"/>
          <w:szCs w:val="19"/>
          <w:lang w:val="es-MX"/>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rsidR="006459BD" w:rsidRPr="006459BD" w:rsidRDefault="006459BD" w:rsidP="006459BD">
      <w:pPr>
        <w:jc w:val="both"/>
        <w:rPr>
          <w:rFonts w:ascii="Arial" w:hAnsi="Arial" w:cs="Arial"/>
          <w:sz w:val="19"/>
          <w:szCs w:val="19"/>
          <w:lang w:val="es-MX"/>
        </w:rPr>
      </w:pPr>
    </w:p>
    <w:p w:rsidR="00630458" w:rsidRDefault="00630458" w:rsidP="00630458">
      <w:pPr>
        <w:jc w:val="both"/>
        <w:rPr>
          <w:rFonts w:ascii="Arial" w:hAnsi="Arial" w:cs="Arial"/>
          <w:sz w:val="19"/>
          <w:szCs w:val="19"/>
          <w:lang w:val="es-MX"/>
        </w:rPr>
      </w:pPr>
    </w:p>
    <w:p w:rsidR="00463055" w:rsidRDefault="00463055"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Default="00064751" w:rsidP="00064751">
      <w:pPr>
        <w:tabs>
          <w:tab w:val="left" w:pos="1690"/>
        </w:tabs>
        <w:jc w:val="both"/>
        <w:rPr>
          <w:rFonts w:ascii="Arial" w:hAnsi="Arial" w:cs="Arial"/>
          <w:sz w:val="19"/>
          <w:szCs w:val="19"/>
          <w:lang w:val="es-MX"/>
        </w:rPr>
      </w:pPr>
    </w:p>
    <w:p w:rsidR="00064751" w:rsidRPr="000B3496" w:rsidRDefault="00064751" w:rsidP="00064751">
      <w:pPr>
        <w:tabs>
          <w:tab w:val="left" w:pos="1690"/>
        </w:tabs>
        <w:jc w:val="both"/>
        <w:rPr>
          <w:rFonts w:ascii="Arial" w:hAnsi="Arial" w:cs="Arial"/>
          <w:sz w:val="19"/>
          <w:szCs w:val="19"/>
          <w:lang w:val="es-MX"/>
        </w:rPr>
      </w:pPr>
    </w:p>
    <w:p w:rsidR="00630458" w:rsidRPr="001119E2" w:rsidRDefault="00630458" w:rsidP="00630458">
      <w:pPr>
        <w:pStyle w:val="Listavistosa-nfasis11"/>
        <w:spacing w:after="0" w:line="240" w:lineRule="auto"/>
        <w:ind w:left="0"/>
        <w:contextualSpacing/>
        <w:jc w:val="center"/>
        <w:rPr>
          <w:rFonts w:ascii="Arial Narrow" w:hAnsi="Arial Narrow" w:cs="Arial"/>
          <w:b/>
          <w:sz w:val="18"/>
          <w:szCs w:val="18"/>
          <w:lang w:val="en-US"/>
        </w:rPr>
      </w:pPr>
      <w:r w:rsidRPr="001119E2">
        <w:rPr>
          <w:rFonts w:ascii="Arial Narrow" w:hAnsi="Arial Narrow" w:cs="Arial"/>
          <w:b/>
          <w:sz w:val="18"/>
          <w:szCs w:val="18"/>
          <w:lang w:val="en-US"/>
        </w:rPr>
        <w:lastRenderedPageBreak/>
        <w:t xml:space="preserve">T R </w:t>
      </w:r>
      <w:proofErr w:type="gramStart"/>
      <w:r w:rsidRPr="001119E2">
        <w:rPr>
          <w:rFonts w:ascii="Arial Narrow" w:hAnsi="Arial Narrow" w:cs="Arial"/>
          <w:b/>
          <w:sz w:val="18"/>
          <w:szCs w:val="18"/>
          <w:lang w:val="en-US"/>
        </w:rPr>
        <w:t>A</w:t>
      </w:r>
      <w:proofErr w:type="gramEnd"/>
      <w:r w:rsidRPr="001119E2">
        <w:rPr>
          <w:rFonts w:ascii="Arial Narrow" w:hAnsi="Arial Narrow" w:cs="Arial"/>
          <w:b/>
          <w:sz w:val="18"/>
          <w:szCs w:val="18"/>
          <w:lang w:val="en-US"/>
        </w:rPr>
        <w:t xml:space="preserve"> N S I T O R I O:</w:t>
      </w:r>
    </w:p>
    <w:p w:rsidR="00630458" w:rsidRPr="001119E2" w:rsidRDefault="00387651" w:rsidP="00630458">
      <w:pPr>
        <w:ind w:left="567" w:right="623"/>
        <w:contextualSpacing/>
        <w:jc w:val="center"/>
        <w:rPr>
          <w:rFonts w:ascii="Arial Narrow" w:hAnsi="Arial Narrow" w:cs="Arial"/>
          <w:b/>
          <w:sz w:val="18"/>
          <w:szCs w:val="18"/>
          <w:lang w:val="es-MX"/>
        </w:rPr>
      </w:pPr>
      <w:r>
        <w:rPr>
          <w:rFonts w:ascii="Arial Narrow" w:hAnsi="Arial Narrow" w:cs="Arial"/>
          <w:b/>
          <w:sz w:val="18"/>
          <w:szCs w:val="18"/>
          <w:lang w:val="es-MX"/>
        </w:rPr>
        <w:t>DECRETO NÚM.</w:t>
      </w:r>
      <w:r w:rsidR="00630458" w:rsidRPr="001119E2">
        <w:rPr>
          <w:rFonts w:ascii="Arial Narrow" w:hAnsi="Arial Narrow" w:cs="Arial"/>
          <w:b/>
          <w:sz w:val="18"/>
          <w:szCs w:val="18"/>
          <w:lang w:val="es-MX"/>
        </w:rPr>
        <w:t xml:space="preserve"> </w:t>
      </w:r>
      <w:r w:rsidR="00463055">
        <w:rPr>
          <w:rFonts w:ascii="Arial Narrow" w:hAnsi="Arial Narrow" w:cs="Arial"/>
          <w:b/>
          <w:sz w:val="18"/>
          <w:szCs w:val="18"/>
          <w:lang w:val="es-MX"/>
        </w:rPr>
        <w:t xml:space="preserve">777 </w:t>
      </w:r>
      <w:r w:rsidR="00630458" w:rsidRPr="001119E2">
        <w:rPr>
          <w:rFonts w:ascii="Arial Narrow" w:hAnsi="Arial Narrow" w:cs="Arial"/>
          <w:b/>
          <w:sz w:val="18"/>
          <w:szCs w:val="18"/>
          <w:lang w:val="es-MX"/>
        </w:rPr>
        <w:t xml:space="preserve">PPOE </w:t>
      </w:r>
      <w:r w:rsidR="007132EC">
        <w:rPr>
          <w:rFonts w:ascii="Arial Narrow" w:hAnsi="Arial Narrow" w:cs="Arial"/>
          <w:b/>
          <w:sz w:val="18"/>
          <w:szCs w:val="18"/>
          <w:lang w:val="es-MX"/>
        </w:rPr>
        <w:t>EXTRA</w:t>
      </w:r>
      <w:r w:rsidR="00463055">
        <w:rPr>
          <w:rFonts w:ascii="Arial Narrow" w:hAnsi="Arial Narrow" w:cs="Arial"/>
          <w:b/>
          <w:sz w:val="18"/>
          <w:szCs w:val="18"/>
          <w:lang w:val="es-MX"/>
        </w:rPr>
        <w:t xml:space="preserve"> </w:t>
      </w:r>
      <w:r w:rsidR="00630458" w:rsidRPr="001119E2">
        <w:rPr>
          <w:rFonts w:ascii="Arial Narrow" w:hAnsi="Arial Narrow" w:cs="Arial"/>
          <w:b/>
          <w:sz w:val="18"/>
          <w:szCs w:val="18"/>
          <w:lang w:val="es-MX"/>
        </w:rPr>
        <w:t xml:space="preserve"> DE FECHA </w:t>
      </w:r>
      <w:r w:rsidR="007132EC">
        <w:rPr>
          <w:rFonts w:ascii="Arial Narrow" w:hAnsi="Arial Narrow" w:cs="Arial"/>
          <w:b/>
          <w:sz w:val="18"/>
          <w:szCs w:val="18"/>
          <w:lang w:val="es-MX"/>
        </w:rPr>
        <w:t>20</w:t>
      </w:r>
      <w:r w:rsidR="00630458" w:rsidRPr="001119E2">
        <w:rPr>
          <w:rFonts w:ascii="Arial Narrow" w:hAnsi="Arial Narrow" w:cs="Arial"/>
          <w:b/>
          <w:sz w:val="18"/>
          <w:szCs w:val="18"/>
          <w:lang w:val="es-MX"/>
        </w:rPr>
        <w:t xml:space="preserve"> DE </w:t>
      </w:r>
      <w:r w:rsidR="00463055">
        <w:rPr>
          <w:rFonts w:ascii="Arial Narrow" w:hAnsi="Arial Narrow" w:cs="Arial"/>
          <w:b/>
          <w:sz w:val="18"/>
          <w:szCs w:val="18"/>
          <w:lang w:val="es-MX"/>
        </w:rPr>
        <w:t>DICIEMBRE</w:t>
      </w:r>
      <w:r w:rsidR="007132EC">
        <w:rPr>
          <w:rFonts w:ascii="Arial Narrow" w:hAnsi="Arial Narrow" w:cs="Arial"/>
          <w:b/>
          <w:sz w:val="18"/>
          <w:szCs w:val="18"/>
          <w:lang w:val="es-MX"/>
        </w:rPr>
        <w:t xml:space="preserve"> DE 2017</w:t>
      </w:r>
    </w:p>
    <w:p w:rsidR="00630458" w:rsidRPr="001119E2" w:rsidRDefault="00630458" w:rsidP="00630458">
      <w:pPr>
        <w:ind w:left="567" w:right="623"/>
        <w:contextualSpacing/>
        <w:jc w:val="center"/>
        <w:rPr>
          <w:rFonts w:ascii="Arial Narrow" w:hAnsi="Arial Narrow" w:cs="Arial"/>
          <w:b/>
          <w:sz w:val="18"/>
          <w:szCs w:val="18"/>
          <w:lang w:val="es-MX"/>
        </w:rPr>
      </w:pPr>
    </w:p>
    <w:p w:rsidR="00630458" w:rsidRPr="001119E2" w:rsidRDefault="00630458" w:rsidP="00630458">
      <w:pPr>
        <w:pStyle w:val="Default"/>
        <w:jc w:val="both"/>
        <w:rPr>
          <w:rFonts w:ascii="Arial Narrow" w:hAnsi="Arial Narrow" w:cs="Arial"/>
          <w:color w:val="auto"/>
          <w:sz w:val="18"/>
          <w:szCs w:val="18"/>
          <w:lang w:val="es-MX"/>
        </w:rPr>
      </w:pPr>
      <w:r w:rsidRPr="001119E2">
        <w:rPr>
          <w:rFonts w:ascii="Arial Narrow" w:hAnsi="Arial Narrow" w:cs="Arial"/>
          <w:b/>
          <w:bCs/>
          <w:color w:val="auto"/>
          <w:sz w:val="18"/>
          <w:szCs w:val="18"/>
          <w:lang w:val="es-MX"/>
        </w:rPr>
        <w:t xml:space="preserve">UNICO: </w:t>
      </w:r>
      <w:r w:rsidRPr="001119E2">
        <w:rPr>
          <w:rFonts w:ascii="Arial Narrow" w:hAnsi="Arial Narrow" w:cs="Arial"/>
          <w:color w:val="auto"/>
          <w:sz w:val="18"/>
          <w:szCs w:val="18"/>
          <w:lang w:val="es-MX"/>
        </w:rPr>
        <w:t xml:space="preserve">El presente Decreto </w:t>
      </w:r>
      <w:r>
        <w:rPr>
          <w:rFonts w:ascii="Arial Narrow" w:hAnsi="Arial Narrow" w:cs="Arial"/>
          <w:color w:val="auto"/>
          <w:sz w:val="18"/>
          <w:szCs w:val="18"/>
          <w:lang w:val="es-MX"/>
        </w:rPr>
        <w:t xml:space="preserve"> y su</w:t>
      </w:r>
      <w:r w:rsidR="00EC63B5">
        <w:rPr>
          <w:rFonts w:ascii="Arial Narrow" w:hAnsi="Arial Narrow" w:cs="Arial"/>
          <w:color w:val="auto"/>
          <w:sz w:val="18"/>
          <w:szCs w:val="18"/>
          <w:lang w:val="es-MX"/>
        </w:rPr>
        <w:t>s Anexos</w:t>
      </w:r>
      <w:r>
        <w:rPr>
          <w:rFonts w:ascii="Arial Narrow" w:hAnsi="Arial Narrow" w:cs="Arial"/>
          <w:color w:val="auto"/>
          <w:sz w:val="18"/>
          <w:szCs w:val="18"/>
          <w:lang w:val="es-MX"/>
        </w:rPr>
        <w:t xml:space="preserve"> </w:t>
      </w:r>
      <w:r w:rsidRPr="001119E2">
        <w:rPr>
          <w:rFonts w:ascii="Arial Narrow" w:hAnsi="Arial Narrow" w:cs="Arial"/>
          <w:color w:val="auto"/>
          <w:sz w:val="18"/>
          <w:szCs w:val="18"/>
          <w:lang w:val="es-MX"/>
        </w:rPr>
        <w:t>entrará</w:t>
      </w:r>
      <w:r>
        <w:rPr>
          <w:rFonts w:ascii="Arial Narrow" w:hAnsi="Arial Narrow" w:cs="Arial"/>
          <w:color w:val="auto"/>
          <w:sz w:val="18"/>
          <w:szCs w:val="18"/>
          <w:lang w:val="es-MX"/>
        </w:rPr>
        <w:t>n</w:t>
      </w:r>
      <w:r w:rsidRPr="001119E2">
        <w:rPr>
          <w:rFonts w:ascii="Arial Narrow" w:hAnsi="Arial Narrow" w:cs="Arial"/>
          <w:color w:val="auto"/>
          <w:sz w:val="18"/>
          <w:szCs w:val="18"/>
          <w:lang w:val="es-MX"/>
        </w:rPr>
        <w:t xml:space="preserve"> en vigor </w:t>
      </w:r>
      <w:r w:rsidR="00EC63B5">
        <w:rPr>
          <w:rFonts w:ascii="Arial Narrow" w:hAnsi="Arial Narrow" w:cs="Arial"/>
          <w:color w:val="auto"/>
          <w:sz w:val="18"/>
          <w:szCs w:val="18"/>
          <w:lang w:val="es-MX"/>
        </w:rPr>
        <w:t xml:space="preserve">el uno de enero de dos mil dieciocho, </w:t>
      </w:r>
      <w:r w:rsidRPr="001119E2">
        <w:rPr>
          <w:rFonts w:ascii="Arial Narrow" w:hAnsi="Arial Narrow" w:cs="Arial"/>
          <w:color w:val="auto"/>
          <w:sz w:val="18"/>
          <w:szCs w:val="18"/>
          <w:lang w:val="es-MX"/>
        </w:rPr>
        <w:t xml:space="preserve">previa publicación en el Periódico Oficial del </w:t>
      </w:r>
      <w:r w:rsidR="00EC63B5">
        <w:rPr>
          <w:rFonts w:ascii="Arial Narrow" w:hAnsi="Arial Narrow" w:cs="Arial"/>
          <w:color w:val="auto"/>
          <w:sz w:val="18"/>
          <w:szCs w:val="18"/>
          <w:lang w:val="es-MX"/>
        </w:rPr>
        <w:t xml:space="preserve">Gobierno del </w:t>
      </w:r>
      <w:r w:rsidRPr="001119E2">
        <w:rPr>
          <w:rFonts w:ascii="Arial Narrow" w:hAnsi="Arial Narrow" w:cs="Arial"/>
          <w:color w:val="auto"/>
          <w:sz w:val="18"/>
          <w:szCs w:val="18"/>
          <w:lang w:val="es-MX"/>
        </w:rPr>
        <w:t>Estado</w:t>
      </w:r>
      <w:r w:rsidR="00EC63B5">
        <w:rPr>
          <w:rFonts w:ascii="Arial Narrow" w:hAnsi="Arial Narrow" w:cs="Arial"/>
          <w:color w:val="auto"/>
          <w:sz w:val="18"/>
          <w:szCs w:val="18"/>
          <w:lang w:val="es-MX"/>
        </w:rPr>
        <w:t xml:space="preserve"> de Oaxaca</w:t>
      </w:r>
      <w:r w:rsidRPr="001119E2">
        <w:rPr>
          <w:rFonts w:ascii="Arial Narrow" w:hAnsi="Arial Narrow" w:cs="Arial"/>
          <w:color w:val="auto"/>
          <w:sz w:val="18"/>
          <w:szCs w:val="18"/>
          <w:lang w:val="es-MX"/>
        </w:rPr>
        <w:t>.</w:t>
      </w:r>
    </w:p>
    <w:p w:rsidR="00463055" w:rsidRPr="00387651" w:rsidRDefault="00463055" w:rsidP="00463055">
      <w:pPr>
        <w:tabs>
          <w:tab w:val="left" w:pos="0"/>
        </w:tabs>
        <w:jc w:val="both"/>
        <w:rPr>
          <w:rFonts w:ascii="Arial" w:hAnsi="Arial" w:cs="Arial"/>
          <w:sz w:val="19"/>
          <w:szCs w:val="19"/>
          <w:lang w:val="es-MX"/>
        </w:rPr>
      </w:pPr>
    </w:p>
    <w:p w:rsidR="00463055" w:rsidRPr="00463055" w:rsidRDefault="00463055" w:rsidP="00463055">
      <w:pPr>
        <w:tabs>
          <w:tab w:val="left" w:pos="0"/>
        </w:tabs>
        <w:jc w:val="both"/>
        <w:rPr>
          <w:rFonts w:ascii="Arial" w:hAnsi="Arial" w:cs="Arial"/>
          <w:sz w:val="19"/>
          <w:szCs w:val="19"/>
        </w:rPr>
      </w:pPr>
      <w:r w:rsidRPr="00463055">
        <w:rPr>
          <w:rFonts w:ascii="Arial" w:hAnsi="Arial" w:cs="Arial"/>
          <w:noProof/>
          <w:sz w:val="19"/>
          <w:szCs w:val="19"/>
          <w:lang w:val="es-MX" w:eastAsia="es-MX"/>
        </w:rPr>
        <w:drawing>
          <wp:inline distT="0" distB="0" distL="0" distR="0" wp14:anchorId="7637FF7D" wp14:editId="5D5147AF">
            <wp:extent cx="5605780" cy="6106795"/>
            <wp:effectExtent l="0" t="0" r="0"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5780" cy="6106795"/>
                    </a:xfrm>
                    <a:prstGeom prst="rect">
                      <a:avLst/>
                    </a:prstGeom>
                    <a:noFill/>
                    <a:ln>
                      <a:noFill/>
                    </a:ln>
                  </pic:spPr>
                </pic:pic>
              </a:graphicData>
            </a:graphic>
          </wp:inline>
        </w:drawing>
      </w:r>
    </w:p>
    <w:p w:rsidR="00463055" w:rsidRPr="00463055" w:rsidRDefault="00463055" w:rsidP="00463055">
      <w:pPr>
        <w:tabs>
          <w:tab w:val="left" w:pos="0"/>
        </w:tabs>
        <w:jc w:val="both"/>
        <w:rPr>
          <w:rFonts w:ascii="Arial" w:hAnsi="Arial" w:cs="Arial"/>
          <w:sz w:val="19"/>
          <w:szCs w:val="19"/>
        </w:rPr>
      </w:pPr>
    </w:p>
    <w:p w:rsidR="00463055" w:rsidRPr="00463055" w:rsidRDefault="00463055" w:rsidP="00463055">
      <w:pPr>
        <w:tabs>
          <w:tab w:val="left" w:pos="0"/>
        </w:tabs>
        <w:jc w:val="center"/>
        <w:rPr>
          <w:rFonts w:ascii="Arial" w:hAnsi="Arial" w:cs="Arial"/>
          <w:sz w:val="19"/>
          <w:szCs w:val="19"/>
        </w:rPr>
      </w:pPr>
      <w:r w:rsidRPr="00463055">
        <w:rPr>
          <w:rFonts w:ascii="Arial" w:hAnsi="Arial" w:cs="Arial"/>
          <w:noProof/>
          <w:sz w:val="19"/>
          <w:szCs w:val="19"/>
          <w:lang w:val="es-MX" w:eastAsia="es-MX"/>
        </w:rPr>
        <w:lastRenderedPageBreak/>
        <w:drawing>
          <wp:inline distT="0" distB="0" distL="0" distR="0" wp14:anchorId="1237E65C" wp14:editId="058D0C7A">
            <wp:extent cx="4985385" cy="6845935"/>
            <wp:effectExtent l="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85385" cy="6845935"/>
                    </a:xfrm>
                    <a:prstGeom prst="rect">
                      <a:avLst/>
                    </a:prstGeom>
                    <a:noFill/>
                    <a:ln>
                      <a:noFill/>
                    </a:ln>
                  </pic:spPr>
                </pic:pic>
              </a:graphicData>
            </a:graphic>
          </wp:inline>
        </w:drawing>
      </w:r>
    </w:p>
    <w:p w:rsidR="00463055" w:rsidRPr="00463055" w:rsidRDefault="00463055" w:rsidP="00630458">
      <w:pPr>
        <w:pStyle w:val="Default"/>
        <w:jc w:val="both"/>
        <w:rPr>
          <w:rFonts w:cs="Arial"/>
          <w:color w:val="auto"/>
          <w:sz w:val="19"/>
          <w:szCs w:val="19"/>
          <w:lang w:val="es-MX"/>
        </w:rPr>
      </w:pPr>
    </w:p>
    <w:p w:rsidR="00630458" w:rsidRPr="004652CD" w:rsidRDefault="004652CD" w:rsidP="003F542B">
      <w:pPr>
        <w:pStyle w:val="Textoindependiente3"/>
        <w:contextualSpacing/>
        <w:jc w:val="both"/>
        <w:rPr>
          <w:rFonts w:ascii="Arial Narrow" w:eastAsia="Arial" w:hAnsi="Arial Narrow" w:cs="Arial"/>
          <w:sz w:val="18"/>
          <w:szCs w:val="18"/>
          <w:lang w:val="es-MX" w:eastAsia="ar-SA"/>
        </w:rPr>
      </w:pPr>
      <w:r w:rsidRPr="004652CD">
        <w:rPr>
          <w:rFonts w:ascii="Arial Narrow" w:eastAsia="Arial" w:hAnsi="Arial Narrow" w:cs="Arial"/>
          <w:sz w:val="18"/>
          <w:szCs w:val="18"/>
          <w:lang w:val="es-MX" w:eastAsia="ar-SA"/>
        </w:rPr>
        <w:t>“Dado en el Salón de Sesiones del H. Congreso del Estado</w:t>
      </w:r>
      <w:r w:rsidR="00630458" w:rsidRPr="004652CD">
        <w:rPr>
          <w:rFonts w:ascii="Arial Narrow" w:eastAsia="Arial" w:hAnsi="Arial Narrow" w:cs="Arial"/>
          <w:sz w:val="18"/>
          <w:szCs w:val="18"/>
          <w:lang w:val="es-MX" w:eastAsia="ar-SA"/>
        </w:rPr>
        <w:t xml:space="preserve">.- San Raymundo </w:t>
      </w:r>
      <w:proofErr w:type="spellStart"/>
      <w:r w:rsidR="00630458" w:rsidRPr="004652CD">
        <w:rPr>
          <w:rFonts w:ascii="Arial Narrow" w:eastAsia="Arial" w:hAnsi="Arial Narrow" w:cs="Arial"/>
          <w:sz w:val="18"/>
          <w:szCs w:val="18"/>
          <w:lang w:val="es-MX" w:eastAsia="ar-SA"/>
        </w:rPr>
        <w:t>Jalpan</w:t>
      </w:r>
      <w:proofErr w:type="spellEnd"/>
      <w:r w:rsidR="00630458" w:rsidRPr="004652CD">
        <w:rPr>
          <w:rFonts w:ascii="Arial Narrow" w:eastAsia="Arial" w:hAnsi="Arial Narrow" w:cs="Arial"/>
          <w:sz w:val="18"/>
          <w:szCs w:val="18"/>
          <w:lang w:val="es-MX" w:eastAsia="ar-SA"/>
        </w:rPr>
        <w:t xml:space="preserve">, Centro, Oaxaca a </w:t>
      </w:r>
      <w:r w:rsidRPr="004652CD">
        <w:rPr>
          <w:rFonts w:ascii="Arial Narrow" w:eastAsia="Arial" w:hAnsi="Arial Narrow" w:cs="Arial"/>
          <w:sz w:val="18"/>
          <w:szCs w:val="18"/>
          <w:lang w:val="es-MX" w:eastAsia="ar-SA"/>
        </w:rPr>
        <w:t>9</w:t>
      </w:r>
      <w:r w:rsidR="00630458" w:rsidRPr="004652CD">
        <w:rPr>
          <w:rFonts w:ascii="Arial Narrow" w:eastAsia="Arial" w:hAnsi="Arial Narrow" w:cs="Arial"/>
          <w:sz w:val="18"/>
          <w:szCs w:val="18"/>
          <w:lang w:val="es-MX" w:eastAsia="ar-SA"/>
        </w:rPr>
        <w:t xml:space="preserve"> de</w:t>
      </w:r>
      <w:r w:rsidRPr="004652CD">
        <w:rPr>
          <w:rFonts w:ascii="Arial Narrow" w:eastAsia="Arial" w:hAnsi="Arial Narrow" w:cs="Arial"/>
          <w:sz w:val="18"/>
          <w:szCs w:val="18"/>
          <w:lang w:val="es-MX" w:eastAsia="ar-SA"/>
        </w:rPr>
        <w:t xml:space="preserve"> D</w:t>
      </w:r>
      <w:r w:rsidR="00630458" w:rsidRPr="004652CD">
        <w:rPr>
          <w:rFonts w:ascii="Arial Narrow" w:eastAsia="Arial" w:hAnsi="Arial Narrow" w:cs="Arial"/>
          <w:sz w:val="18"/>
          <w:szCs w:val="18"/>
          <w:lang w:val="es-MX" w:eastAsia="ar-SA"/>
        </w:rPr>
        <w:t>iciembre de</w:t>
      </w:r>
      <w:r w:rsidRPr="004652CD">
        <w:rPr>
          <w:rFonts w:ascii="Arial Narrow" w:eastAsia="Arial" w:hAnsi="Arial Narrow" w:cs="Arial"/>
          <w:sz w:val="18"/>
          <w:szCs w:val="18"/>
          <w:lang w:val="es-MX" w:eastAsia="ar-SA"/>
        </w:rPr>
        <w:t xml:space="preserve"> 2017</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Pr="004652CD">
        <w:rPr>
          <w:rFonts w:ascii="Arial Narrow" w:eastAsia="Arial" w:hAnsi="Arial Narrow" w:cs="Arial"/>
          <w:sz w:val="18"/>
          <w:szCs w:val="18"/>
          <w:lang w:val="es-MX" w:eastAsia="ar-SA"/>
        </w:rPr>
        <w:t>José de Jesús Romero López</w:t>
      </w:r>
      <w:r w:rsidR="00630458" w:rsidRPr="004652CD">
        <w:rPr>
          <w:rFonts w:ascii="Arial Narrow" w:eastAsia="Arial" w:hAnsi="Arial Narrow" w:cs="Arial"/>
          <w:sz w:val="18"/>
          <w:szCs w:val="18"/>
          <w:lang w:val="es-MX" w:eastAsia="ar-SA"/>
        </w:rPr>
        <w:t>, P</w:t>
      </w:r>
      <w:r w:rsidRPr="004652CD">
        <w:rPr>
          <w:rFonts w:ascii="Arial Narrow" w:eastAsia="Arial" w:hAnsi="Arial Narrow" w:cs="Arial"/>
          <w:sz w:val="18"/>
          <w:szCs w:val="18"/>
          <w:lang w:val="es-MX" w:eastAsia="ar-SA"/>
        </w:rPr>
        <w:t>residente</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Pr="004652CD">
        <w:rPr>
          <w:rFonts w:ascii="Arial Narrow" w:eastAsia="Arial" w:hAnsi="Arial Narrow" w:cs="Arial"/>
          <w:sz w:val="18"/>
          <w:szCs w:val="18"/>
          <w:lang w:val="es-MX" w:eastAsia="ar-SA"/>
        </w:rPr>
        <w:t>Felicitas Hernández Montaño</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Pr="004652CD">
        <w:rPr>
          <w:rFonts w:ascii="Arial Narrow" w:eastAsia="Arial" w:hAnsi="Arial Narrow" w:cs="Arial"/>
          <w:sz w:val="18"/>
          <w:szCs w:val="18"/>
          <w:lang w:val="es-MX" w:eastAsia="ar-SA"/>
        </w:rPr>
        <w:t>Silvia Flores Peña</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Pr="004652CD">
        <w:rPr>
          <w:rFonts w:ascii="Arial Narrow" w:eastAsia="Arial" w:hAnsi="Arial Narrow" w:cs="Arial"/>
          <w:sz w:val="18"/>
          <w:szCs w:val="18"/>
          <w:lang w:val="es-MX" w:eastAsia="ar-SA"/>
        </w:rPr>
        <w:t>María de Jesús Melgar Vásquez</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Rúbricas.</w:t>
      </w:r>
      <w:r w:rsidRPr="004652CD">
        <w:rPr>
          <w:rFonts w:ascii="Arial Narrow" w:eastAsia="Arial" w:hAnsi="Arial Narrow" w:cs="Arial"/>
          <w:sz w:val="18"/>
          <w:szCs w:val="18"/>
          <w:lang w:val="es-MX" w:eastAsia="ar-SA"/>
        </w:rPr>
        <w:t>”</w:t>
      </w:r>
    </w:p>
    <w:p w:rsidR="00630458" w:rsidRPr="001119E2" w:rsidRDefault="00630458" w:rsidP="00630458">
      <w:pPr>
        <w:pStyle w:val="Textoindependiente3"/>
        <w:contextualSpacing/>
        <w:rPr>
          <w:rFonts w:eastAsia="Arial" w:cs="Arial"/>
          <w:sz w:val="18"/>
          <w:szCs w:val="18"/>
          <w:lang w:val="es-MX" w:eastAsia="ar-SA"/>
        </w:rPr>
      </w:pPr>
    </w:p>
    <w:p w:rsidR="00AF5EA8" w:rsidRPr="003578E3" w:rsidRDefault="00630458" w:rsidP="00F71B8C">
      <w:pPr>
        <w:suppressAutoHyphens/>
        <w:jc w:val="both"/>
        <w:rPr>
          <w:rFonts w:ascii="Arial" w:hAnsi="Arial" w:cs="Arial"/>
          <w:b/>
          <w:sz w:val="19"/>
          <w:szCs w:val="19"/>
          <w:lang w:val="es-MX"/>
        </w:rPr>
      </w:pPr>
      <w:r w:rsidRPr="001119E2">
        <w:rPr>
          <w:rFonts w:ascii="Arial Narrow" w:eastAsia="Arial" w:hAnsi="Arial Narrow" w:cs="Arial"/>
          <w:sz w:val="18"/>
          <w:szCs w:val="18"/>
          <w:lang w:val="es-MX" w:eastAsia="ar-SA"/>
        </w:rPr>
        <w:t>Por lo tanto</w:t>
      </w:r>
      <w:r w:rsidR="004652CD">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mando que se imprima, publique</w:t>
      </w:r>
      <w:r>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circule y se le dé el debido cumplimiento. Palacio de Gobierno, Centro, </w:t>
      </w:r>
      <w:proofErr w:type="spellStart"/>
      <w:r w:rsidRPr="001119E2">
        <w:rPr>
          <w:rFonts w:ascii="Arial Narrow" w:eastAsia="Arial" w:hAnsi="Arial Narrow" w:cs="Arial"/>
          <w:sz w:val="18"/>
          <w:szCs w:val="18"/>
          <w:lang w:val="es-MX" w:eastAsia="ar-SA"/>
        </w:rPr>
        <w:t>Oax</w:t>
      </w:r>
      <w:proofErr w:type="spellEnd"/>
      <w:r w:rsidRPr="001119E2">
        <w:rPr>
          <w:rFonts w:ascii="Arial Narrow" w:eastAsia="Arial" w:hAnsi="Arial Narrow" w:cs="Arial"/>
          <w:sz w:val="18"/>
          <w:szCs w:val="18"/>
          <w:lang w:val="es-MX" w:eastAsia="ar-SA"/>
        </w:rPr>
        <w:t xml:space="preserve">., a </w:t>
      </w:r>
      <w:r w:rsidR="004652CD">
        <w:rPr>
          <w:rFonts w:ascii="Arial Narrow" w:eastAsia="Arial" w:hAnsi="Arial Narrow" w:cs="Arial"/>
          <w:sz w:val="18"/>
          <w:szCs w:val="18"/>
          <w:lang w:val="es-MX" w:eastAsia="ar-SA"/>
        </w:rPr>
        <w:t>13</w:t>
      </w:r>
      <w:r>
        <w:rPr>
          <w:rFonts w:ascii="Arial Narrow" w:eastAsia="Arial" w:hAnsi="Arial Narrow" w:cs="Arial"/>
          <w:sz w:val="18"/>
          <w:szCs w:val="18"/>
          <w:lang w:val="es-MX" w:eastAsia="ar-SA"/>
        </w:rPr>
        <w:t xml:space="preserve"> de </w:t>
      </w:r>
      <w:r w:rsidR="004652CD">
        <w:rPr>
          <w:rFonts w:ascii="Arial Narrow" w:eastAsia="Arial" w:hAnsi="Arial Narrow" w:cs="Arial"/>
          <w:sz w:val="18"/>
          <w:szCs w:val="18"/>
          <w:lang w:val="es-MX" w:eastAsia="ar-SA"/>
        </w:rPr>
        <w:t>Diciembre del 2017</w:t>
      </w:r>
      <w:r w:rsidRPr="001119E2">
        <w:rPr>
          <w:rFonts w:ascii="Arial Narrow" w:eastAsia="Arial" w:hAnsi="Arial Narrow" w:cs="Arial"/>
          <w:sz w:val="18"/>
          <w:szCs w:val="18"/>
          <w:lang w:val="es-MX" w:eastAsia="ar-SA"/>
        </w:rPr>
        <w:t xml:space="preserve">.- EL GOBERNADOR CONSTITUCIONAL DEL ESTADO. </w:t>
      </w:r>
      <w:r>
        <w:rPr>
          <w:rFonts w:ascii="Arial Narrow" w:eastAsia="Arial" w:hAnsi="Arial Narrow" w:cs="Arial"/>
          <w:sz w:val="18"/>
          <w:szCs w:val="18"/>
          <w:lang w:val="es-MX" w:eastAsia="ar-SA"/>
        </w:rPr>
        <w:t>M</w:t>
      </w:r>
      <w:r w:rsidR="00391E43">
        <w:rPr>
          <w:rFonts w:ascii="Arial Narrow" w:eastAsia="Arial" w:hAnsi="Arial Narrow" w:cs="Arial"/>
          <w:sz w:val="18"/>
          <w:szCs w:val="18"/>
          <w:lang w:val="es-MX" w:eastAsia="ar-SA"/>
        </w:rPr>
        <w:t>tro</w:t>
      </w:r>
      <w:r w:rsidRPr="001119E2">
        <w:rPr>
          <w:rFonts w:ascii="Arial Narrow" w:eastAsia="Arial" w:hAnsi="Arial Narrow" w:cs="Arial"/>
          <w:sz w:val="18"/>
          <w:szCs w:val="18"/>
          <w:lang w:val="es-MX" w:eastAsia="ar-SA"/>
        </w:rPr>
        <w:t>.</w:t>
      </w:r>
      <w:r>
        <w:rPr>
          <w:rFonts w:ascii="Arial Narrow" w:eastAsia="Arial" w:hAnsi="Arial Narrow" w:cs="Arial"/>
          <w:sz w:val="18"/>
          <w:szCs w:val="18"/>
          <w:lang w:val="es-MX" w:eastAsia="ar-SA"/>
        </w:rPr>
        <w:t xml:space="preserve"> </w:t>
      </w:r>
      <w:r w:rsidR="00391E43">
        <w:rPr>
          <w:rFonts w:ascii="Arial Narrow" w:eastAsia="Arial" w:hAnsi="Arial Narrow" w:cs="Arial"/>
          <w:sz w:val="18"/>
          <w:szCs w:val="18"/>
          <w:lang w:val="es-MX" w:eastAsia="ar-SA"/>
        </w:rPr>
        <w:t xml:space="preserve">Alejandro Ismael </w:t>
      </w:r>
      <w:proofErr w:type="spellStart"/>
      <w:r w:rsidR="00391E43">
        <w:rPr>
          <w:rFonts w:ascii="Arial Narrow" w:eastAsia="Arial" w:hAnsi="Arial Narrow" w:cs="Arial"/>
          <w:sz w:val="18"/>
          <w:szCs w:val="18"/>
          <w:lang w:val="es-MX" w:eastAsia="ar-SA"/>
        </w:rPr>
        <w:t>Murat</w:t>
      </w:r>
      <w:proofErr w:type="spellEnd"/>
      <w:r w:rsidR="00391E43">
        <w:rPr>
          <w:rFonts w:ascii="Arial Narrow" w:eastAsia="Arial" w:hAnsi="Arial Narrow" w:cs="Arial"/>
          <w:sz w:val="18"/>
          <w:szCs w:val="18"/>
          <w:lang w:val="es-MX" w:eastAsia="ar-SA"/>
        </w:rPr>
        <w:t xml:space="preserve"> Hinojosa</w:t>
      </w:r>
      <w:r w:rsidRPr="001119E2">
        <w:rPr>
          <w:rFonts w:ascii="Arial Narrow" w:eastAsia="Arial" w:hAnsi="Arial Narrow" w:cs="Arial"/>
          <w:sz w:val="18"/>
          <w:szCs w:val="18"/>
          <w:lang w:val="es-MX" w:eastAsia="ar-SA"/>
        </w:rPr>
        <w:t>.-</w:t>
      </w:r>
      <w:r w:rsidR="00391E43">
        <w:rPr>
          <w:rFonts w:ascii="Arial Narrow" w:eastAsia="Arial" w:hAnsi="Arial Narrow" w:cs="Arial"/>
          <w:sz w:val="18"/>
          <w:szCs w:val="18"/>
          <w:lang w:val="es-MX" w:eastAsia="ar-SA"/>
        </w:rPr>
        <w:t xml:space="preserve"> Rúbrica.-</w:t>
      </w:r>
      <w:r w:rsidRPr="001119E2">
        <w:rPr>
          <w:rFonts w:ascii="Arial Narrow" w:eastAsia="Arial" w:hAnsi="Arial Narrow" w:cs="Arial"/>
          <w:sz w:val="18"/>
          <w:szCs w:val="18"/>
          <w:lang w:val="es-MX" w:eastAsia="ar-SA"/>
        </w:rPr>
        <w:t xml:space="preserve"> </w:t>
      </w:r>
      <w:r w:rsidR="00391E43">
        <w:rPr>
          <w:rFonts w:ascii="Arial Narrow" w:eastAsia="Arial" w:hAnsi="Arial Narrow" w:cs="Arial"/>
          <w:sz w:val="18"/>
          <w:szCs w:val="18"/>
          <w:lang w:val="es-MX" w:eastAsia="ar-SA"/>
        </w:rPr>
        <w:t>El Secretario General d</w:t>
      </w:r>
      <w:r w:rsidR="00391E43" w:rsidRPr="001119E2">
        <w:rPr>
          <w:rFonts w:ascii="Arial Narrow" w:eastAsia="Arial" w:hAnsi="Arial Narrow" w:cs="Arial"/>
          <w:sz w:val="18"/>
          <w:szCs w:val="18"/>
          <w:lang w:val="es-MX" w:eastAsia="ar-SA"/>
        </w:rPr>
        <w:t>e Gobierno</w:t>
      </w:r>
      <w:r w:rsidRPr="001119E2">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L</w:t>
      </w:r>
      <w:r w:rsidR="00391E43">
        <w:rPr>
          <w:rFonts w:ascii="Arial Narrow" w:eastAsia="Arial" w:hAnsi="Arial Narrow" w:cs="Arial"/>
          <w:sz w:val="18"/>
          <w:szCs w:val="18"/>
          <w:lang w:val="es-MX" w:eastAsia="ar-SA"/>
        </w:rPr>
        <w:t>ic</w:t>
      </w:r>
      <w:r>
        <w:rPr>
          <w:rFonts w:ascii="Arial Narrow" w:eastAsia="Arial" w:hAnsi="Arial Narrow" w:cs="Arial"/>
          <w:sz w:val="18"/>
          <w:szCs w:val="18"/>
          <w:lang w:val="es-MX" w:eastAsia="ar-SA"/>
        </w:rPr>
        <w:t xml:space="preserve">. </w:t>
      </w:r>
      <w:r w:rsidR="00391E43">
        <w:rPr>
          <w:rFonts w:ascii="Arial Narrow" w:eastAsia="Arial" w:hAnsi="Arial Narrow" w:cs="Arial"/>
          <w:sz w:val="18"/>
          <w:szCs w:val="18"/>
          <w:lang w:val="es-MX" w:eastAsia="ar-SA"/>
        </w:rPr>
        <w:t xml:space="preserve">Héctor Anuar </w:t>
      </w:r>
      <w:proofErr w:type="spellStart"/>
      <w:r w:rsidR="00391E43">
        <w:rPr>
          <w:rFonts w:ascii="Arial Narrow" w:eastAsia="Arial" w:hAnsi="Arial Narrow" w:cs="Arial"/>
          <w:sz w:val="18"/>
          <w:szCs w:val="18"/>
          <w:lang w:val="es-MX" w:eastAsia="ar-SA"/>
        </w:rPr>
        <w:t>Mafud</w:t>
      </w:r>
      <w:proofErr w:type="spellEnd"/>
      <w:r w:rsidR="00391E43">
        <w:rPr>
          <w:rFonts w:ascii="Arial Narrow" w:eastAsia="Arial" w:hAnsi="Arial Narrow" w:cs="Arial"/>
          <w:sz w:val="18"/>
          <w:szCs w:val="18"/>
          <w:lang w:val="es-MX" w:eastAsia="ar-SA"/>
        </w:rPr>
        <w:t xml:space="preserve"> </w:t>
      </w:r>
      <w:proofErr w:type="spellStart"/>
      <w:r w:rsidR="00391E43">
        <w:rPr>
          <w:rFonts w:ascii="Arial Narrow" w:eastAsia="Arial" w:hAnsi="Arial Narrow" w:cs="Arial"/>
          <w:sz w:val="18"/>
          <w:szCs w:val="18"/>
          <w:lang w:val="es-MX" w:eastAsia="ar-SA"/>
        </w:rPr>
        <w:t>Mafud</w:t>
      </w:r>
      <w:proofErr w:type="spellEnd"/>
      <w:r w:rsidR="00391E43">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Rúbr</w:t>
      </w:r>
      <w:r w:rsidR="00391E43">
        <w:rPr>
          <w:rFonts w:ascii="Arial Narrow" w:eastAsia="Arial" w:hAnsi="Arial Narrow" w:cs="Arial"/>
          <w:sz w:val="18"/>
          <w:szCs w:val="18"/>
          <w:lang w:val="es-MX" w:eastAsia="ar-SA"/>
        </w:rPr>
        <w:t>ica</w:t>
      </w:r>
      <w:r w:rsidRPr="001119E2">
        <w:rPr>
          <w:rFonts w:ascii="Arial Narrow" w:eastAsia="Arial" w:hAnsi="Arial Narrow" w:cs="Arial"/>
          <w:sz w:val="18"/>
          <w:szCs w:val="18"/>
          <w:lang w:val="es-MX" w:eastAsia="ar-SA"/>
        </w:rPr>
        <w:t>.</w:t>
      </w:r>
    </w:p>
    <w:sectPr w:rsidR="00AF5EA8" w:rsidRPr="003578E3">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3CC2" w:rsidRDefault="00D63CC2" w:rsidP="00AF5EA8">
      <w:r>
        <w:separator/>
      </w:r>
    </w:p>
  </w:endnote>
  <w:endnote w:type="continuationSeparator" w:id="0">
    <w:p w:rsidR="00D63CC2" w:rsidRDefault="00D63CC2"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3CC2" w:rsidRDefault="00D63CC2" w:rsidP="00AF5EA8">
      <w:r>
        <w:separator/>
      </w:r>
    </w:p>
  </w:footnote>
  <w:footnote w:type="continuationSeparator" w:id="0">
    <w:p w:rsidR="00D63CC2" w:rsidRDefault="00D63CC2"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28"/>
      <w:gridCol w:w="3844"/>
    </w:tblGrid>
    <w:tr w:rsidR="00EF520F" w:rsidRPr="00941E50" w:rsidTr="00206A60">
      <w:trPr>
        <w:cantSplit/>
        <w:trHeight w:val="333"/>
      </w:trPr>
      <w:tc>
        <w:tcPr>
          <w:tcW w:w="1390" w:type="dxa"/>
          <w:vMerge w:val="restart"/>
          <w:vAlign w:val="center"/>
        </w:tcPr>
        <w:p w:rsidR="00EF520F" w:rsidRPr="00AF5EA8" w:rsidRDefault="00EF520F"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CF7F2FB" wp14:editId="1F31387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EF520F" w:rsidRPr="00737A4E" w:rsidRDefault="00EF520F" w:rsidP="00737A4E">
          <w:pPr>
            <w:pStyle w:val="Ttulo1"/>
            <w:jc w:val="right"/>
            <w:rPr>
              <w:rFonts w:ascii="Tahoma" w:hAnsi="Tahoma" w:cs="Tahoma"/>
              <w:b/>
              <w:kern w:val="0"/>
              <w:sz w:val="16"/>
              <w:szCs w:val="16"/>
              <w:lang w:val="es-MX"/>
            </w:rPr>
          </w:pPr>
          <w:r w:rsidRPr="003B7220">
            <w:rPr>
              <w:rFonts w:ascii="Tahoma" w:hAnsi="Tahoma" w:cs="Tahoma"/>
              <w:b/>
              <w:kern w:val="0"/>
              <w:sz w:val="16"/>
              <w:szCs w:val="16"/>
              <w:lang w:val="es-MX"/>
            </w:rPr>
            <w:t>LEY DE INGRESOS DEL ESTADO DE OAXACA PARA EL EJERCICIO FISCAL</w:t>
          </w:r>
          <w:r>
            <w:rPr>
              <w:rFonts w:ascii="Tahoma" w:hAnsi="Tahoma" w:cs="Tahoma"/>
              <w:b/>
              <w:kern w:val="0"/>
              <w:sz w:val="16"/>
              <w:szCs w:val="16"/>
              <w:lang w:val="es-MX"/>
            </w:rPr>
            <w:t xml:space="preserve"> 2018</w:t>
          </w:r>
        </w:p>
      </w:tc>
    </w:tr>
    <w:tr w:rsidR="00EF520F" w:rsidRPr="00941E50" w:rsidTr="00206A60">
      <w:trPr>
        <w:cantSplit/>
        <w:trHeight w:val="50"/>
      </w:trPr>
      <w:tc>
        <w:tcPr>
          <w:tcW w:w="1390" w:type="dxa"/>
          <w:vMerge/>
        </w:tcPr>
        <w:p w:rsidR="00EF520F" w:rsidRPr="00E97E8A" w:rsidRDefault="00EF520F"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EF520F" w:rsidRPr="00E97E8A" w:rsidRDefault="00EF520F" w:rsidP="00AF5EA8">
          <w:pPr>
            <w:tabs>
              <w:tab w:val="center" w:pos="4252"/>
              <w:tab w:val="right" w:pos="8504"/>
            </w:tabs>
            <w:ind w:left="-70"/>
            <w:jc w:val="right"/>
            <w:rPr>
              <w:rFonts w:ascii="Arial Narrow" w:hAnsi="Arial Narrow" w:cs="Arial"/>
              <w:sz w:val="4"/>
              <w:lang w:val="es-MX"/>
            </w:rPr>
          </w:pPr>
        </w:p>
      </w:tc>
    </w:tr>
    <w:tr w:rsidR="00EF520F" w:rsidRPr="00AF5EA8" w:rsidTr="00206A60">
      <w:trPr>
        <w:cantSplit/>
        <w:trHeight w:val="295"/>
      </w:trPr>
      <w:tc>
        <w:tcPr>
          <w:tcW w:w="1390" w:type="dxa"/>
          <w:vMerge/>
        </w:tcPr>
        <w:p w:rsidR="00EF520F" w:rsidRPr="00E97E8A" w:rsidRDefault="00EF520F" w:rsidP="00AF5EA8">
          <w:pPr>
            <w:tabs>
              <w:tab w:val="center" w:pos="4252"/>
              <w:tab w:val="right" w:pos="8504"/>
            </w:tabs>
            <w:rPr>
              <w:rFonts w:ascii="CG Omega" w:hAnsi="CG Omega"/>
              <w:sz w:val="16"/>
              <w:lang w:val="es-MX"/>
            </w:rPr>
          </w:pPr>
        </w:p>
      </w:tc>
      <w:tc>
        <w:tcPr>
          <w:tcW w:w="4077" w:type="dxa"/>
        </w:tcPr>
        <w:p w:rsidR="00EF520F" w:rsidRPr="00E97E8A" w:rsidRDefault="00EF520F" w:rsidP="00AF5EA8">
          <w:pPr>
            <w:tabs>
              <w:tab w:val="center" w:pos="4252"/>
              <w:tab w:val="right" w:pos="8504"/>
            </w:tabs>
            <w:ind w:left="-70"/>
            <w:rPr>
              <w:rFonts w:ascii="Arial Narrow" w:hAnsi="Arial Narrow" w:cs="Arial"/>
              <w:sz w:val="4"/>
              <w:lang w:val="es-MX"/>
            </w:rPr>
          </w:pPr>
        </w:p>
      </w:tc>
      <w:tc>
        <w:tcPr>
          <w:tcW w:w="4077" w:type="dxa"/>
        </w:tcPr>
        <w:p w:rsidR="00EF520F" w:rsidRPr="00AF5EA8" w:rsidRDefault="00EF520F" w:rsidP="003B722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PPOE 20-12-2017</w:t>
          </w:r>
          <w:r w:rsidRPr="00AF5EA8">
            <w:rPr>
              <w:rFonts w:ascii="Arial" w:hAnsi="Arial" w:cs="Arial"/>
              <w:i/>
              <w:iCs/>
              <w:color w:val="181818"/>
              <w:sz w:val="14"/>
            </w:rPr>
            <w:t xml:space="preserve"> </w:t>
          </w:r>
        </w:p>
      </w:tc>
    </w:tr>
  </w:tbl>
  <w:p w:rsidR="00EF520F" w:rsidRDefault="00EF52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5731A"/>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B78B5"/>
    <w:multiLevelType w:val="hybridMultilevel"/>
    <w:tmpl w:val="C8E4876A"/>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F34F09"/>
    <w:multiLevelType w:val="hybridMultilevel"/>
    <w:tmpl w:val="0E6CA9D2"/>
    <w:lvl w:ilvl="0" w:tplc="4956FC7A">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37EF4"/>
    <w:multiLevelType w:val="hybridMultilevel"/>
    <w:tmpl w:val="6CA8C9E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A92E6B"/>
    <w:multiLevelType w:val="hybridMultilevel"/>
    <w:tmpl w:val="530C762C"/>
    <w:lvl w:ilvl="0" w:tplc="1106697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61381A"/>
    <w:multiLevelType w:val="hybridMultilevel"/>
    <w:tmpl w:val="024A3DB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6D099F"/>
    <w:multiLevelType w:val="hybridMultilevel"/>
    <w:tmpl w:val="6E8A145C"/>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9104B2F"/>
    <w:multiLevelType w:val="hybridMultilevel"/>
    <w:tmpl w:val="F69441DC"/>
    <w:lvl w:ilvl="0" w:tplc="2A16D6C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8165C4"/>
    <w:multiLevelType w:val="hybridMultilevel"/>
    <w:tmpl w:val="C2D8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087968"/>
    <w:multiLevelType w:val="hybridMultilevel"/>
    <w:tmpl w:val="729C33C4"/>
    <w:lvl w:ilvl="0" w:tplc="C90A15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DE08E6"/>
    <w:multiLevelType w:val="hybridMultilevel"/>
    <w:tmpl w:val="569868A2"/>
    <w:lvl w:ilvl="0" w:tplc="968615E2">
      <w:start w:val="2"/>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7428AE"/>
    <w:multiLevelType w:val="hybridMultilevel"/>
    <w:tmpl w:val="CE7ADE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B430EE6"/>
    <w:multiLevelType w:val="hybridMultilevel"/>
    <w:tmpl w:val="74D0D4BE"/>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0761A"/>
    <w:multiLevelType w:val="hybridMultilevel"/>
    <w:tmpl w:val="8F52BE9A"/>
    <w:lvl w:ilvl="0" w:tplc="42ECBD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935006"/>
    <w:multiLevelType w:val="hybridMultilevel"/>
    <w:tmpl w:val="7FA081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51F5B02"/>
    <w:multiLevelType w:val="hybridMultilevel"/>
    <w:tmpl w:val="D388B956"/>
    <w:lvl w:ilvl="0" w:tplc="8C844C6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1B7EE0"/>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564F12"/>
    <w:multiLevelType w:val="hybridMultilevel"/>
    <w:tmpl w:val="7A14C2F6"/>
    <w:lvl w:ilvl="0" w:tplc="DA8CDB4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8962FFD"/>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15E1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051960"/>
    <w:multiLevelType w:val="hybridMultilevel"/>
    <w:tmpl w:val="526EB4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E21AF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EE4B6D"/>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8240A4"/>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8D39DE"/>
    <w:multiLevelType w:val="hybridMultilevel"/>
    <w:tmpl w:val="658C3A5C"/>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1"/>
  </w:num>
  <w:num w:numId="5">
    <w:abstractNumId w:val="24"/>
  </w:num>
  <w:num w:numId="6">
    <w:abstractNumId w:val="20"/>
  </w:num>
  <w:num w:numId="7">
    <w:abstractNumId w:val="19"/>
  </w:num>
  <w:num w:numId="8">
    <w:abstractNumId w:val="26"/>
  </w:num>
  <w:num w:numId="9">
    <w:abstractNumId w:val="21"/>
  </w:num>
  <w:num w:numId="10">
    <w:abstractNumId w:val="3"/>
  </w:num>
  <w:num w:numId="11">
    <w:abstractNumId w:val="2"/>
  </w:num>
  <w:num w:numId="12">
    <w:abstractNumId w:val="4"/>
  </w:num>
  <w:num w:numId="13">
    <w:abstractNumId w:val="23"/>
  </w:num>
  <w:num w:numId="14">
    <w:abstractNumId w:val="14"/>
  </w:num>
  <w:num w:numId="15">
    <w:abstractNumId w:val="25"/>
  </w:num>
  <w:num w:numId="16">
    <w:abstractNumId w:val="17"/>
  </w:num>
  <w:num w:numId="17">
    <w:abstractNumId w:val="11"/>
  </w:num>
  <w:num w:numId="18">
    <w:abstractNumId w:val="7"/>
  </w:num>
  <w:num w:numId="19">
    <w:abstractNumId w:val="8"/>
  </w:num>
  <w:num w:numId="20">
    <w:abstractNumId w:val="13"/>
  </w:num>
  <w:num w:numId="21">
    <w:abstractNumId w:val="5"/>
  </w:num>
  <w:num w:numId="22">
    <w:abstractNumId w:val="16"/>
  </w:num>
  <w:num w:numId="23">
    <w:abstractNumId w:val="9"/>
  </w:num>
  <w:num w:numId="24">
    <w:abstractNumId w:val="6"/>
  </w:num>
  <w:num w:numId="25">
    <w:abstractNumId w:val="18"/>
  </w:num>
  <w:num w:numId="26">
    <w:abstractNumId w:val="12"/>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64751"/>
    <w:rsid w:val="000731A1"/>
    <w:rsid w:val="000909EA"/>
    <w:rsid w:val="000D20EC"/>
    <w:rsid w:val="00112275"/>
    <w:rsid w:val="001568DC"/>
    <w:rsid w:val="00170F67"/>
    <w:rsid w:val="001842F4"/>
    <w:rsid w:val="00185E35"/>
    <w:rsid w:val="0019397C"/>
    <w:rsid w:val="001C17E2"/>
    <w:rsid w:val="001E1157"/>
    <w:rsid w:val="00206A60"/>
    <w:rsid w:val="002121E7"/>
    <w:rsid w:val="0021652C"/>
    <w:rsid w:val="00224002"/>
    <w:rsid w:val="00254EC9"/>
    <w:rsid w:val="002A5540"/>
    <w:rsid w:val="00322622"/>
    <w:rsid w:val="00356303"/>
    <w:rsid w:val="003578E3"/>
    <w:rsid w:val="00361C4C"/>
    <w:rsid w:val="003642BA"/>
    <w:rsid w:val="00387651"/>
    <w:rsid w:val="00391E43"/>
    <w:rsid w:val="003B7220"/>
    <w:rsid w:val="003F542B"/>
    <w:rsid w:val="0044565D"/>
    <w:rsid w:val="00450C2E"/>
    <w:rsid w:val="00463055"/>
    <w:rsid w:val="004652CD"/>
    <w:rsid w:val="004707BD"/>
    <w:rsid w:val="004C3243"/>
    <w:rsid w:val="004D6AFA"/>
    <w:rsid w:val="00504F54"/>
    <w:rsid w:val="00511088"/>
    <w:rsid w:val="00520B18"/>
    <w:rsid w:val="00526F77"/>
    <w:rsid w:val="005318C1"/>
    <w:rsid w:val="00551A03"/>
    <w:rsid w:val="0056192E"/>
    <w:rsid w:val="00573818"/>
    <w:rsid w:val="00575170"/>
    <w:rsid w:val="005847C4"/>
    <w:rsid w:val="005A04A3"/>
    <w:rsid w:val="005D5EA4"/>
    <w:rsid w:val="005F1A65"/>
    <w:rsid w:val="00630458"/>
    <w:rsid w:val="006419B1"/>
    <w:rsid w:val="006459BD"/>
    <w:rsid w:val="00647C6E"/>
    <w:rsid w:val="0067561F"/>
    <w:rsid w:val="00684556"/>
    <w:rsid w:val="00687AEF"/>
    <w:rsid w:val="0069313A"/>
    <w:rsid w:val="006B08F0"/>
    <w:rsid w:val="006E5CFF"/>
    <w:rsid w:val="007132EC"/>
    <w:rsid w:val="007318D7"/>
    <w:rsid w:val="007372B3"/>
    <w:rsid w:val="00737A4E"/>
    <w:rsid w:val="00741DF0"/>
    <w:rsid w:val="00763F68"/>
    <w:rsid w:val="0077209F"/>
    <w:rsid w:val="00776971"/>
    <w:rsid w:val="007A5054"/>
    <w:rsid w:val="007A737D"/>
    <w:rsid w:val="007B7762"/>
    <w:rsid w:val="007C5770"/>
    <w:rsid w:val="007F61A3"/>
    <w:rsid w:val="00817AEE"/>
    <w:rsid w:val="00821F57"/>
    <w:rsid w:val="008306EE"/>
    <w:rsid w:val="00840A03"/>
    <w:rsid w:val="00864111"/>
    <w:rsid w:val="00866759"/>
    <w:rsid w:val="00885C0C"/>
    <w:rsid w:val="008A3648"/>
    <w:rsid w:val="008A7C06"/>
    <w:rsid w:val="008B51D3"/>
    <w:rsid w:val="008C2197"/>
    <w:rsid w:val="008E03E0"/>
    <w:rsid w:val="009073C2"/>
    <w:rsid w:val="00917C21"/>
    <w:rsid w:val="00917DDF"/>
    <w:rsid w:val="00922582"/>
    <w:rsid w:val="009363D0"/>
    <w:rsid w:val="00941E50"/>
    <w:rsid w:val="0094244A"/>
    <w:rsid w:val="0094407C"/>
    <w:rsid w:val="00964546"/>
    <w:rsid w:val="009B1188"/>
    <w:rsid w:val="009B3968"/>
    <w:rsid w:val="009E54A3"/>
    <w:rsid w:val="009F3918"/>
    <w:rsid w:val="00A062AF"/>
    <w:rsid w:val="00A37BEB"/>
    <w:rsid w:val="00A40B7C"/>
    <w:rsid w:val="00A87DED"/>
    <w:rsid w:val="00AC2192"/>
    <w:rsid w:val="00AC6F22"/>
    <w:rsid w:val="00AF5EA8"/>
    <w:rsid w:val="00B30D28"/>
    <w:rsid w:val="00B34A51"/>
    <w:rsid w:val="00B42F3C"/>
    <w:rsid w:val="00B71752"/>
    <w:rsid w:val="00B81057"/>
    <w:rsid w:val="00B813A6"/>
    <w:rsid w:val="00B832F9"/>
    <w:rsid w:val="00B97B12"/>
    <w:rsid w:val="00BA1A4D"/>
    <w:rsid w:val="00BB292B"/>
    <w:rsid w:val="00BC18DD"/>
    <w:rsid w:val="00C03B73"/>
    <w:rsid w:val="00C14BD0"/>
    <w:rsid w:val="00C31B58"/>
    <w:rsid w:val="00C6276F"/>
    <w:rsid w:val="00C72C60"/>
    <w:rsid w:val="00C90778"/>
    <w:rsid w:val="00CB0371"/>
    <w:rsid w:val="00CB56B1"/>
    <w:rsid w:val="00CB6C73"/>
    <w:rsid w:val="00CC7151"/>
    <w:rsid w:val="00D1045A"/>
    <w:rsid w:val="00D20F29"/>
    <w:rsid w:val="00D366FC"/>
    <w:rsid w:val="00D42E33"/>
    <w:rsid w:val="00D63CC2"/>
    <w:rsid w:val="00D910B7"/>
    <w:rsid w:val="00D94E65"/>
    <w:rsid w:val="00DA1146"/>
    <w:rsid w:val="00DB6983"/>
    <w:rsid w:val="00DD4711"/>
    <w:rsid w:val="00DE745F"/>
    <w:rsid w:val="00DF0393"/>
    <w:rsid w:val="00E73B04"/>
    <w:rsid w:val="00E87149"/>
    <w:rsid w:val="00E877FB"/>
    <w:rsid w:val="00E933B8"/>
    <w:rsid w:val="00E97E8A"/>
    <w:rsid w:val="00EC63B5"/>
    <w:rsid w:val="00EC7317"/>
    <w:rsid w:val="00EF3512"/>
    <w:rsid w:val="00EF520F"/>
    <w:rsid w:val="00F21E07"/>
    <w:rsid w:val="00F343E1"/>
    <w:rsid w:val="00F367CE"/>
    <w:rsid w:val="00F55054"/>
    <w:rsid w:val="00F56FB5"/>
    <w:rsid w:val="00F6607C"/>
    <w:rsid w:val="00F71B8C"/>
    <w:rsid w:val="00F87C43"/>
    <w:rsid w:val="00FB22E2"/>
    <w:rsid w:val="00FB6FAF"/>
    <w:rsid w:val="00FD2D5B"/>
    <w:rsid w:val="00FE4CB0"/>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99"/>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99"/>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220C-C1EA-400D-A6D9-95CCCB5FA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14</Pages>
  <Words>4034</Words>
  <Characters>22192</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55</cp:revision>
  <cp:lastPrinted>2018-01-02T19:47:00Z</cp:lastPrinted>
  <dcterms:created xsi:type="dcterms:W3CDTF">2017-01-04T19:07:00Z</dcterms:created>
  <dcterms:modified xsi:type="dcterms:W3CDTF">2018-01-02T19:48:00Z</dcterms:modified>
</cp:coreProperties>
</file>