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C01" w:rsidRPr="00883A5D" w:rsidRDefault="00BB3C01" w:rsidP="00883A5D">
      <w:pPr>
        <w:spacing w:after="200"/>
        <w:contextualSpacing/>
        <w:jc w:val="both"/>
        <w:rPr>
          <w:rFonts w:ascii="Arial" w:hAnsi="Arial" w:cs="Arial"/>
          <w:b/>
          <w:spacing w:val="20"/>
        </w:rPr>
      </w:pPr>
      <w:r w:rsidRPr="00883A5D">
        <w:rPr>
          <w:rFonts w:ascii="Arial" w:hAnsi="Arial" w:cs="Arial"/>
          <w:b/>
          <w:spacing w:val="20"/>
        </w:rPr>
        <w:t>1.- SITUACIÓN ECONÓMICA DE LAS FINANZAS PÚBLICAS</w:t>
      </w:r>
    </w:p>
    <w:p w:rsidR="00883A5D" w:rsidRPr="00883A5D" w:rsidRDefault="00883A5D" w:rsidP="00883A5D">
      <w:pPr>
        <w:contextualSpacing/>
        <w:rPr>
          <w:rFonts w:ascii="Arial" w:hAnsi="Arial" w:cs="Arial"/>
          <w:color w:val="FF0000"/>
          <w:spacing w:val="20"/>
          <w:highlight w:val="yellow"/>
        </w:rPr>
      </w:pPr>
    </w:p>
    <w:p w:rsidR="00195B38" w:rsidRDefault="00195B38" w:rsidP="00195B38">
      <w:pPr>
        <w:spacing w:before="120" w:after="120" w:line="264" w:lineRule="auto"/>
        <w:contextualSpacing/>
        <w:rPr>
          <w:rFonts w:ascii="Arial" w:hAnsi="Arial" w:cs="Arial"/>
          <w:b/>
          <w:spacing w:val="20"/>
        </w:rPr>
      </w:pPr>
      <w:bookmarkStart w:id="0" w:name="_GoBack"/>
      <w:bookmarkEnd w:id="0"/>
    </w:p>
    <w:p w:rsidR="00195B38" w:rsidRPr="00527AD0" w:rsidRDefault="00195B38" w:rsidP="00195B38">
      <w:pPr>
        <w:spacing w:before="120" w:after="120" w:line="264" w:lineRule="auto"/>
        <w:contextualSpacing/>
        <w:rPr>
          <w:rFonts w:ascii="Arial" w:hAnsi="Arial" w:cs="Arial"/>
          <w:b/>
          <w:spacing w:val="20"/>
        </w:rPr>
      </w:pPr>
      <w:r w:rsidRPr="00527AD0">
        <w:rPr>
          <w:rFonts w:ascii="Arial" w:hAnsi="Arial" w:cs="Arial"/>
          <w:b/>
          <w:spacing w:val="20"/>
        </w:rPr>
        <w:t xml:space="preserve">RESULTADOS DEL PERIODO ENERO - </w:t>
      </w:r>
      <w:r>
        <w:rPr>
          <w:rFonts w:ascii="Arial" w:hAnsi="Arial" w:cs="Arial"/>
          <w:b/>
          <w:spacing w:val="20"/>
        </w:rPr>
        <w:t>JUNIO</w:t>
      </w:r>
      <w:r w:rsidRPr="00527AD0">
        <w:rPr>
          <w:rFonts w:ascii="Arial" w:hAnsi="Arial" w:cs="Arial"/>
          <w:b/>
          <w:spacing w:val="20"/>
        </w:rPr>
        <w:t xml:space="preserve"> 201</w:t>
      </w:r>
      <w:r>
        <w:rPr>
          <w:rFonts w:ascii="Arial" w:hAnsi="Arial" w:cs="Arial"/>
          <w:b/>
          <w:spacing w:val="20"/>
        </w:rPr>
        <w:t>5</w:t>
      </w:r>
      <w:r w:rsidRPr="00527AD0">
        <w:rPr>
          <w:rFonts w:ascii="Arial" w:hAnsi="Arial" w:cs="Arial"/>
          <w:b/>
          <w:spacing w:val="20"/>
        </w:rPr>
        <w:t>.</w:t>
      </w:r>
    </w:p>
    <w:p w:rsidR="00195B38" w:rsidRPr="00803684" w:rsidRDefault="00195B38" w:rsidP="00195B38">
      <w:pPr>
        <w:pStyle w:val="Ttulo2"/>
      </w:pPr>
    </w:p>
    <w:p w:rsidR="00195B38" w:rsidRDefault="00195B38" w:rsidP="00195B38">
      <w:pPr>
        <w:pStyle w:val="Ttulo2"/>
        <w:rPr>
          <w:b/>
        </w:rPr>
      </w:pPr>
      <w:r w:rsidRPr="00803684">
        <w:rPr>
          <w:b/>
        </w:rPr>
        <w:t>ACCIONES DE FISCALIZACIÓN</w:t>
      </w:r>
    </w:p>
    <w:p w:rsidR="00195B38" w:rsidRDefault="00195B38" w:rsidP="00195B38">
      <w:pPr>
        <w:pStyle w:val="Ttulo2"/>
      </w:pPr>
    </w:p>
    <w:p w:rsidR="00195B38" w:rsidRDefault="00195B38" w:rsidP="00195B38">
      <w:pPr>
        <w:pStyle w:val="Ttulo2"/>
      </w:pPr>
      <w:r w:rsidRPr="00A836C5">
        <w:t>Dentro de las atri</w:t>
      </w:r>
      <w:r>
        <w:t>buciones a cargo de la Secretarí</w:t>
      </w:r>
      <w:r w:rsidRPr="00A836C5">
        <w:t>a de Finanzas, relacionadas con la verificación del cumplimiento de las obligaciones fiscales de los contribuyentes</w:t>
      </w:r>
      <w:r>
        <w:t xml:space="preserve"> en materia de impuestos federales</w:t>
      </w:r>
      <w:r w:rsidRPr="00A836C5">
        <w:t>, la Dirección de Auditoria e Inspección Fiscal durante el periodo enero a junio de 2015  han concluido 117 actos de fiscalización en materia de impuestos federales, cabe señalar que de acuerdo a la concertación del Programa Operativo Anual 2015 se tiene establecida una meta al mes de junio de 154 acciones y una meta anual de 318, lográndose un avance del 75.98% con respecto a la meta establecida a este período y un avance del 36.80 % con respecto a meta anual, como se muestra a continuación:</w:t>
      </w:r>
    </w:p>
    <w:p w:rsidR="00195B38" w:rsidRDefault="00195B38" w:rsidP="00195B38">
      <w:pPr>
        <w:jc w:val="both"/>
        <w:rPr>
          <w:rFonts w:ascii="Arial" w:hAnsi="Arial"/>
          <w:spacing w:val="20"/>
          <w:szCs w:val="20"/>
          <w:lang w:val="es-MX"/>
        </w:rPr>
      </w:pPr>
    </w:p>
    <w:p w:rsidR="00195B38" w:rsidRDefault="00195B38" w:rsidP="00195B38">
      <w:pPr>
        <w:jc w:val="center"/>
        <w:rPr>
          <w:noProof/>
          <w:sz w:val="20"/>
          <w:szCs w:val="20"/>
        </w:rPr>
      </w:pPr>
      <w:r>
        <w:rPr>
          <w:noProof/>
          <w:lang w:val="es-MX" w:eastAsia="es-MX"/>
        </w:rPr>
        <w:drawing>
          <wp:inline distT="0" distB="0" distL="0" distR="0">
            <wp:extent cx="3493696" cy="2553195"/>
            <wp:effectExtent l="19050" t="0" r="11504" b="0"/>
            <wp:docPr id="26"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95B38" w:rsidRDefault="00195B38" w:rsidP="00195B38">
      <w:pPr>
        <w:rPr>
          <w:b/>
        </w:rPr>
      </w:pPr>
    </w:p>
    <w:p w:rsidR="00195B38" w:rsidRDefault="00195B38" w:rsidP="00195B38">
      <w:pPr>
        <w:pStyle w:val="Ttulo2"/>
        <w:rPr>
          <w:rFonts w:ascii="Helvetica" w:hAnsi="Helvetica"/>
          <w:szCs w:val="24"/>
          <w:lang w:val="es-ES"/>
        </w:rPr>
      </w:pPr>
      <w:r w:rsidRPr="00A42120">
        <w:t>En lo que se refiere al POA Estatal, se tiene una meta anual de 2</w:t>
      </w:r>
      <w:r>
        <w:t>0</w:t>
      </w:r>
      <w:r w:rsidRPr="00A42120">
        <w:t xml:space="preserve"> actos de fiscalización, cabe destacar que al mes</w:t>
      </w:r>
      <w:r w:rsidRPr="00A42120">
        <w:rPr>
          <w:rFonts w:ascii="Helvetica" w:hAnsi="Helvetica"/>
          <w:szCs w:val="24"/>
          <w:lang w:val="es-ES"/>
        </w:rPr>
        <w:t xml:space="preserve"> de junio se han concluido  24 acciones  lográndose un avance de 120%  respecto a la meta señalada.</w:t>
      </w:r>
    </w:p>
    <w:p w:rsidR="00195B38" w:rsidRDefault="00195B38" w:rsidP="00195B38">
      <w:pPr>
        <w:pStyle w:val="Ttulo2"/>
        <w:rPr>
          <w:rFonts w:ascii="Helvetica" w:hAnsi="Helvetica"/>
          <w:szCs w:val="24"/>
          <w:lang w:val="es-ES"/>
        </w:rPr>
      </w:pPr>
    </w:p>
    <w:p w:rsidR="00195B38" w:rsidRPr="00A42120" w:rsidRDefault="00D872E0" w:rsidP="00195B38">
      <w:pPr>
        <w:pStyle w:val="Ttulo2"/>
        <w:rPr>
          <w:rFonts w:ascii="Helvetica" w:hAnsi="Helvetica"/>
          <w:szCs w:val="24"/>
          <w:lang w:val="es-ES"/>
        </w:rPr>
      </w:pPr>
      <w:r>
        <w:rPr>
          <w:noProof/>
          <w:lang w:eastAsia="es-MX"/>
        </w:rPr>
        <w:drawing>
          <wp:anchor distT="0" distB="0" distL="114300" distR="114300" simplePos="0" relativeHeight="251665408" behindDoc="0" locked="0" layoutInCell="1" allowOverlap="1">
            <wp:simplePos x="0" y="0"/>
            <wp:positionH relativeFrom="column">
              <wp:posOffset>755840</wp:posOffset>
            </wp:positionH>
            <wp:positionV relativeFrom="paragraph">
              <wp:posOffset>39147</wp:posOffset>
            </wp:positionV>
            <wp:extent cx="4412796" cy="2232561"/>
            <wp:effectExtent l="19050" t="0" r="25854" b="0"/>
            <wp:wrapNone/>
            <wp:docPr id="28" name="3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A22CBC" w:rsidRPr="00A22CBC">
        <w:rPr>
          <w:noProof/>
          <w:lang w:eastAsia="es-MX"/>
        </w:rPr>
        <w:pict>
          <v:shapetype id="_x0000_t202" coordsize="21600,21600" o:spt="202" path="m,l,21600r21600,l21600,xe">
            <v:stroke joinstyle="miter"/>
            <v:path gradientshapeok="t" o:connecttype="rect"/>
          </v:shapetype>
          <v:shape id="7 CuadroTexto" o:spid="_x0000_s1258" type="#_x0000_t202" style="position:absolute;left:0;text-align:left;margin-left:157.2pt;margin-top:82.4pt;width:30.75pt;height:17.55pt;z-index:25166643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" filled="f" stroked="f">
            <v:textbox>
              <w:txbxContent>
                <w:p w:rsidR="00890948" w:rsidRPr="000D22B4" w:rsidRDefault="00890948" w:rsidP="00195B38">
                  <w:pPr>
                    <w:pStyle w:val="NormalWeb"/>
                    <w:spacing w:before="0" w:beforeAutospacing="0" w:after="0" w:afterAutospacing="0"/>
                    <w:rPr>
                      <w:color w:val="auto"/>
                    </w:rPr>
                  </w:pPr>
                  <w:r w:rsidRPr="000D22B4">
                    <w:rPr>
                      <w:rFonts w:asciiTheme="minorHAnsi" w:hAnsi="Calibri" w:cstheme="minorBidi"/>
                      <w:b/>
                      <w:bCs/>
                      <w:color w:val="auto"/>
                      <w:sz w:val="22"/>
                      <w:szCs w:val="22"/>
                    </w:rPr>
                    <w:t>24</w:t>
                  </w:r>
                </w:p>
              </w:txbxContent>
            </v:textbox>
          </v:shape>
        </w:pict>
      </w:r>
      <w:r w:rsidR="00A22CBC" w:rsidRPr="00A22CBC">
        <w:rPr>
          <w:noProof/>
          <w:lang w:eastAsia="es-MX"/>
        </w:rPr>
        <w:pict>
          <v:shape id="8 CuadroTexto" o:spid="_x0000_s1259" type="#_x0000_t202" style="position:absolute;left:0;text-align:left;margin-left:280.2pt;margin-top:101.9pt;width:33pt;height:23.25pt;z-index:25166745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" filled="f" stroked="f">
            <v:textbox>
              <w:txbxContent>
                <w:p w:rsidR="00890948" w:rsidRPr="000D22B4" w:rsidRDefault="00890948" w:rsidP="00195B38">
                  <w:pPr>
                    <w:pStyle w:val="NormalWeb"/>
                    <w:spacing w:before="0" w:beforeAutospacing="0" w:after="0" w:afterAutospacing="0"/>
                    <w:rPr>
                      <w:color w:val="auto"/>
                    </w:rPr>
                  </w:pPr>
                  <w:r w:rsidRPr="000D22B4">
                    <w:rPr>
                      <w:rFonts w:asciiTheme="minorHAnsi" w:hAnsi="Calibri" w:cstheme="minorBidi"/>
                      <w:b/>
                      <w:bCs/>
                      <w:color w:val="auto"/>
                      <w:sz w:val="22"/>
                      <w:szCs w:val="22"/>
                    </w:rPr>
                    <w:t>20</w:t>
                  </w:r>
                </w:p>
              </w:txbxContent>
            </v:textbox>
          </v:shape>
        </w:pict>
      </w:r>
      <w:r w:rsidR="00195B38" w:rsidRPr="00A42120">
        <w:rPr>
          <w:rFonts w:ascii="Helvetica" w:hAnsi="Helvetica"/>
          <w:szCs w:val="24"/>
          <w:lang w:val="es-ES"/>
        </w:rPr>
        <w:br w:type="page"/>
      </w:r>
    </w:p>
    <w:p w:rsidR="00195B38" w:rsidRDefault="00195B38" w:rsidP="00195B38">
      <w:pPr>
        <w:rPr>
          <w:b/>
        </w:rPr>
      </w:pPr>
    </w:p>
    <w:p w:rsidR="00195B38" w:rsidRDefault="00195B38" w:rsidP="00195B38">
      <w:pPr>
        <w:rPr>
          <w:b/>
        </w:rPr>
      </w:pPr>
    </w:p>
    <w:p w:rsidR="00195B38" w:rsidRPr="00803684" w:rsidRDefault="00195B38" w:rsidP="00195B38">
      <w:pPr>
        <w:pStyle w:val="Ttulo2"/>
        <w:rPr>
          <w:b/>
          <w:i/>
        </w:rPr>
      </w:pPr>
      <w:r w:rsidRPr="00803684">
        <w:rPr>
          <w:b/>
          <w:i/>
        </w:rPr>
        <w:t xml:space="preserve">Cifras cobradas </w:t>
      </w:r>
      <w:r>
        <w:rPr>
          <w:b/>
          <w:i/>
        </w:rPr>
        <w:t>e</w:t>
      </w:r>
      <w:r w:rsidRPr="00803684">
        <w:rPr>
          <w:b/>
          <w:i/>
        </w:rPr>
        <w:t xml:space="preserve">nero- </w:t>
      </w:r>
      <w:r>
        <w:rPr>
          <w:b/>
          <w:i/>
        </w:rPr>
        <w:t>junio</w:t>
      </w:r>
      <w:r w:rsidRPr="00803684">
        <w:rPr>
          <w:b/>
          <w:i/>
        </w:rPr>
        <w:t xml:space="preserve"> 2015</w:t>
      </w:r>
    </w:p>
    <w:p w:rsidR="00195B38" w:rsidRPr="00B66FC5" w:rsidRDefault="00195B38" w:rsidP="00195B38">
      <w:pPr>
        <w:rPr>
          <w:b/>
        </w:rPr>
      </w:pPr>
    </w:p>
    <w:p w:rsidR="00195B38" w:rsidRPr="00EA7E87" w:rsidRDefault="00195B38" w:rsidP="00195B38">
      <w:pPr>
        <w:pStyle w:val="Ttulo2"/>
      </w:pPr>
      <w:r w:rsidRPr="00EA7E87">
        <w:t xml:space="preserve">Como resultado de la actividad fiscalizadora, se contribuye a  sufragar el gasto público del Estado,  pues se obtienen recursos económicos, los cuales al </w:t>
      </w:r>
      <w:r>
        <w:t>mes de junio de 2015 son de $40,</w:t>
      </w:r>
      <w:r w:rsidRPr="00EA7E87">
        <w:t>559,382.00 por concepto de cifras cobradas, correspondiendo a impuesto</w:t>
      </w:r>
      <w:r>
        <w:t>s federales la cantidad de $38,</w:t>
      </w:r>
      <w:r w:rsidRPr="00EA7E87">
        <w:t>862,84</w:t>
      </w:r>
      <w:r>
        <w:t>0.00 y a impuestos Estatales $1,</w:t>
      </w:r>
      <w:r w:rsidRPr="00EA7E87">
        <w:t>696,542.00, cantidades que en suma  representan el 65.22% de avance respecto de la meta fijada en la Le</w:t>
      </w:r>
      <w:r>
        <w:t>y de Ingresos del Estado de $62,</w:t>
      </w:r>
      <w:r w:rsidRPr="00EA7E87">
        <w:t xml:space="preserve">193,635.00. </w:t>
      </w:r>
    </w:p>
    <w:p w:rsidR="00195B38" w:rsidRPr="00AD2B1C" w:rsidRDefault="00195B38" w:rsidP="00195B38">
      <w:pPr>
        <w:pStyle w:val="Ttulo2"/>
      </w:pPr>
      <w:r w:rsidRPr="00AD2B1C">
        <w:t xml:space="preserve"> </w:t>
      </w:r>
    </w:p>
    <w:p w:rsidR="00195B38" w:rsidRDefault="00195B38" w:rsidP="00195B38">
      <w:pPr>
        <w:jc w:val="center"/>
        <w:rPr>
          <w:sz w:val="20"/>
          <w:szCs w:val="20"/>
        </w:rPr>
      </w:pPr>
      <w:r>
        <w:rPr>
          <w:noProof/>
          <w:lang w:val="es-MX" w:eastAsia="es-MX"/>
        </w:rPr>
        <w:drawing>
          <wp:inline distT="0" distB="0" distL="0" distR="0">
            <wp:extent cx="5029200" cy="3600450"/>
            <wp:effectExtent l="0" t="0" r="19050" b="19050"/>
            <wp:docPr id="31"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95B38" w:rsidRDefault="00195B38" w:rsidP="00195B38">
      <w:pPr>
        <w:rPr>
          <w:b/>
        </w:rPr>
      </w:pPr>
    </w:p>
    <w:p w:rsidR="00195B38" w:rsidRDefault="00195B38" w:rsidP="00195B38">
      <w:pPr>
        <w:rPr>
          <w:b/>
        </w:rPr>
      </w:pPr>
    </w:p>
    <w:p w:rsidR="00195B38" w:rsidRDefault="00195B38" w:rsidP="00195B38">
      <w:pPr>
        <w:rPr>
          <w:b/>
        </w:rPr>
      </w:pPr>
      <w:r>
        <w:rPr>
          <w:b/>
        </w:rPr>
        <w:br w:type="page"/>
      </w:r>
    </w:p>
    <w:p w:rsidR="00195B38" w:rsidRPr="00803684" w:rsidRDefault="00195B38" w:rsidP="00195B38">
      <w:pPr>
        <w:pStyle w:val="Ttulo2"/>
        <w:rPr>
          <w:b/>
          <w:i/>
        </w:rPr>
      </w:pPr>
      <w:r w:rsidRPr="00803684">
        <w:rPr>
          <w:b/>
          <w:i/>
        </w:rPr>
        <w:lastRenderedPageBreak/>
        <w:t xml:space="preserve">Avance  cifras virtuales </w:t>
      </w:r>
      <w:r>
        <w:rPr>
          <w:b/>
          <w:i/>
        </w:rPr>
        <w:t>e</w:t>
      </w:r>
      <w:r w:rsidRPr="00803684">
        <w:rPr>
          <w:b/>
          <w:i/>
        </w:rPr>
        <w:t xml:space="preserve">nero- </w:t>
      </w:r>
      <w:r>
        <w:rPr>
          <w:b/>
          <w:i/>
        </w:rPr>
        <w:t>junio</w:t>
      </w:r>
      <w:r w:rsidRPr="00803684">
        <w:rPr>
          <w:b/>
          <w:i/>
        </w:rPr>
        <w:t xml:space="preserve"> 2015</w:t>
      </w:r>
    </w:p>
    <w:p w:rsidR="00195B38" w:rsidRDefault="00195B38" w:rsidP="00195B38">
      <w:pPr>
        <w:rPr>
          <w:b/>
        </w:rPr>
      </w:pPr>
    </w:p>
    <w:p w:rsidR="00195B38" w:rsidRPr="00EA7E87" w:rsidRDefault="00195B38" w:rsidP="00195B38">
      <w:pPr>
        <w:pStyle w:val="Ttulo2"/>
      </w:pPr>
      <w:r w:rsidRPr="00EA7E87">
        <w:t>Como se señaló en el punto anterior, con la actividad fiscalizadora el Estado obtiene recursos económicos, en este sentido, además de las cifras cobradas ya referidas, al mes de junio se han generado cifra</w:t>
      </w:r>
      <w:r>
        <w:t>s  virtuales en cantidad de $16,</w:t>
      </w:r>
      <w:r w:rsidRPr="00EA7E87">
        <w:t>250,721.00, que representan un avance del 56.4%  respecto de la meta anual 2015, según el  Programa Operativo, como se muestra a continuación:</w:t>
      </w:r>
    </w:p>
    <w:p w:rsidR="00195B38" w:rsidRPr="00AD2B1C" w:rsidRDefault="00195B38" w:rsidP="00195B38">
      <w:pPr>
        <w:rPr>
          <w:lang w:val="es-MX"/>
        </w:rPr>
      </w:pPr>
    </w:p>
    <w:p w:rsidR="00195B38" w:rsidRPr="00AD2B1C" w:rsidRDefault="00195B38" w:rsidP="00195B38">
      <w:pPr>
        <w:pStyle w:val="Ttulo2"/>
        <w:jc w:val="center"/>
      </w:pPr>
      <w:r>
        <w:rPr>
          <w:noProof/>
          <w:lang w:eastAsia="es-MX"/>
        </w:rPr>
        <w:drawing>
          <wp:inline distT="0" distB="0" distL="0" distR="0">
            <wp:extent cx="5467349" cy="3419475"/>
            <wp:effectExtent l="0" t="0" r="19685" b="9525"/>
            <wp:docPr id="225"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95B38" w:rsidRDefault="00195B38" w:rsidP="00195B38">
      <w:pPr>
        <w:rPr>
          <w:rFonts w:ascii="Arial" w:hAnsi="Arial"/>
          <w:spacing w:val="20"/>
          <w:szCs w:val="20"/>
          <w:lang w:val="es-MX"/>
        </w:rPr>
      </w:pPr>
    </w:p>
    <w:p w:rsidR="00195B38" w:rsidRDefault="00195B38" w:rsidP="00195B38">
      <w:pPr>
        <w:rPr>
          <w:rFonts w:ascii="Arial" w:hAnsi="Arial"/>
          <w:spacing w:val="20"/>
          <w:szCs w:val="20"/>
          <w:lang w:val="es-MX"/>
        </w:rPr>
      </w:pPr>
    </w:p>
    <w:p w:rsidR="00195B38" w:rsidRDefault="00195B38" w:rsidP="00195B38">
      <w:pPr>
        <w:rPr>
          <w:rFonts w:ascii="Arial" w:hAnsi="Arial"/>
          <w:spacing w:val="20"/>
          <w:szCs w:val="20"/>
          <w:lang w:val="es-MX"/>
        </w:rPr>
      </w:pPr>
    </w:p>
    <w:p w:rsidR="00195B38" w:rsidRDefault="00195B38" w:rsidP="00195B38">
      <w:pPr>
        <w:rPr>
          <w:rFonts w:ascii="Arial" w:hAnsi="Arial"/>
          <w:spacing w:val="20"/>
          <w:szCs w:val="20"/>
          <w:lang w:val="es-MX"/>
        </w:rPr>
      </w:pPr>
    </w:p>
    <w:p w:rsidR="00195B38" w:rsidRDefault="00195B38" w:rsidP="00195B38">
      <w:pPr>
        <w:rPr>
          <w:rFonts w:ascii="Arial" w:hAnsi="Arial"/>
          <w:spacing w:val="20"/>
          <w:szCs w:val="20"/>
          <w:lang w:val="es-MX"/>
        </w:rPr>
      </w:pPr>
    </w:p>
    <w:p w:rsidR="00195B38" w:rsidRDefault="00195B38" w:rsidP="00195B38">
      <w:pPr>
        <w:rPr>
          <w:rFonts w:ascii="Arial" w:hAnsi="Arial"/>
          <w:spacing w:val="20"/>
          <w:szCs w:val="20"/>
          <w:lang w:val="es-MX"/>
        </w:rPr>
      </w:pPr>
    </w:p>
    <w:p w:rsidR="00195B38" w:rsidRDefault="00195B38" w:rsidP="00195B38">
      <w:pPr>
        <w:rPr>
          <w:rFonts w:ascii="Arial" w:hAnsi="Arial"/>
          <w:spacing w:val="20"/>
          <w:szCs w:val="20"/>
          <w:lang w:val="es-MX"/>
        </w:rPr>
      </w:pPr>
      <w:r>
        <w:rPr>
          <w:rFonts w:ascii="Arial" w:hAnsi="Arial"/>
          <w:spacing w:val="20"/>
          <w:szCs w:val="20"/>
          <w:lang w:val="es-MX"/>
        </w:rPr>
        <w:br w:type="page"/>
      </w:r>
    </w:p>
    <w:p w:rsidR="00195B38" w:rsidRDefault="00195B38" w:rsidP="00195B38">
      <w:pPr>
        <w:spacing w:line="264" w:lineRule="auto"/>
        <w:jc w:val="both"/>
        <w:rPr>
          <w:rFonts w:ascii="Arial" w:hAnsi="Arial" w:cs="Arial"/>
          <w:b/>
          <w:spacing w:val="20"/>
        </w:rPr>
      </w:pPr>
    </w:p>
    <w:p w:rsidR="00195B38" w:rsidRDefault="00195B38" w:rsidP="00195B38">
      <w:pPr>
        <w:spacing w:line="264" w:lineRule="auto"/>
        <w:jc w:val="both"/>
        <w:rPr>
          <w:rFonts w:ascii="Arial" w:hAnsi="Arial" w:cs="Arial"/>
          <w:b/>
          <w:spacing w:val="20"/>
        </w:rPr>
      </w:pPr>
      <w:r w:rsidRPr="009553A9">
        <w:rPr>
          <w:rFonts w:ascii="Arial" w:hAnsi="Arial" w:cs="Arial"/>
          <w:b/>
          <w:spacing w:val="20"/>
        </w:rPr>
        <w:t>ESTÍMULOS FISCALES</w:t>
      </w:r>
    </w:p>
    <w:p w:rsidR="00195B38" w:rsidRDefault="00195B38" w:rsidP="00195B38">
      <w:pPr>
        <w:spacing w:line="264" w:lineRule="auto"/>
        <w:jc w:val="both"/>
        <w:rPr>
          <w:rFonts w:ascii="Arial" w:hAnsi="Arial" w:cs="Arial"/>
          <w:b/>
          <w:spacing w:val="20"/>
        </w:rPr>
      </w:pPr>
    </w:p>
    <w:p w:rsidR="00195B38" w:rsidRPr="00195B38" w:rsidRDefault="00195B38" w:rsidP="00195B38">
      <w:pPr>
        <w:pStyle w:val="Ttulo2"/>
      </w:pPr>
      <w:r w:rsidRPr="00DC7C3B">
        <w:t>Uno de los ejes de la política tributaria, ha sido la de otorgar beneficios al contribuyente cumplido. En tal sentido, en el paquete fiscal 2015, se estableció un estímulo del 50 por ciento para el pago oportuno del Impuesto sobre Tenencia, para  autos y motocicletas de servicio privado y público nuevos; y para los propietarios y/o tenedores  de vehículos del servicio público y privado de hasta nueve años, se otorgó un estímulo</w:t>
      </w:r>
      <w:r>
        <w:t xml:space="preserve"> del 30</w:t>
      </w:r>
      <w:r w:rsidRPr="00DC7C3B">
        <w:t>, 20</w:t>
      </w:r>
      <w:r>
        <w:t xml:space="preserve"> o </w:t>
      </w:r>
      <w:r w:rsidRPr="00DC7C3B">
        <w:t xml:space="preserve">10 por ciento </w:t>
      </w:r>
      <w:r>
        <w:t xml:space="preserve">considerando </w:t>
      </w:r>
      <w:r w:rsidRPr="00DC7C3B">
        <w:t>la fecha de pago en los meses de enero, febrero y marzo respectivamente.</w:t>
      </w:r>
    </w:p>
    <w:p w:rsidR="00195B38" w:rsidRPr="00DC7C3B" w:rsidRDefault="00195B38" w:rsidP="00195B38">
      <w:pPr>
        <w:pStyle w:val="Ttulo2"/>
      </w:pPr>
    </w:p>
    <w:p w:rsidR="00195B38" w:rsidRPr="00DC7C3B" w:rsidRDefault="00195B38" w:rsidP="00195B38">
      <w:pPr>
        <w:pStyle w:val="Ttulo2"/>
      </w:pPr>
      <w:r w:rsidRPr="00DC7C3B">
        <w:t>Así mismo para los propietarios de vehículos del servicio privado de 10 o más años de antigüedad, se estableció el beneficio para el pago del Impuesto Sobre Tenencia o uso de Vehículos igual a un peso.</w:t>
      </w:r>
    </w:p>
    <w:p w:rsidR="00195B38" w:rsidRDefault="00195B38" w:rsidP="00195B38">
      <w:pPr>
        <w:pStyle w:val="Ttulo2"/>
      </w:pPr>
    </w:p>
    <w:p w:rsidR="00195B38" w:rsidRDefault="00195B38" w:rsidP="00195B38">
      <w:pPr>
        <w:pStyle w:val="Ttulo2"/>
      </w:pPr>
      <w:r w:rsidRPr="00527AD0">
        <w:t xml:space="preserve">Además, para los contribuyentes propietarios o tenedores de vehículos </w:t>
      </w:r>
      <w:r>
        <w:t>en cualquier modalidad excepto motocicletas, se concede el 70 por ciento en el pago por derecho de verificación de emisiones a la atmosfera correspondiente al primer semestre del actual ejercicio.</w:t>
      </w:r>
    </w:p>
    <w:p w:rsidR="00195B38" w:rsidRDefault="00195B38" w:rsidP="00195B38">
      <w:pPr>
        <w:pStyle w:val="Ttulo2"/>
      </w:pPr>
    </w:p>
    <w:p w:rsidR="00195B38" w:rsidRPr="00527AD0" w:rsidRDefault="00195B38" w:rsidP="00195B38">
      <w:pPr>
        <w:pStyle w:val="Ttulo2"/>
      </w:pPr>
      <w:r w:rsidRPr="00DC7C3B">
        <w:t>Adicionalmente a los ya mencionados se estableció el estímulo fiscal del</w:t>
      </w:r>
      <w:r w:rsidRPr="00527AD0">
        <w:t xml:space="preserve"> 100% sobre actualizaciones y recargos derivados del impuesto sobre tenencia o uso de vehículos federal y estatal y derechos vehiculares relacionados de los últimos </w:t>
      </w:r>
      <w:r>
        <w:t>diez años y del ejercicio actual, el cual tuvo vigencia hasta el 29 de mayo del presente año.</w:t>
      </w:r>
    </w:p>
    <w:p w:rsidR="00195B38" w:rsidRPr="00527AD0" w:rsidRDefault="00195B38" w:rsidP="00195B38">
      <w:pPr>
        <w:pStyle w:val="Ttulo2"/>
      </w:pPr>
    </w:p>
    <w:p w:rsidR="00195B38" w:rsidRDefault="00195B38">
      <w:pPr>
        <w:rPr>
          <w:rFonts w:ascii="Arial" w:hAnsi="Arial"/>
          <w:spacing w:val="20"/>
          <w:szCs w:val="20"/>
          <w:lang w:val="es-MX"/>
        </w:rPr>
      </w:pPr>
      <w:r>
        <w:br w:type="page"/>
      </w:r>
    </w:p>
    <w:p w:rsidR="00195B38" w:rsidRPr="00527AD0" w:rsidRDefault="00195B38" w:rsidP="00195B38">
      <w:pPr>
        <w:pStyle w:val="Ttulo2"/>
      </w:pPr>
      <w:r w:rsidRPr="00527AD0">
        <w:lastRenderedPageBreak/>
        <w:t>Para facilitar el pago a los contribuyentes, se implementó el programa de pago a tres y seis meses sin intereses con tarjeta de crédito con diversas instituciones bancarias.</w:t>
      </w:r>
    </w:p>
    <w:p w:rsidR="00195B38" w:rsidRPr="00DC7C3B" w:rsidRDefault="00195B38" w:rsidP="00195B38">
      <w:pPr>
        <w:rPr>
          <w:lang w:val="es-MX"/>
        </w:rPr>
      </w:pPr>
    </w:p>
    <w:p w:rsidR="00195B38" w:rsidRPr="009553A9" w:rsidRDefault="00195B38" w:rsidP="00195B38">
      <w:pPr>
        <w:pStyle w:val="Ttulo2"/>
        <w:rPr>
          <w:szCs w:val="24"/>
          <w:lang w:val="es-ES"/>
        </w:rPr>
      </w:pPr>
      <w:r w:rsidRPr="009553A9">
        <w:rPr>
          <w:szCs w:val="24"/>
          <w:lang w:val="es-ES"/>
        </w:rPr>
        <w:t>Por otra parte, tratándose de personas adultas mayores, se les otorga en el presente ejercicio el descuento del 50 por ciento de la tarifa establecida, a los que soliciten la expedición de licencias de manejo a que se refiere el artículo 42 de la Ley Estatal de Derechos.</w:t>
      </w:r>
    </w:p>
    <w:p w:rsidR="00195B38" w:rsidRPr="00B42584" w:rsidRDefault="00195B38" w:rsidP="00195B38"/>
    <w:p w:rsidR="00195B38" w:rsidRPr="00527AD0" w:rsidRDefault="00195B38" w:rsidP="00195B38">
      <w:pPr>
        <w:pStyle w:val="Ttulo2"/>
      </w:pPr>
      <w:r w:rsidRPr="00BD285C">
        <w:t xml:space="preserve">Durante </w:t>
      </w:r>
      <w:r>
        <w:t>el periodo</w:t>
      </w:r>
      <w:r w:rsidRPr="00BD285C">
        <w:t xml:space="preserve"> de enero a </w:t>
      </w:r>
      <w:r>
        <w:t>junio</w:t>
      </w:r>
      <w:r w:rsidRPr="00BD285C">
        <w:t xml:space="preserve"> de 2015, se observa un buen comportamiento en el cumplimiento de pago del Impuesto sobre Tenencia y/o Uso de Vehículos,  toda vez que se recibieron  </w:t>
      </w:r>
      <w:r>
        <w:t>187,516</w:t>
      </w:r>
      <w:r w:rsidRPr="00BD285C">
        <w:t xml:space="preserve"> pagos, lo que representa un  crecimiento del </w:t>
      </w:r>
      <w:r>
        <w:t>4 por ciento</w:t>
      </w:r>
      <w:r w:rsidRPr="00BD285C">
        <w:t xml:space="preserve"> respecto al mismo periodo del ejercicio 2014.</w:t>
      </w:r>
    </w:p>
    <w:p w:rsidR="00195B38" w:rsidRPr="00BD285C" w:rsidRDefault="00195B38" w:rsidP="00195B38">
      <w:pPr>
        <w:spacing w:line="360" w:lineRule="auto"/>
        <w:jc w:val="center"/>
        <w:rPr>
          <w:rFonts w:ascii="Arial" w:hAnsi="Arial" w:cs="Arial"/>
          <w:lang w:val="es-MX"/>
        </w:rPr>
      </w:pPr>
    </w:p>
    <w:p w:rsidR="00195B38" w:rsidRPr="00527AD0" w:rsidRDefault="00195B38" w:rsidP="00195B38">
      <w:pPr>
        <w:spacing w:line="360" w:lineRule="auto"/>
        <w:jc w:val="center"/>
        <w:rPr>
          <w:rFonts w:ascii="Arial" w:hAnsi="Arial" w:cs="Arial"/>
        </w:rPr>
      </w:pPr>
      <w:r>
        <w:rPr>
          <w:noProof/>
          <w:lang w:val="es-MX" w:eastAsia="es-MX"/>
        </w:rPr>
        <w:lastRenderedPageBreak/>
        <w:drawing>
          <wp:inline distT="0" distB="0" distL="0" distR="0">
            <wp:extent cx="5612130" cy="4093845"/>
            <wp:effectExtent l="0" t="0" r="26670" b="20955"/>
            <wp:docPr id="229"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95B38" w:rsidRPr="00527AD0" w:rsidRDefault="00195B38" w:rsidP="00195B38">
      <w:pPr>
        <w:spacing w:line="360" w:lineRule="auto"/>
        <w:jc w:val="center"/>
        <w:rPr>
          <w:rFonts w:ascii="Arial" w:hAnsi="Arial" w:cs="Arial"/>
        </w:rPr>
      </w:pPr>
    </w:p>
    <w:p w:rsidR="00195B38" w:rsidRPr="00527AD0" w:rsidRDefault="00195B38" w:rsidP="00195B38">
      <w:pPr>
        <w:spacing w:line="360" w:lineRule="auto"/>
        <w:jc w:val="center"/>
        <w:rPr>
          <w:rFonts w:ascii="Arial" w:hAnsi="Arial" w:cs="Arial"/>
        </w:rPr>
      </w:pPr>
    </w:p>
    <w:p w:rsidR="00195B38" w:rsidRPr="00527AD0" w:rsidRDefault="00195B38" w:rsidP="00195B38">
      <w:pPr>
        <w:spacing w:line="360" w:lineRule="auto"/>
        <w:jc w:val="center"/>
        <w:rPr>
          <w:rFonts w:ascii="Arial" w:hAnsi="Arial" w:cs="Arial"/>
        </w:rPr>
      </w:pPr>
    </w:p>
    <w:p w:rsidR="00195B38" w:rsidRDefault="00195B38" w:rsidP="00195B38">
      <w:pPr>
        <w:spacing w:line="360" w:lineRule="auto"/>
        <w:jc w:val="both"/>
        <w:rPr>
          <w:rFonts w:ascii="Arial" w:hAnsi="Arial" w:cs="Arial"/>
        </w:rPr>
      </w:pPr>
    </w:p>
    <w:p w:rsidR="00195B38" w:rsidRDefault="00195B38" w:rsidP="00195B38">
      <w:pPr>
        <w:spacing w:line="360" w:lineRule="auto"/>
        <w:jc w:val="both"/>
        <w:rPr>
          <w:rFonts w:ascii="Arial" w:hAnsi="Arial" w:cs="Arial"/>
        </w:rPr>
      </w:pPr>
      <w:r w:rsidRPr="00527AD0">
        <w:rPr>
          <w:rFonts w:ascii="Arial" w:hAnsi="Arial" w:cs="Arial"/>
        </w:rPr>
        <w:t xml:space="preserve">Así mismo, durante </w:t>
      </w:r>
      <w:r>
        <w:rPr>
          <w:rFonts w:ascii="Arial" w:hAnsi="Arial" w:cs="Arial"/>
        </w:rPr>
        <w:t>los</w:t>
      </w:r>
      <w:r w:rsidRPr="00527AD0">
        <w:rPr>
          <w:rFonts w:ascii="Arial" w:hAnsi="Arial" w:cs="Arial"/>
        </w:rPr>
        <w:t xml:space="preserve"> meses</w:t>
      </w:r>
      <w:r>
        <w:rPr>
          <w:rFonts w:ascii="Arial" w:hAnsi="Arial" w:cs="Arial"/>
        </w:rPr>
        <w:t xml:space="preserve"> enero - junio</w:t>
      </w:r>
      <w:r w:rsidRPr="00527AD0">
        <w:rPr>
          <w:rFonts w:ascii="Arial" w:hAnsi="Arial" w:cs="Arial"/>
        </w:rPr>
        <w:t xml:space="preserve"> del ejercicio 201</w:t>
      </w:r>
      <w:r>
        <w:rPr>
          <w:rFonts w:ascii="Arial" w:hAnsi="Arial" w:cs="Arial"/>
        </w:rPr>
        <w:t>5</w:t>
      </w:r>
      <w:r w:rsidRPr="00527AD0">
        <w:rPr>
          <w:rFonts w:ascii="Arial" w:hAnsi="Arial" w:cs="Arial"/>
        </w:rPr>
        <w:t>, se reflejó un crecimiento</w:t>
      </w:r>
      <w:r>
        <w:rPr>
          <w:rFonts w:ascii="Arial" w:hAnsi="Arial" w:cs="Arial"/>
        </w:rPr>
        <w:t xml:space="preserve"> respecto al cierre del ejercicio 2014 del 2.60 por ciento</w:t>
      </w:r>
      <w:r w:rsidRPr="00527AD0">
        <w:rPr>
          <w:rFonts w:ascii="Arial" w:hAnsi="Arial" w:cs="Arial"/>
        </w:rPr>
        <w:t xml:space="preserve"> en el padrón vehicular,</w:t>
      </w:r>
      <w:r>
        <w:rPr>
          <w:rFonts w:ascii="Arial" w:hAnsi="Arial" w:cs="Arial"/>
        </w:rPr>
        <w:t xml:space="preserve"> </w:t>
      </w:r>
      <w:r w:rsidRPr="00527AD0">
        <w:rPr>
          <w:rFonts w:ascii="Arial" w:hAnsi="Arial" w:cs="Arial"/>
        </w:rPr>
        <w:t xml:space="preserve">actualmente se tienen registrados </w:t>
      </w:r>
      <w:r>
        <w:rPr>
          <w:rFonts w:ascii="Arial" w:hAnsi="Arial" w:cs="Arial"/>
        </w:rPr>
        <w:t>504,650</w:t>
      </w:r>
      <w:r w:rsidRPr="00527AD0">
        <w:rPr>
          <w:rFonts w:ascii="Arial" w:hAnsi="Arial" w:cs="Arial"/>
        </w:rPr>
        <w:t xml:space="preserve"> vehículos. (Automóvil, camión, camioneta, motocicleta y ómnibus-autobús)</w:t>
      </w:r>
      <w:r>
        <w:rPr>
          <w:rFonts w:ascii="Arial" w:hAnsi="Arial" w:cs="Arial"/>
        </w:rPr>
        <w:t>.</w:t>
      </w:r>
    </w:p>
    <w:p w:rsidR="00195B38" w:rsidRPr="00527AD0" w:rsidRDefault="00195B38" w:rsidP="00195B38">
      <w:pPr>
        <w:spacing w:line="360" w:lineRule="auto"/>
        <w:jc w:val="both"/>
        <w:rPr>
          <w:rFonts w:ascii="Arial" w:hAnsi="Arial" w:cs="Arial"/>
        </w:rPr>
      </w:pPr>
    </w:p>
    <w:p w:rsidR="00195B38" w:rsidRPr="00527AD0" w:rsidRDefault="00195B38" w:rsidP="00195B38">
      <w:pPr>
        <w:spacing w:line="360" w:lineRule="auto"/>
        <w:jc w:val="center"/>
        <w:rPr>
          <w:rFonts w:ascii="Arial" w:hAnsi="Arial" w:cs="Arial"/>
          <w:i/>
        </w:rPr>
      </w:pPr>
      <w:r>
        <w:rPr>
          <w:noProof/>
          <w:lang w:val="es-MX" w:eastAsia="es-MX"/>
        </w:rPr>
        <w:lastRenderedPageBreak/>
        <w:drawing>
          <wp:inline distT="0" distB="0" distL="0" distR="0">
            <wp:extent cx="5612130" cy="3663315"/>
            <wp:effectExtent l="0" t="0" r="26670" b="13335"/>
            <wp:docPr id="230"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95B38" w:rsidRPr="00527AD0" w:rsidRDefault="00195B38" w:rsidP="00195B38">
      <w:pPr>
        <w:spacing w:before="120" w:after="120" w:line="264" w:lineRule="auto"/>
        <w:contextualSpacing/>
        <w:jc w:val="both"/>
        <w:rPr>
          <w:rFonts w:ascii="Arial" w:hAnsi="Arial" w:cs="Arial"/>
          <w:b/>
          <w:i/>
          <w:spacing w:val="20"/>
        </w:rPr>
      </w:pPr>
    </w:p>
    <w:p w:rsidR="00195B38" w:rsidRDefault="00195B38" w:rsidP="00195B38">
      <w:pPr>
        <w:pStyle w:val="Ttulo2"/>
      </w:pPr>
      <w:r w:rsidRPr="00527AD0">
        <w:t xml:space="preserve">En el caso del Impuesto sobre Erogaciones por Remuneraciones </w:t>
      </w:r>
      <w:r>
        <w:t>al</w:t>
      </w:r>
      <w:r w:rsidRPr="00527AD0">
        <w:t xml:space="preserve"> Trabajo Personal, se consideró un estímulo a las micro, pequeñas y medianas empresas que se encuentren al corriente con sus obligaciones y también a las empresas de nueva creación.</w:t>
      </w:r>
    </w:p>
    <w:p w:rsidR="00195B38" w:rsidRDefault="00195B38" w:rsidP="00195B38">
      <w:pPr>
        <w:pStyle w:val="Ttulo2"/>
      </w:pPr>
    </w:p>
    <w:p w:rsidR="00195B38" w:rsidRDefault="00195B38" w:rsidP="00195B38">
      <w:pPr>
        <w:pStyle w:val="Ttulo2"/>
      </w:pPr>
      <w:r w:rsidRPr="00540444">
        <w:t>Las personas físicas, morales o unidades económicas sujetas al pago del Impuesto antes señalado tendrán un estímulo fiscal del 100 por ciento respecto a los accesorios derivados de dicho Impuesto.</w:t>
      </w:r>
      <w:r>
        <w:br w:type="page"/>
      </w:r>
    </w:p>
    <w:p w:rsidR="00195B38" w:rsidRPr="00527AD0" w:rsidRDefault="00195B38" w:rsidP="00195B38">
      <w:pPr>
        <w:pStyle w:val="Ttulo2"/>
      </w:pPr>
    </w:p>
    <w:p w:rsidR="00195B38" w:rsidRPr="00527AD0" w:rsidRDefault="00195B38" w:rsidP="00195B38">
      <w:pPr>
        <w:pStyle w:val="Ttulo2"/>
        <w:rPr>
          <w:rFonts w:cs="Arial"/>
        </w:rPr>
      </w:pPr>
      <w:r w:rsidRPr="00952A99">
        <w:t xml:space="preserve">Para el </w:t>
      </w:r>
      <w:r>
        <w:t>segundo</w:t>
      </w:r>
      <w:r w:rsidRPr="00952A99">
        <w:t xml:space="preserve"> trimestre del presente ejercicio fiscal se amplió el</w:t>
      </w:r>
      <w:r w:rsidRPr="00C15C12">
        <w:t xml:space="preserve"> universo de personas físicas, morales y unidades económicas, logrando un incremento significativo del Padrón Estatal de Contribuyentes de dicho impuesto de en un </w:t>
      </w:r>
      <w:r>
        <w:t>10.8</w:t>
      </w:r>
      <w:r w:rsidRPr="00C15C12">
        <w:t>%</w:t>
      </w:r>
      <w:r>
        <w:t xml:space="preserve"> respecto al ejercicio 2014.</w:t>
      </w:r>
      <w:r>
        <w:tab/>
      </w:r>
    </w:p>
    <w:p w:rsidR="00195B38" w:rsidRPr="00527AD0" w:rsidRDefault="00195B38" w:rsidP="00195B38">
      <w:pPr>
        <w:pStyle w:val="Textoindependiente"/>
        <w:spacing w:line="240" w:lineRule="auto"/>
        <w:contextualSpacing/>
        <w:rPr>
          <w:rFonts w:cs="Arial"/>
        </w:rPr>
      </w:pPr>
    </w:p>
    <w:p w:rsidR="00195B38" w:rsidRPr="00527AD0" w:rsidRDefault="00195B38" w:rsidP="00195B38">
      <w:pPr>
        <w:pStyle w:val="Textoindependiente"/>
        <w:spacing w:line="240" w:lineRule="auto"/>
        <w:contextualSpacing/>
        <w:rPr>
          <w:rFonts w:cs="Arial"/>
        </w:rPr>
      </w:pPr>
    </w:p>
    <w:p w:rsidR="00195B38" w:rsidRPr="00527AD0" w:rsidRDefault="00A22CBC" w:rsidP="00195B38">
      <w:pPr>
        <w:pStyle w:val="Textoindependiente"/>
        <w:spacing w:line="240" w:lineRule="auto"/>
        <w:contextualSpacing/>
        <w:jc w:val="center"/>
        <w:rPr>
          <w:rFonts w:cs="Arial"/>
        </w:rPr>
      </w:pPr>
      <w:r w:rsidRPr="00A22CBC">
        <w:rPr>
          <w:rFonts w:ascii="Helvetica" w:hAnsi="Helvetica"/>
          <w:noProof/>
          <w:spacing w:val="0"/>
          <w:szCs w:val="24"/>
          <w:lang w:eastAsia="es-MX"/>
        </w:rPr>
        <w:pict>
          <v:group id="7 Grupo" o:spid="_x0000_s1260" style="position:absolute;left:0;text-align:left;margin-left:10.2pt;margin-top:8.55pt;width:441pt;height:333.75pt;z-index:251668480" coordsize="56007,42386"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Gráfico" o:spid="_x0000_s1261" type="#_x0000_t75" style="position:absolute;left:-60;top:-60;width:56143;height:42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">
              <v:imagedata r:id="rId14" o:title=""/>
              <o:lock v:ext="edit" aspectratio="f"/>
            </v:shape>
            <v:shape id="6 CuadroTexto" o:spid="_x0000_s1262" type="#_x0000_t202" style="position:absolute;left:40571;top:12475;width:5366;height:2476;rotation:-291493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0J8QA&#10;AADbAAAADwAAAGRycy9kb3ducmV2LnhtbESPQWvCQBSE74L/YXlCb7rRg7XRVUQQPbRgrd6f2WcS&#10;zb6N2W1M+uvdguBxmJlvmNmiMYWoqXK5ZQXDQQSCOLE651TB4Wfdn4BwHlljYZkUtORgMe92Zhhr&#10;e+dvqvc+FQHCLkYFmfdlLKVLMjLoBrYkDt7ZVgZ9kFUqdYX3ADeFHEXRWBrMOSxkWNIqo+S6/zUK&#10;Tpvb5fPr2Nb1Vbtju7ud/nj7rtRbr1lOQXhq/Cv8bG+1gtEH/H8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KtCfEAAAA2wAAAA8AAAAAAAAAAAAAAAAAmAIAAGRycy9k&#10;b3ducmV2LnhtbFBLBQYAAAAABAAEAPUAAACJAwAAAAA=&#10;" filled="f" stroked="f">
              <v:textbox>
                <w:txbxContent>
                  <w:p w:rsidR="00890948" w:rsidRDefault="00890948" w:rsidP="00195B38">
                    <w:pPr>
                      <w:pStyle w:val="NormalWeb"/>
                      <w:spacing w:before="0" w:beforeAutospacing="0" w:after="0" w:afterAutospacing="0"/>
                    </w:pPr>
                    <w:r>
                      <w:rPr>
                        <w:rFonts w:asciiTheme="minorHAnsi" w:hAnsi="Calibri" w:cstheme="minorBidi"/>
                        <w:b/>
                        <w:bCs/>
                        <w:color w:val="000000" w:themeColor="dark1"/>
                        <w:sz w:val="16"/>
                        <w:szCs w:val="16"/>
                      </w:rPr>
                      <w:t>10.8 %</w:t>
                    </w:r>
                  </w:p>
                </w:txbxContent>
              </v:textbox>
            </v:shape>
          </v:group>
        </w:pict>
      </w:r>
    </w:p>
    <w:p w:rsidR="00195B38" w:rsidRPr="00527AD0" w:rsidRDefault="00195B38" w:rsidP="00195B38">
      <w:pPr>
        <w:pStyle w:val="Textoindependiente"/>
        <w:spacing w:line="240" w:lineRule="auto"/>
        <w:contextualSpacing/>
        <w:rPr>
          <w:rFonts w:cs="Arial"/>
        </w:rPr>
      </w:pPr>
    </w:p>
    <w:p w:rsidR="00195B38" w:rsidRPr="00527AD0" w:rsidRDefault="00195B38" w:rsidP="00195B38">
      <w:pPr>
        <w:pStyle w:val="Textoindependiente"/>
        <w:spacing w:line="240" w:lineRule="auto"/>
        <w:contextualSpacing/>
        <w:rPr>
          <w:rFonts w:cs="Arial"/>
        </w:rPr>
      </w:pPr>
    </w:p>
    <w:p w:rsidR="00195B38" w:rsidRPr="00527AD0" w:rsidRDefault="00195B38" w:rsidP="00195B38">
      <w:pPr>
        <w:pStyle w:val="Textoindependiente"/>
        <w:spacing w:line="240" w:lineRule="auto"/>
        <w:contextualSpacing/>
        <w:rPr>
          <w:rFonts w:cs="Arial"/>
        </w:rPr>
      </w:pPr>
    </w:p>
    <w:p w:rsidR="00195B38" w:rsidRDefault="00195B38" w:rsidP="00195B38">
      <w:pPr>
        <w:rPr>
          <w:rFonts w:cs="Arial"/>
        </w:rPr>
      </w:pPr>
      <w:r>
        <w:rPr>
          <w:rFonts w:cs="Arial"/>
        </w:rPr>
        <w:br w:type="page"/>
      </w:r>
    </w:p>
    <w:p w:rsidR="00195B38" w:rsidRDefault="00195B38" w:rsidP="00195B38">
      <w:pPr>
        <w:spacing w:line="264" w:lineRule="auto"/>
        <w:jc w:val="both"/>
        <w:rPr>
          <w:noProof/>
          <w:lang w:val="es-MX" w:eastAsia="es-MX"/>
        </w:rPr>
      </w:pPr>
      <w:r w:rsidRPr="00494313">
        <w:rPr>
          <w:rFonts w:ascii="Arial" w:hAnsi="Arial" w:cs="Arial"/>
        </w:rPr>
        <w:lastRenderedPageBreak/>
        <w:t>En el periodo de enero – junio del ejercicio 2015, se otorgaron beneficios a los contribuyentes por la cantidad de 1</w:t>
      </w:r>
      <w:r>
        <w:rPr>
          <w:rFonts w:ascii="Arial" w:hAnsi="Arial" w:cs="Arial"/>
        </w:rPr>
        <w:t>91</w:t>
      </w:r>
      <w:r w:rsidRPr="00494313">
        <w:rPr>
          <w:rFonts w:ascii="Arial" w:hAnsi="Arial" w:cs="Arial"/>
        </w:rPr>
        <w:t xml:space="preserve"> millones</w:t>
      </w:r>
      <w:r>
        <w:rPr>
          <w:rFonts w:ascii="Arial" w:hAnsi="Arial" w:cs="Arial"/>
        </w:rPr>
        <w:t xml:space="preserve"> 799</w:t>
      </w:r>
      <w:r w:rsidRPr="00494313">
        <w:rPr>
          <w:rFonts w:ascii="Arial" w:hAnsi="Arial" w:cs="Arial"/>
        </w:rPr>
        <w:t xml:space="preserve"> mil </w:t>
      </w:r>
      <w:r>
        <w:rPr>
          <w:rFonts w:ascii="Arial" w:hAnsi="Arial" w:cs="Arial"/>
        </w:rPr>
        <w:t>760</w:t>
      </w:r>
      <w:r w:rsidRPr="00494313">
        <w:rPr>
          <w:rFonts w:ascii="Arial" w:hAnsi="Arial" w:cs="Arial"/>
        </w:rPr>
        <w:t xml:space="preserve"> pesos.</w:t>
      </w:r>
      <w:r w:rsidRPr="00FD3505">
        <w:rPr>
          <w:noProof/>
          <w:lang w:eastAsia="es-MX"/>
        </w:rPr>
        <w:t xml:space="preserve"> </w:t>
      </w:r>
    </w:p>
    <w:p w:rsidR="00195B38" w:rsidRDefault="00195B38" w:rsidP="00195B38">
      <w:pPr>
        <w:spacing w:line="264" w:lineRule="auto"/>
        <w:jc w:val="both"/>
        <w:rPr>
          <w:noProof/>
          <w:lang w:val="es-MX" w:eastAsia="es-MX"/>
        </w:rPr>
      </w:pPr>
    </w:p>
    <w:p w:rsidR="00195B38" w:rsidRDefault="00195B38" w:rsidP="00195B38">
      <w:pPr>
        <w:spacing w:line="264" w:lineRule="auto"/>
        <w:jc w:val="both"/>
        <w:rPr>
          <w:noProof/>
          <w:lang w:val="es-MX" w:eastAsia="es-MX"/>
        </w:rPr>
      </w:pPr>
    </w:p>
    <w:p w:rsidR="00195B38" w:rsidRDefault="00195B38" w:rsidP="00195B38">
      <w:pPr>
        <w:spacing w:line="264" w:lineRule="auto"/>
        <w:jc w:val="both"/>
        <w:rPr>
          <w:noProof/>
          <w:lang w:val="es-MX" w:eastAsia="es-MX"/>
        </w:rPr>
      </w:pPr>
      <w:r w:rsidRPr="00FC73AC">
        <w:rPr>
          <w:noProof/>
          <w:lang w:val="es-MX" w:eastAsia="es-MX"/>
        </w:rPr>
        <w:drawing>
          <wp:inline distT="0" distB="0" distL="0" distR="0">
            <wp:extent cx="5882005" cy="6159895"/>
            <wp:effectExtent l="0" t="0" r="4445" b="0"/>
            <wp:docPr id="23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2005" cy="6159895"/>
                    </a:xfrm>
                    <a:prstGeom prst="rect">
                      <a:avLst/>
                    </a:prstGeom>
                    <a:noFill/>
                    <a:ln>
                      <a:noFill/>
                    </a:ln>
                  </pic:spPr>
                </pic:pic>
              </a:graphicData>
            </a:graphic>
          </wp:inline>
        </w:drawing>
      </w:r>
    </w:p>
    <w:p w:rsidR="00195B38" w:rsidRDefault="00195B38" w:rsidP="00195B38">
      <w:pPr>
        <w:spacing w:line="264" w:lineRule="auto"/>
        <w:jc w:val="both"/>
        <w:rPr>
          <w:noProof/>
          <w:lang w:val="es-MX" w:eastAsia="es-MX"/>
        </w:rPr>
      </w:pPr>
    </w:p>
    <w:p w:rsidR="00195B38" w:rsidRDefault="00195B38" w:rsidP="00195B38">
      <w:pPr>
        <w:spacing w:line="264" w:lineRule="auto"/>
        <w:jc w:val="both"/>
        <w:rPr>
          <w:noProof/>
          <w:lang w:val="es-MX" w:eastAsia="es-MX"/>
        </w:rPr>
      </w:pPr>
    </w:p>
    <w:p w:rsidR="00195B38" w:rsidRDefault="00195B38" w:rsidP="00195B38">
      <w:pPr>
        <w:spacing w:line="264" w:lineRule="auto"/>
        <w:jc w:val="both"/>
        <w:rPr>
          <w:noProof/>
          <w:lang w:val="es-MX" w:eastAsia="es-MX"/>
        </w:rPr>
      </w:pPr>
    </w:p>
    <w:p w:rsidR="00195B38" w:rsidRPr="00527AD0" w:rsidRDefault="00195B38" w:rsidP="00195B38">
      <w:pPr>
        <w:spacing w:line="264" w:lineRule="auto"/>
        <w:jc w:val="both"/>
        <w:rPr>
          <w:rFonts w:ascii="Arial" w:hAnsi="Arial" w:cs="Arial"/>
          <w:b/>
          <w:spacing w:val="20"/>
        </w:rPr>
      </w:pPr>
      <w:r w:rsidRPr="000D05B4">
        <w:rPr>
          <w:rFonts w:ascii="Arial" w:hAnsi="Arial" w:cs="Arial"/>
          <w:b/>
          <w:spacing w:val="20"/>
        </w:rPr>
        <w:t>FACILIDADES ADMINISTRATIVAS Y PROCESOS DE MODERNIZACIÓN</w:t>
      </w:r>
    </w:p>
    <w:p w:rsidR="00195B38" w:rsidRPr="003D6422" w:rsidRDefault="00195B38" w:rsidP="00195B38">
      <w:pPr>
        <w:rPr>
          <w:rFonts w:ascii="Arial" w:hAnsi="Arial" w:cs="Arial"/>
          <w:spacing w:val="20"/>
          <w:szCs w:val="20"/>
        </w:rPr>
      </w:pPr>
    </w:p>
    <w:p w:rsidR="00195B38" w:rsidRDefault="00195B38" w:rsidP="00195B38">
      <w:pPr>
        <w:spacing w:line="360" w:lineRule="auto"/>
        <w:jc w:val="both"/>
        <w:rPr>
          <w:rFonts w:ascii="Arial" w:hAnsi="Arial" w:cs="Arial"/>
          <w:spacing w:val="20"/>
        </w:rPr>
      </w:pPr>
      <w:r w:rsidRPr="00311662">
        <w:rPr>
          <w:rFonts w:ascii="Arial" w:hAnsi="Arial" w:cs="Arial"/>
          <w:spacing w:val="20"/>
        </w:rPr>
        <w:t>La bancarización sigue siendo uno de los procesos más sólidos de la</w:t>
      </w:r>
      <w:r w:rsidRPr="00A901D9">
        <w:rPr>
          <w:rFonts w:ascii="Arial" w:hAnsi="Arial" w:cs="Arial"/>
          <w:spacing w:val="20"/>
        </w:rPr>
        <w:t xml:space="preserve"> política de modernización de la hacienda pública local. Muestra de ello es que la captación de ingresos a través de las instituciones bancarias representa aproximadamente </w:t>
      </w:r>
      <w:r>
        <w:rPr>
          <w:rFonts w:ascii="Arial" w:hAnsi="Arial" w:cs="Arial"/>
          <w:spacing w:val="20"/>
        </w:rPr>
        <w:t xml:space="preserve">el </w:t>
      </w:r>
      <w:r w:rsidRPr="00A901D9">
        <w:rPr>
          <w:rFonts w:ascii="Arial" w:hAnsi="Arial" w:cs="Arial"/>
          <w:spacing w:val="20"/>
        </w:rPr>
        <w:t>9</w:t>
      </w:r>
      <w:r>
        <w:rPr>
          <w:rFonts w:ascii="Arial" w:hAnsi="Arial" w:cs="Arial"/>
          <w:spacing w:val="20"/>
        </w:rPr>
        <w:t>5</w:t>
      </w:r>
      <w:r w:rsidRPr="00A901D9">
        <w:rPr>
          <w:rFonts w:ascii="Arial" w:hAnsi="Arial" w:cs="Arial"/>
          <w:spacing w:val="20"/>
        </w:rPr>
        <w:t>% respecto</w:t>
      </w:r>
      <w:r w:rsidRPr="009553A9">
        <w:rPr>
          <w:rFonts w:ascii="Arial" w:hAnsi="Arial" w:cs="Arial"/>
          <w:spacing w:val="20"/>
        </w:rPr>
        <w:t xml:space="preserve"> al total de los ingresos que recauda el Gobierno del Estado.</w:t>
      </w:r>
    </w:p>
    <w:p w:rsidR="00195B38" w:rsidRPr="009553A9" w:rsidRDefault="00195B38" w:rsidP="00195B38">
      <w:pPr>
        <w:spacing w:line="360" w:lineRule="auto"/>
        <w:jc w:val="both"/>
        <w:rPr>
          <w:rFonts w:ascii="Arial" w:hAnsi="Arial" w:cs="Arial"/>
          <w:spacing w:val="20"/>
        </w:rPr>
      </w:pPr>
    </w:p>
    <w:p w:rsidR="00195B38" w:rsidRDefault="00195B38" w:rsidP="00195B38">
      <w:pPr>
        <w:pStyle w:val="Ttulo2"/>
        <w:rPr>
          <w:highlight w:val="cyan"/>
        </w:rPr>
      </w:pPr>
      <w:r>
        <w:rPr>
          <w:noProof/>
          <w:lang w:eastAsia="es-MX"/>
        </w:rPr>
        <w:drawing>
          <wp:inline distT="0" distB="0" distL="0" distR="0">
            <wp:extent cx="5612130" cy="4519930"/>
            <wp:effectExtent l="0" t="0" r="26670" b="13970"/>
            <wp:docPr id="232"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95B38" w:rsidRPr="00F65100" w:rsidRDefault="00195B38" w:rsidP="00195B38">
      <w:pPr>
        <w:rPr>
          <w:lang w:val="es-MX"/>
        </w:rPr>
      </w:pPr>
    </w:p>
    <w:p w:rsidR="00195B38" w:rsidRDefault="00195B38" w:rsidP="00195B38">
      <w:pPr>
        <w:rPr>
          <w:rFonts w:ascii="Arial" w:hAnsi="Arial" w:cs="Arial"/>
          <w:spacing w:val="20"/>
        </w:rPr>
      </w:pPr>
      <w:r>
        <w:rPr>
          <w:rFonts w:ascii="Arial" w:hAnsi="Arial" w:cs="Arial"/>
          <w:spacing w:val="20"/>
        </w:rPr>
        <w:br w:type="page"/>
      </w:r>
    </w:p>
    <w:p w:rsidR="00195B38" w:rsidRPr="00527AD0" w:rsidRDefault="00195B38" w:rsidP="00195B38">
      <w:pPr>
        <w:pStyle w:val="Ttulo2"/>
      </w:pPr>
      <w:r w:rsidRPr="000D05B4">
        <w:lastRenderedPageBreak/>
        <w:t>El portal de internet de la Secretaría de Finanzas, ofrece el servicio de pago en línea de importantes contribuciones como la Tenencia, el Impuesto</w:t>
      </w:r>
      <w:r w:rsidRPr="00527AD0">
        <w:t xml:space="preserve"> Sobre Erogaciones por Remuneraciones al Trabajo Personal, el IEPS de Gasolinas y Diesel, entre otras, es decir, el contribuyente no tiene necesidad de salir de su casa u oficina; por lo que </w:t>
      </w:r>
      <w:r>
        <w:t>para el segundo</w:t>
      </w:r>
      <w:r w:rsidRPr="00527AD0">
        <w:t xml:space="preserve"> trimestre del ejercicio 201</w:t>
      </w:r>
      <w:r>
        <w:t>5</w:t>
      </w:r>
      <w:r w:rsidRPr="00527AD0">
        <w:t xml:space="preserve">, se recibieron </w:t>
      </w:r>
      <w:r>
        <w:t>4,919</w:t>
      </w:r>
      <w:r w:rsidRPr="00527AD0">
        <w:t xml:space="preserve"> pagos bajo este esquema.</w:t>
      </w:r>
    </w:p>
    <w:p w:rsidR="00195B38" w:rsidRPr="00527AD0" w:rsidRDefault="00195B38" w:rsidP="00195B38">
      <w:pPr>
        <w:jc w:val="both"/>
        <w:rPr>
          <w:rFonts w:cs="Calibri"/>
        </w:rPr>
      </w:pPr>
    </w:p>
    <w:p w:rsidR="00195B38" w:rsidRPr="00527AD0" w:rsidRDefault="00195B38" w:rsidP="00195B38">
      <w:pPr>
        <w:spacing w:line="264" w:lineRule="auto"/>
        <w:contextualSpacing/>
        <w:jc w:val="center"/>
        <w:rPr>
          <w:rFonts w:ascii="Arial" w:hAnsi="Arial" w:cs="Arial"/>
          <w:b/>
          <w:spacing w:val="20"/>
        </w:rPr>
      </w:pPr>
      <w:r>
        <w:rPr>
          <w:noProof/>
          <w:lang w:val="es-MX" w:eastAsia="es-MX"/>
        </w:rPr>
        <w:drawing>
          <wp:inline distT="0" distB="0" distL="0" distR="0">
            <wp:extent cx="5612130" cy="3799840"/>
            <wp:effectExtent l="0" t="0" r="26670" b="10160"/>
            <wp:docPr id="234"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95B38" w:rsidRPr="00527AD0" w:rsidRDefault="00195B38" w:rsidP="00195B38">
      <w:pPr>
        <w:spacing w:line="264" w:lineRule="auto"/>
        <w:contextualSpacing/>
        <w:jc w:val="center"/>
        <w:rPr>
          <w:rFonts w:ascii="Arial" w:hAnsi="Arial" w:cs="Arial"/>
          <w:b/>
          <w:spacing w:val="20"/>
        </w:rPr>
      </w:pPr>
    </w:p>
    <w:p w:rsidR="00195B38" w:rsidRPr="00527AD0" w:rsidRDefault="00195B38" w:rsidP="00195B38">
      <w:pPr>
        <w:spacing w:line="264" w:lineRule="auto"/>
        <w:contextualSpacing/>
        <w:jc w:val="both"/>
        <w:rPr>
          <w:rFonts w:ascii="Arial" w:hAnsi="Arial" w:cs="Arial"/>
          <w:b/>
          <w:spacing w:val="20"/>
        </w:rPr>
      </w:pPr>
    </w:p>
    <w:p w:rsidR="00195B38" w:rsidRDefault="00195B38" w:rsidP="00195B38">
      <w:pPr>
        <w:rPr>
          <w:rFonts w:ascii="Arial" w:hAnsi="Arial"/>
          <w:spacing w:val="20"/>
          <w:szCs w:val="20"/>
          <w:lang w:val="es-MX"/>
        </w:rPr>
      </w:pPr>
      <w:r>
        <w:br w:type="page"/>
      </w:r>
    </w:p>
    <w:p w:rsidR="00195B38" w:rsidRDefault="00195B38" w:rsidP="00195B38">
      <w:pPr>
        <w:pStyle w:val="Ttulo2"/>
      </w:pPr>
      <w:r w:rsidRPr="00527AD0">
        <w:lastRenderedPageBreak/>
        <w:t xml:space="preserve">Con respecto a la atención a los contribuyentes vía telefónica, se atendieron </w:t>
      </w:r>
      <w:r>
        <w:t xml:space="preserve">9 </w:t>
      </w:r>
      <w:r w:rsidRPr="00527AD0">
        <w:t xml:space="preserve">mil </w:t>
      </w:r>
      <w:r>
        <w:t>946</w:t>
      </w:r>
      <w:r w:rsidRPr="00527AD0">
        <w:t xml:space="preserve"> llamadas durante el </w:t>
      </w:r>
      <w:r>
        <w:t>periodo enero - junio</w:t>
      </w:r>
      <w:r w:rsidRPr="00527AD0">
        <w:t xml:space="preserve"> de 201</w:t>
      </w:r>
      <w:r>
        <w:t>5</w:t>
      </w:r>
      <w:r w:rsidRPr="00527AD0">
        <w:t xml:space="preserve">, de las cuales el </w:t>
      </w:r>
      <w:r>
        <w:t>89</w:t>
      </w:r>
      <w:r w:rsidRPr="00527AD0">
        <w:t xml:space="preserve"> por ciento corresponden a orientación fi</w:t>
      </w:r>
      <w:r>
        <w:t>scal sobre trámites y servicios</w:t>
      </w:r>
      <w:r w:rsidRPr="00527AD0">
        <w:t xml:space="preserve"> y el </w:t>
      </w:r>
      <w:r>
        <w:t>11</w:t>
      </w:r>
      <w:r w:rsidRPr="00527AD0">
        <w:t xml:space="preserve"> por ciento restante corresponde a la generación de líneas de captura para el cumplimiento de obligaciones fiscales en instituciones bancarias.</w:t>
      </w:r>
    </w:p>
    <w:p w:rsidR="00195B38" w:rsidRDefault="00195B38" w:rsidP="00195B38"/>
    <w:p w:rsidR="00195B38" w:rsidRPr="009553A9" w:rsidRDefault="00195B38" w:rsidP="00195B38">
      <w:pPr>
        <w:pStyle w:val="Ttulo2"/>
      </w:pPr>
      <w:r w:rsidRPr="00C72CD4">
        <w:t>El pago con PINPAD (terminal bancaria), es reflejado al instante,</w:t>
      </w:r>
      <w:r w:rsidRPr="00497785">
        <w:t xml:space="preserve"> agilizando así el trámite de los contribuyentes, esta herramienta tecnológica se ha  instalado en diferentes Dependencias y Entidades de</w:t>
      </w:r>
      <w:r>
        <w:t xml:space="preserve"> </w:t>
      </w:r>
      <w:r w:rsidRPr="00497785">
        <w:t>la Administración Pública, por lo que a través de este medio se recibi</w:t>
      </w:r>
      <w:r>
        <w:t>ó</w:t>
      </w:r>
      <w:r w:rsidRPr="00497785">
        <w:t xml:space="preserve"> </w:t>
      </w:r>
      <w:r>
        <w:t>durante el periodo enero-junio del presente ejercicio fiscal</w:t>
      </w:r>
      <w:r w:rsidRPr="00497785">
        <w:t xml:space="preserve"> un ingreso de</w:t>
      </w:r>
      <w:r>
        <w:t xml:space="preserve"> </w:t>
      </w:r>
      <w:r w:rsidRPr="00583C3A">
        <w:t>2 millones 350 mil 333 pesos, que corresponden a 7,409 movimientos.</w:t>
      </w:r>
    </w:p>
    <w:p w:rsidR="00195B38" w:rsidRPr="00527AD0" w:rsidRDefault="00195B38" w:rsidP="00195B38">
      <w:pPr>
        <w:pStyle w:val="Ttulo2"/>
        <w:tabs>
          <w:tab w:val="right" w:pos="9263"/>
        </w:tabs>
      </w:pPr>
      <w:r w:rsidRPr="00527AD0">
        <w:t xml:space="preserve"> </w:t>
      </w:r>
      <w:r>
        <w:tab/>
      </w:r>
    </w:p>
    <w:p w:rsidR="00195B38" w:rsidRPr="00527AD0" w:rsidRDefault="00195B38" w:rsidP="00195B38">
      <w:pPr>
        <w:pStyle w:val="Ttulo2"/>
      </w:pPr>
    </w:p>
    <w:p w:rsidR="00195B38" w:rsidRPr="00527AD0" w:rsidRDefault="00195B38" w:rsidP="00195B38">
      <w:pPr>
        <w:pStyle w:val="Ttulo2"/>
      </w:pPr>
    </w:p>
    <w:p w:rsidR="00195B38" w:rsidRPr="00757458" w:rsidRDefault="00195B38" w:rsidP="00195B38">
      <w:pPr>
        <w:rPr>
          <w:lang w:val="es-MX"/>
        </w:rPr>
      </w:pPr>
    </w:p>
    <w:p w:rsidR="00195B38" w:rsidRDefault="00195B38" w:rsidP="00195B38">
      <w:pPr>
        <w:rPr>
          <w:rFonts w:ascii="Arial" w:hAnsi="Arial"/>
          <w:spacing w:val="20"/>
          <w:szCs w:val="20"/>
          <w:lang w:val="es-MX"/>
        </w:rPr>
      </w:pPr>
      <w:r>
        <w:br w:type="page"/>
      </w:r>
    </w:p>
    <w:p w:rsidR="00195B38" w:rsidRPr="00527AD0" w:rsidRDefault="00195B38" w:rsidP="00195B38">
      <w:pPr>
        <w:pStyle w:val="Textoindependiente"/>
        <w:spacing w:line="264" w:lineRule="auto"/>
        <w:contextualSpacing/>
        <w:rPr>
          <w:b/>
          <w:bCs/>
          <w:szCs w:val="24"/>
        </w:rPr>
      </w:pPr>
      <w:r>
        <w:rPr>
          <w:b/>
          <w:bCs/>
          <w:szCs w:val="24"/>
        </w:rPr>
        <w:lastRenderedPageBreak/>
        <w:t xml:space="preserve">2.- </w:t>
      </w:r>
      <w:r w:rsidRPr="0019077B">
        <w:rPr>
          <w:b/>
          <w:bCs/>
          <w:szCs w:val="24"/>
        </w:rPr>
        <w:t>COMPORTAMIENTO DE LOS INGRESOS.</w:t>
      </w:r>
    </w:p>
    <w:p w:rsidR="00195B38" w:rsidRPr="00527AD0" w:rsidRDefault="00195B38" w:rsidP="00195B38">
      <w:pPr>
        <w:pStyle w:val="Textoindependiente"/>
        <w:spacing w:line="264" w:lineRule="auto"/>
        <w:contextualSpacing/>
        <w:rPr>
          <w:b/>
          <w:bCs/>
          <w:szCs w:val="24"/>
        </w:rPr>
      </w:pPr>
    </w:p>
    <w:p w:rsidR="00195B38" w:rsidRPr="00BA1650" w:rsidRDefault="00195B38" w:rsidP="00195B38">
      <w:pPr>
        <w:spacing w:line="264" w:lineRule="auto"/>
        <w:contextualSpacing/>
        <w:jc w:val="both"/>
        <w:rPr>
          <w:rFonts w:ascii="Arial" w:hAnsi="Arial" w:cs="Arial"/>
          <w:spacing w:val="20"/>
        </w:rPr>
      </w:pPr>
      <w:r>
        <w:rPr>
          <w:rFonts w:ascii="Arial" w:hAnsi="Arial" w:cs="Arial"/>
          <w:spacing w:val="20"/>
        </w:rPr>
        <w:t>Durante el segundo</w:t>
      </w:r>
      <w:r w:rsidRPr="00527AD0">
        <w:rPr>
          <w:rFonts w:ascii="Arial" w:hAnsi="Arial" w:cs="Arial"/>
          <w:spacing w:val="20"/>
        </w:rPr>
        <w:t xml:space="preserve"> trimestre del </w:t>
      </w:r>
      <w:r w:rsidRPr="00BA1650">
        <w:rPr>
          <w:rFonts w:ascii="Arial" w:hAnsi="Arial" w:cs="Arial"/>
          <w:spacing w:val="20"/>
        </w:rPr>
        <w:t>ejercicio 2015, se obtuvieron ingresos del orden de 31 mil 801 millones 35 mil 890 pesos; cifra superior en 2.23 por ciento a la estimación establecida en la Ley de Ingresos.</w:t>
      </w:r>
    </w:p>
    <w:p w:rsidR="00195B38" w:rsidRPr="00BA1650" w:rsidRDefault="00195B38" w:rsidP="00195B38">
      <w:pPr>
        <w:spacing w:line="264" w:lineRule="auto"/>
        <w:contextualSpacing/>
        <w:jc w:val="both"/>
        <w:rPr>
          <w:rFonts w:ascii="Arial" w:hAnsi="Arial" w:cs="Arial"/>
          <w:spacing w:val="20"/>
        </w:rPr>
      </w:pPr>
    </w:p>
    <w:p w:rsidR="00195B38" w:rsidRDefault="00195B38" w:rsidP="00195B38">
      <w:pPr>
        <w:spacing w:line="264" w:lineRule="auto"/>
        <w:contextualSpacing/>
        <w:jc w:val="both"/>
        <w:rPr>
          <w:rFonts w:ascii="Arial" w:hAnsi="Arial" w:cs="Arial"/>
          <w:spacing w:val="20"/>
        </w:rPr>
      </w:pPr>
    </w:p>
    <w:p w:rsidR="00195B38" w:rsidRPr="00527AD0" w:rsidRDefault="00195B38" w:rsidP="00195B38">
      <w:pPr>
        <w:spacing w:line="264" w:lineRule="auto"/>
        <w:contextualSpacing/>
        <w:jc w:val="center"/>
        <w:rPr>
          <w:rFonts w:ascii="Arial" w:hAnsi="Arial" w:cs="Arial"/>
          <w:spacing w:val="20"/>
        </w:rPr>
      </w:pPr>
      <w:r w:rsidRPr="008F3773">
        <w:rPr>
          <w:noProof/>
          <w:lang w:val="es-MX" w:eastAsia="es-MX"/>
        </w:rPr>
        <w:drawing>
          <wp:inline distT="0" distB="0" distL="0" distR="0">
            <wp:extent cx="5882005" cy="5526239"/>
            <wp:effectExtent l="0" t="0" r="4445" b="0"/>
            <wp:docPr id="23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2005" cy="5526239"/>
                    </a:xfrm>
                    <a:prstGeom prst="rect">
                      <a:avLst/>
                    </a:prstGeom>
                    <a:noFill/>
                    <a:ln>
                      <a:noFill/>
                    </a:ln>
                  </pic:spPr>
                </pic:pic>
              </a:graphicData>
            </a:graphic>
          </wp:inline>
        </w:drawing>
      </w:r>
    </w:p>
    <w:p w:rsidR="00195B38" w:rsidRDefault="00195B38" w:rsidP="00195B38">
      <w:pPr>
        <w:pStyle w:val="Textoindependiente"/>
        <w:spacing w:line="264" w:lineRule="auto"/>
        <w:contextualSpacing/>
        <w:rPr>
          <w:b/>
          <w:bCs/>
          <w:szCs w:val="24"/>
        </w:rPr>
      </w:pPr>
    </w:p>
    <w:p w:rsidR="00195B38" w:rsidRDefault="00195B38" w:rsidP="00195B38">
      <w:pPr>
        <w:pStyle w:val="Textoindependiente"/>
        <w:spacing w:line="264" w:lineRule="auto"/>
        <w:contextualSpacing/>
        <w:rPr>
          <w:b/>
          <w:bCs/>
          <w:szCs w:val="24"/>
        </w:rPr>
      </w:pPr>
    </w:p>
    <w:p w:rsidR="00195B38" w:rsidRDefault="00195B38" w:rsidP="00195B38">
      <w:pPr>
        <w:pStyle w:val="Textoindependiente"/>
        <w:spacing w:line="264" w:lineRule="auto"/>
        <w:contextualSpacing/>
        <w:jc w:val="center"/>
        <w:rPr>
          <w:b/>
          <w:bCs/>
          <w:szCs w:val="24"/>
        </w:rPr>
      </w:pPr>
      <w:r w:rsidRPr="008F3773">
        <w:rPr>
          <w:noProof/>
          <w:lang w:eastAsia="es-MX"/>
        </w:rPr>
        <w:drawing>
          <wp:inline distT="0" distB="0" distL="0" distR="0">
            <wp:extent cx="5467350" cy="2466975"/>
            <wp:effectExtent l="0" t="0" r="0" b="9525"/>
            <wp:docPr id="23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350" cy="2466975"/>
                    </a:xfrm>
                    <a:prstGeom prst="rect">
                      <a:avLst/>
                    </a:prstGeom>
                    <a:noFill/>
                    <a:ln>
                      <a:noFill/>
                    </a:ln>
                  </pic:spPr>
                </pic:pic>
              </a:graphicData>
            </a:graphic>
          </wp:inline>
        </w:drawing>
      </w:r>
    </w:p>
    <w:p w:rsidR="00195B38" w:rsidRDefault="00195B38" w:rsidP="00195B38">
      <w:pPr>
        <w:pStyle w:val="Textoindependiente"/>
        <w:spacing w:line="264" w:lineRule="auto"/>
        <w:contextualSpacing/>
        <w:rPr>
          <w:b/>
          <w:bCs/>
          <w:szCs w:val="24"/>
        </w:rPr>
      </w:pPr>
    </w:p>
    <w:p w:rsidR="00195B38" w:rsidRPr="00527AD0" w:rsidRDefault="00195B38" w:rsidP="00195B38">
      <w:pPr>
        <w:spacing w:line="264" w:lineRule="auto"/>
        <w:contextualSpacing/>
        <w:jc w:val="both"/>
        <w:rPr>
          <w:rFonts w:ascii="Arial" w:hAnsi="Arial" w:cs="Arial"/>
          <w:spacing w:val="20"/>
        </w:rPr>
      </w:pPr>
    </w:p>
    <w:p w:rsidR="00195B38" w:rsidRDefault="00195B38">
      <w:pPr>
        <w:rPr>
          <w:rFonts w:ascii="Arial" w:hAnsi="Arial" w:cs="Arial"/>
          <w:b/>
          <w:spacing w:val="20"/>
        </w:rPr>
      </w:pPr>
      <w:r>
        <w:rPr>
          <w:rFonts w:ascii="Arial" w:hAnsi="Arial" w:cs="Arial"/>
          <w:b/>
          <w:spacing w:val="20"/>
        </w:rPr>
        <w:br w:type="page"/>
      </w:r>
    </w:p>
    <w:p w:rsidR="00195B38" w:rsidRPr="00527AD0" w:rsidRDefault="00195B38" w:rsidP="00195B38">
      <w:pPr>
        <w:spacing w:line="264" w:lineRule="auto"/>
        <w:contextualSpacing/>
        <w:jc w:val="both"/>
        <w:rPr>
          <w:rFonts w:ascii="Arial" w:hAnsi="Arial" w:cs="Arial"/>
          <w:b/>
          <w:spacing w:val="20"/>
        </w:rPr>
      </w:pPr>
      <w:r>
        <w:rPr>
          <w:rFonts w:ascii="Arial" w:hAnsi="Arial" w:cs="Arial"/>
          <w:b/>
          <w:spacing w:val="20"/>
        </w:rPr>
        <w:lastRenderedPageBreak/>
        <w:t xml:space="preserve">2.1.- </w:t>
      </w:r>
      <w:r w:rsidRPr="00527AD0">
        <w:rPr>
          <w:rFonts w:ascii="Arial" w:hAnsi="Arial" w:cs="Arial"/>
          <w:b/>
          <w:spacing w:val="20"/>
        </w:rPr>
        <w:t>INGRESOS DE GESTIÓN</w:t>
      </w:r>
    </w:p>
    <w:p w:rsidR="00195B38" w:rsidRPr="00527AD0" w:rsidRDefault="00195B38" w:rsidP="00195B38">
      <w:pPr>
        <w:spacing w:line="264" w:lineRule="auto"/>
        <w:contextualSpacing/>
        <w:jc w:val="both"/>
        <w:rPr>
          <w:rFonts w:ascii="Arial" w:hAnsi="Arial" w:cs="Arial"/>
          <w:spacing w:val="20"/>
        </w:rPr>
      </w:pPr>
    </w:p>
    <w:p w:rsidR="00195B38" w:rsidRDefault="00195B38" w:rsidP="00195B38">
      <w:pPr>
        <w:spacing w:line="264" w:lineRule="auto"/>
        <w:contextualSpacing/>
        <w:jc w:val="both"/>
        <w:rPr>
          <w:rFonts w:ascii="Arial" w:hAnsi="Arial" w:cs="Arial"/>
          <w:spacing w:val="20"/>
        </w:rPr>
      </w:pPr>
      <w:r w:rsidRPr="00527AD0">
        <w:rPr>
          <w:rFonts w:ascii="Arial" w:hAnsi="Arial" w:cs="Arial"/>
          <w:spacing w:val="20"/>
        </w:rPr>
        <w:t xml:space="preserve">Los Ingresos de Gestión son los ingresos que recauda de manera directa el estado, presentan un crecimiento del </w:t>
      </w:r>
      <w:r w:rsidRPr="009E2D48">
        <w:rPr>
          <w:rFonts w:ascii="Arial" w:hAnsi="Arial" w:cs="Arial"/>
          <w:spacing w:val="20"/>
        </w:rPr>
        <w:t>34.93</w:t>
      </w:r>
      <w:r w:rsidRPr="00527AD0">
        <w:rPr>
          <w:rFonts w:ascii="Arial" w:hAnsi="Arial" w:cs="Arial"/>
          <w:spacing w:val="20"/>
        </w:rPr>
        <w:t xml:space="preserve"> por ciento en relación a lo programado conforme a la Ley de Ingresos para el </w:t>
      </w:r>
      <w:r>
        <w:rPr>
          <w:rFonts w:ascii="Arial" w:hAnsi="Arial" w:cs="Arial"/>
          <w:spacing w:val="20"/>
        </w:rPr>
        <w:t>ejercicio fiscal 2015.</w:t>
      </w:r>
    </w:p>
    <w:p w:rsidR="00195B38" w:rsidRPr="00527AD0" w:rsidRDefault="00195B38" w:rsidP="00195B38">
      <w:pPr>
        <w:spacing w:line="264" w:lineRule="auto"/>
        <w:contextualSpacing/>
        <w:jc w:val="both"/>
        <w:rPr>
          <w:rFonts w:ascii="Arial" w:hAnsi="Arial" w:cs="Arial"/>
          <w:spacing w:val="20"/>
        </w:rPr>
      </w:pPr>
    </w:p>
    <w:p w:rsidR="00195B38" w:rsidRPr="00527AD0" w:rsidRDefault="00195B38" w:rsidP="00195B38">
      <w:pPr>
        <w:spacing w:line="264" w:lineRule="auto"/>
        <w:contextualSpacing/>
        <w:jc w:val="both"/>
        <w:rPr>
          <w:rFonts w:ascii="Arial" w:hAnsi="Arial" w:cs="Arial"/>
          <w:spacing w:val="20"/>
        </w:rPr>
      </w:pPr>
      <w:r w:rsidRPr="00527AD0">
        <w:rPr>
          <w:rFonts w:ascii="Arial" w:hAnsi="Arial" w:cs="Arial"/>
          <w:spacing w:val="20"/>
        </w:rPr>
        <w:t>Los ingresos de gestión se integran de los Impuestos, Contribuciones de Mejoras, Derechos, Productos, Aprovechamientos y Contribuciones no comprendidas en las fracciones de la Ley de Ingresos causados en ejercicios fiscales anteriores pendientes de liquidación o pago.</w:t>
      </w:r>
    </w:p>
    <w:p w:rsidR="00195B38" w:rsidRPr="00527AD0" w:rsidRDefault="00195B38" w:rsidP="00195B38">
      <w:pPr>
        <w:rPr>
          <w:rFonts w:ascii="Arial" w:hAnsi="Arial" w:cs="Arial"/>
          <w:spacing w:val="20"/>
        </w:rPr>
      </w:pPr>
    </w:p>
    <w:p w:rsidR="00195B38" w:rsidRPr="00527AD0" w:rsidRDefault="00195B38" w:rsidP="00195B38">
      <w:pPr>
        <w:rPr>
          <w:rFonts w:ascii="Arial" w:hAnsi="Arial" w:cs="Arial"/>
          <w:spacing w:val="20"/>
        </w:rPr>
      </w:pPr>
    </w:p>
    <w:p w:rsidR="00195B38" w:rsidRPr="00527AD0" w:rsidRDefault="00195B38" w:rsidP="00195B38">
      <w:pPr>
        <w:spacing w:line="264" w:lineRule="auto"/>
        <w:contextualSpacing/>
        <w:rPr>
          <w:rFonts w:ascii="Arial" w:hAnsi="Arial" w:cs="Arial"/>
          <w:b/>
          <w:bCs/>
          <w:spacing w:val="20"/>
        </w:rPr>
      </w:pPr>
      <w:r w:rsidRPr="00527AD0">
        <w:rPr>
          <w:rFonts w:ascii="Arial" w:hAnsi="Arial" w:cs="Arial"/>
          <w:b/>
          <w:bCs/>
          <w:spacing w:val="20"/>
        </w:rPr>
        <w:t>Impuesto.</w:t>
      </w:r>
    </w:p>
    <w:p w:rsidR="00195B38" w:rsidRPr="00527AD0" w:rsidRDefault="00195B38" w:rsidP="00195B38">
      <w:pPr>
        <w:spacing w:line="264" w:lineRule="auto"/>
        <w:contextualSpacing/>
        <w:rPr>
          <w:rFonts w:ascii="Arial" w:hAnsi="Arial" w:cs="Arial"/>
          <w:b/>
          <w:bCs/>
          <w:spacing w:val="20"/>
        </w:rPr>
      </w:pPr>
    </w:p>
    <w:p w:rsidR="00195B38" w:rsidRPr="00527AD0" w:rsidRDefault="00195B38" w:rsidP="00195B38">
      <w:pPr>
        <w:spacing w:line="264" w:lineRule="auto"/>
        <w:contextualSpacing/>
        <w:jc w:val="both"/>
        <w:rPr>
          <w:rFonts w:ascii="Arial" w:hAnsi="Arial" w:cs="Arial"/>
          <w:bCs/>
          <w:spacing w:val="20"/>
        </w:rPr>
      </w:pPr>
      <w:r w:rsidRPr="00527AD0">
        <w:rPr>
          <w:rFonts w:ascii="Arial" w:hAnsi="Arial" w:cs="Arial"/>
          <w:bCs/>
          <w:spacing w:val="20"/>
        </w:rPr>
        <w:t xml:space="preserve">Los impuestos recaudados durante los meses de enero a </w:t>
      </w:r>
      <w:r>
        <w:rPr>
          <w:rFonts w:ascii="Arial" w:hAnsi="Arial" w:cs="Arial"/>
          <w:bCs/>
          <w:spacing w:val="20"/>
        </w:rPr>
        <w:t>junio</w:t>
      </w:r>
      <w:r w:rsidRPr="00527AD0">
        <w:rPr>
          <w:rFonts w:ascii="Arial" w:hAnsi="Arial" w:cs="Arial"/>
          <w:bCs/>
          <w:spacing w:val="20"/>
        </w:rPr>
        <w:t xml:space="preserve"> del presente ejercicio, alcanzaron la cifra de </w:t>
      </w:r>
      <w:r>
        <w:rPr>
          <w:rFonts w:ascii="Arial" w:hAnsi="Arial" w:cs="Arial"/>
          <w:bCs/>
          <w:spacing w:val="20"/>
        </w:rPr>
        <w:t>713</w:t>
      </w:r>
      <w:r w:rsidRPr="00527AD0">
        <w:rPr>
          <w:rFonts w:ascii="Arial" w:hAnsi="Arial" w:cs="Arial"/>
          <w:bCs/>
          <w:spacing w:val="20"/>
        </w:rPr>
        <w:t xml:space="preserve"> millones </w:t>
      </w:r>
      <w:r>
        <w:rPr>
          <w:rFonts w:ascii="Arial" w:hAnsi="Arial" w:cs="Arial"/>
          <w:bCs/>
          <w:spacing w:val="20"/>
        </w:rPr>
        <w:t>710</w:t>
      </w:r>
      <w:r w:rsidRPr="00527AD0">
        <w:rPr>
          <w:rFonts w:ascii="Arial" w:hAnsi="Arial" w:cs="Arial"/>
          <w:bCs/>
          <w:spacing w:val="20"/>
        </w:rPr>
        <w:t xml:space="preserve"> mil</w:t>
      </w:r>
      <w:r>
        <w:rPr>
          <w:rFonts w:ascii="Arial" w:hAnsi="Arial" w:cs="Arial"/>
          <w:bCs/>
          <w:spacing w:val="20"/>
        </w:rPr>
        <w:t xml:space="preserve"> 487</w:t>
      </w:r>
      <w:r w:rsidRPr="00527AD0">
        <w:rPr>
          <w:rFonts w:ascii="Arial" w:hAnsi="Arial" w:cs="Arial"/>
          <w:bCs/>
          <w:spacing w:val="20"/>
        </w:rPr>
        <w:t xml:space="preserve"> pesos, lo que representa un crecimiento del </w:t>
      </w:r>
      <w:r>
        <w:rPr>
          <w:rFonts w:ascii="Arial" w:hAnsi="Arial" w:cs="Arial"/>
          <w:bCs/>
          <w:spacing w:val="20"/>
        </w:rPr>
        <w:t>44.76</w:t>
      </w:r>
      <w:r w:rsidRPr="00527AD0">
        <w:rPr>
          <w:rFonts w:ascii="Arial" w:hAnsi="Arial" w:cs="Arial"/>
          <w:bCs/>
          <w:spacing w:val="20"/>
        </w:rPr>
        <w:t xml:space="preserve"> por ciento respecto a lo estimado en la Ley de Ingresos</w:t>
      </w:r>
      <w:r>
        <w:rPr>
          <w:rFonts w:ascii="Arial" w:hAnsi="Arial" w:cs="Arial"/>
          <w:bCs/>
          <w:spacing w:val="20"/>
        </w:rPr>
        <w:t>.</w:t>
      </w:r>
    </w:p>
    <w:p w:rsidR="00195B38" w:rsidRPr="00527AD0" w:rsidRDefault="00195B38" w:rsidP="00195B38">
      <w:pPr>
        <w:rPr>
          <w:rFonts w:ascii="Arial" w:hAnsi="Arial" w:cs="Arial"/>
          <w:bCs/>
          <w:spacing w:val="20"/>
        </w:rPr>
      </w:pPr>
    </w:p>
    <w:p w:rsidR="00195B38" w:rsidRDefault="00195B38" w:rsidP="00195B38">
      <w:pPr>
        <w:spacing w:line="264" w:lineRule="auto"/>
        <w:contextualSpacing/>
        <w:jc w:val="both"/>
        <w:rPr>
          <w:rFonts w:ascii="Arial" w:hAnsi="Arial" w:cs="Arial"/>
          <w:spacing w:val="20"/>
        </w:rPr>
      </w:pPr>
      <w:r w:rsidRPr="00527AD0">
        <w:rPr>
          <w:rFonts w:ascii="Arial" w:hAnsi="Arial" w:cs="Arial"/>
          <w:spacing w:val="20"/>
        </w:rPr>
        <w:t xml:space="preserve">Los impuestos que presentan un crecimiento respecto a lo estimado en la Ley de ingresos son: </w:t>
      </w:r>
      <w:r>
        <w:rPr>
          <w:rFonts w:ascii="Arial" w:hAnsi="Arial" w:cs="Arial"/>
          <w:spacing w:val="20"/>
        </w:rPr>
        <w:t xml:space="preserve">Rifas, sorteos, loterías y concursos con 45.38 por ciento, Diversiones  y espectáculos públicos con 44.23 por ciento, Cedular  a los ingreso  por el otorgamiento  del uso o goce temporal de bienes inmuebles con 3.38 por ciento,  </w:t>
      </w:r>
      <w:r w:rsidRPr="00527AD0">
        <w:rPr>
          <w:rFonts w:ascii="Arial" w:hAnsi="Arial" w:cs="Arial"/>
          <w:spacing w:val="20"/>
        </w:rPr>
        <w:t xml:space="preserve">Tenencia o Uso de Vehículos con </w:t>
      </w:r>
      <w:r>
        <w:rPr>
          <w:rFonts w:ascii="Arial" w:hAnsi="Arial" w:cs="Arial"/>
          <w:spacing w:val="20"/>
        </w:rPr>
        <w:t>5.66</w:t>
      </w:r>
      <w:r w:rsidRPr="00527AD0">
        <w:rPr>
          <w:rFonts w:ascii="Arial" w:hAnsi="Arial" w:cs="Arial"/>
          <w:spacing w:val="20"/>
        </w:rPr>
        <w:t xml:space="preserve"> por ciento, por la Prestación de Servicios de Hospedaje con </w:t>
      </w:r>
      <w:r>
        <w:rPr>
          <w:rFonts w:ascii="Arial" w:hAnsi="Arial" w:cs="Arial"/>
          <w:spacing w:val="20"/>
        </w:rPr>
        <w:t>7.39</w:t>
      </w:r>
      <w:r w:rsidRPr="00527AD0">
        <w:rPr>
          <w:rFonts w:ascii="Arial" w:hAnsi="Arial" w:cs="Arial"/>
          <w:spacing w:val="20"/>
        </w:rPr>
        <w:t xml:space="preserve"> por ciento, sobre Erogaciones por Remuneraciones al Trabajo Personal con </w:t>
      </w:r>
      <w:r>
        <w:rPr>
          <w:rFonts w:ascii="Arial" w:hAnsi="Arial" w:cs="Arial"/>
          <w:spacing w:val="20"/>
        </w:rPr>
        <w:t>88.41 por ciento</w:t>
      </w:r>
      <w:r w:rsidRPr="00527AD0">
        <w:rPr>
          <w:rFonts w:ascii="Arial" w:hAnsi="Arial" w:cs="Arial"/>
          <w:spacing w:val="20"/>
        </w:rPr>
        <w:t>.</w:t>
      </w:r>
    </w:p>
    <w:p w:rsidR="00195B38" w:rsidRDefault="00195B38" w:rsidP="00195B38">
      <w:pPr>
        <w:spacing w:line="264" w:lineRule="auto"/>
        <w:contextualSpacing/>
        <w:jc w:val="both"/>
        <w:rPr>
          <w:rFonts w:ascii="Arial" w:hAnsi="Arial" w:cs="Arial"/>
          <w:spacing w:val="20"/>
        </w:rPr>
      </w:pPr>
    </w:p>
    <w:p w:rsidR="00195B38" w:rsidRDefault="00195B38" w:rsidP="00195B38">
      <w:pPr>
        <w:spacing w:line="264" w:lineRule="auto"/>
        <w:contextualSpacing/>
        <w:jc w:val="both"/>
        <w:rPr>
          <w:rFonts w:ascii="Arial" w:hAnsi="Arial" w:cs="Arial"/>
          <w:spacing w:val="20"/>
        </w:rPr>
      </w:pPr>
    </w:p>
    <w:p w:rsidR="00195B38" w:rsidRPr="004D2659" w:rsidRDefault="00195B38" w:rsidP="00195B38">
      <w:pPr>
        <w:spacing w:line="264" w:lineRule="auto"/>
        <w:contextualSpacing/>
        <w:jc w:val="both"/>
        <w:rPr>
          <w:rFonts w:ascii="Arial" w:hAnsi="Arial" w:cs="Arial"/>
          <w:spacing w:val="20"/>
          <w:lang w:val="es-MX"/>
        </w:rPr>
      </w:pPr>
      <w:r w:rsidRPr="003724B9">
        <w:rPr>
          <w:noProof/>
          <w:lang w:val="es-MX" w:eastAsia="es-MX"/>
        </w:rPr>
        <w:lastRenderedPageBreak/>
        <w:drawing>
          <wp:inline distT="0" distB="0" distL="0" distR="0">
            <wp:extent cx="5882005" cy="5449505"/>
            <wp:effectExtent l="0" t="0" r="4445" b="0"/>
            <wp:docPr id="23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2005" cy="5449505"/>
                    </a:xfrm>
                    <a:prstGeom prst="rect">
                      <a:avLst/>
                    </a:prstGeom>
                    <a:noFill/>
                    <a:ln>
                      <a:noFill/>
                    </a:ln>
                  </pic:spPr>
                </pic:pic>
              </a:graphicData>
            </a:graphic>
          </wp:inline>
        </w:drawing>
      </w:r>
    </w:p>
    <w:p w:rsidR="00195B38" w:rsidRDefault="00195B38" w:rsidP="00195B38">
      <w:pPr>
        <w:spacing w:line="264" w:lineRule="auto"/>
        <w:contextualSpacing/>
        <w:jc w:val="both"/>
        <w:rPr>
          <w:rFonts w:ascii="Arial" w:hAnsi="Arial" w:cs="Arial"/>
          <w:spacing w:val="20"/>
        </w:rPr>
      </w:pPr>
    </w:p>
    <w:p w:rsidR="00195B38" w:rsidRDefault="00195B38" w:rsidP="00195B38">
      <w:pPr>
        <w:spacing w:line="264" w:lineRule="auto"/>
        <w:contextualSpacing/>
        <w:jc w:val="both"/>
        <w:rPr>
          <w:rFonts w:ascii="Arial" w:hAnsi="Arial" w:cs="Arial"/>
          <w:spacing w:val="20"/>
        </w:rPr>
      </w:pPr>
    </w:p>
    <w:p w:rsidR="00195B38" w:rsidRDefault="00195B38" w:rsidP="00195B38">
      <w:pPr>
        <w:spacing w:line="264" w:lineRule="auto"/>
        <w:contextualSpacing/>
        <w:jc w:val="both"/>
        <w:rPr>
          <w:rFonts w:ascii="Arial" w:hAnsi="Arial" w:cs="Arial"/>
          <w:spacing w:val="20"/>
        </w:rPr>
      </w:pPr>
    </w:p>
    <w:p w:rsidR="00195B38" w:rsidRDefault="00195B38" w:rsidP="00195B38">
      <w:pPr>
        <w:spacing w:line="264" w:lineRule="auto"/>
        <w:contextualSpacing/>
        <w:jc w:val="both"/>
        <w:rPr>
          <w:rFonts w:ascii="Arial" w:hAnsi="Arial" w:cs="Arial"/>
          <w:spacing w:val="20"/>
        </w:rPr>
      </w:pPr>
    </w:p>
    <w:p w:rsidR="00195B38" w:rsidRDefault="00195B38" w:rsidP="00195B38">
      <w:pPr>
        <w:spacing w:line="264" w:lineRule="auto"/>
        <w:contextualSpacing/>
        <w:jc w:val="both"/>
        <w:rPr>
          <w:rFonts w:ascii="Arial" w:hAnsi="Arial" w:cs="Arial"/>
          <w:spacing w:val="20"/>
        </w:rPr>
      </w:pPr>
    </w:p>
    <w:p w:rsidR="00195B38" w:rsidRDefault="00195B38" w:rsidP="00195B38">
      <w:pPr>
        <w:spacing w:line="264" w:lineRule="auto"/>
        <w:contextualSpacing/>
        <w:jc w:val="both"/>
        <w:rPr>
          <w:rFonts w:ascii="Arial" w:hAnsi="Arial" w:cs="Arial"/>
          <w:spacing w:val="20"/>
        </w:rPr>
      </w:pPr>
    </w:p>
    <w:p w:rsidR="00195B38" w:rsidRPr="00527AD0" w:rsidRDefault="00195B38" w:rsidP="00195B38">
      <w:pPr>
        <w:spacing w:line="264" w:lineRule="auto"/>
        <w:contextualSpacing/>
        <w:jc w:val="both"/>
        <w:rPr>
          <w:rFonts w:ascii="Arial" w:hAnsi="Arial" w:cs="Arial"/>
          <w:spacing w:val="20"/>
        </w:rPr>
      </w:pPr>
    </w:p>
    <w:p w:rsidR="00195B38" w:rsidRDefault="00195B38" w:rsidP="00195B38">
      <w:pPr>
        <w:spacing w:line="264" w:lineRule="auto"/>
        <w:contextualSpacing/>
        <w:rPr>
          <w:rFonts w:ascii="Arial" w:hAnsi="Arial" w:cs="Arial"/>
          <w:b/>
          <w:bCs/>
          <w:spacing w:val="20"/>
        </w:rPr>
      </w:pPr>
    </w:p>
    <w:p w:rsidR="00195B38" w:rsidRDefault="00195B38" w:rsidP="00195B38">
      <w:pPr>
        <w:spacing w:line="264" w:lineRule="auto"/>
        <w:contextualSpacing/>
        <w:rPr>
          <w:rFonts w:ascii="Arial" w:hAnsi="Arial" w:cs="Arial"/>
          <w:b/>
          <w:bCs/>
          <w:spacing w:val="20"/>
        </w:rPr>
      </w:pPr>
    </w:p>
    <w:p w:rsidR="00195B38" w:rsidRDefault="00195B38" w:rsidP="00195B38">
      <w:pPr>
        <w:spacing w:line="264" w:lineRule="auto"/>
        <w:contextualSpacing/>
        <w:rPr>
          <w:rFonts w:ascii="Arial" w:hAnsi="Arial" w:cs="Arial"/>
          <w:b/>
          <w:bCs/>
          <w:spacing w:val="20"/>
        </w:rPr>
      </w:pPr>
    </w:p>
    <w:p w:rsidR="00195B38" w:rsidRPr="00527AD0" w:rsidRDefault="00195B38" w:rsidP="00195B38">
      <w:pPr>
        <w:spacing w:line="264" w:lineRule="auto"/>
        <w:contextualSpacing/>
        <w:rPr>
          <w:rFonts w:ascii="Arial" w:hAnsi="Arial" w:cs="Arial"/>
          <w:b/>
          <w:bCs/>
          <w:spacing w:val="20"/>
        </w:rPr>
      </w:pPr>
      <w:r>
        <w:rPr>
          <w:rFonts w:ascii="Arial" w:hAnsi="Arial" w:cs="Arial"/>
          <w:b/>
          <w:bCs/>
          <w:spacing w:val="20"/>
        </w:rPr>
        <w:lastRenderedPageBreak/>
        <w:t xml:space="preserve">2.2.- </w:t>
      </w:r>
      <w:r w:rsidRPr="00331D4A">
        <w:rPr>
          <w:rFonts w:ascii="Arial" w:hAnsi="Arial" w:cs="Arial"/>
          <w:b/>
          <w:bCs/>
          <w:spacing w:val="20"/>
        </w:rPr>
        <w:t>OTROS INGRESOS DE GESTIÓN</w:t>
      </w:r>
      <w:r w:rsidRPr="00527AD0">
        <w:rPr>
          <w:rFonts w:ascii="Arial" w:hAnsi="Arial" w:cs="Arial"/>
          <w:b/>
          <w:bCs/>
          <w:spacing w:val="20"/>
        </w:rPr>
        <w:t xml:space="preserve"> </w:t>
      </w:r>
    </w:p>
    <w:p w:rsidR="00195B38" w:rsidRPr="00527AD0" w:rsidRDefault="00195B38" w:rsidP="00195B38">
      <w:pPr>
        <w:spacing w:line="264" w:lineRule="auto"/>
        <w:contextualSpacing/>
        <w:jc w:val="both"/>
        <w:rPr>
          <w:rFonts w:ascii="Arial" w:hAnsi="Arial" w:cs="Arial"/>
          <w:spacing w:val="20"/>
        </w:rPr>
      </w:pPr>
    </w:p>
    <w:p w:rsidR="00195B38" w:rsidRDefault="00195B38" w:rsidP="00195B38">
      <w:pPr>
        <w:spacing w:line="264" w:lineRule="auto"/>
        <w:contextualSpacing/>
        <w:jc w:val="both"/>
        <w:rPr>
          <w:rFonts w:ascii="Arial" w:hAnsi="Arial" w:cs="Arial"/>
          <w:bCs/>
          <w:spacing w:val="20"/>
        </w:rPr>
      </w:pPr>
      <w:r w:rsidRPr="00527AD0">
        <w:rPr>
          <w:rFonts w:ascii="Arial" w:hAnsi="Arial" w:cs="Arial"/>
          <w:spacing w:val="20"/>
        </w:rPr>
        <w:t xml:space="preserve">Los conceptos clasificados como otros Ingresos de Gestión, </w:t>
      </w:r>
      <w:r>
        <w:rPr>
          <w:rFonts w:ascii="Arial" w:hAnsi="Arial" w:cs="Arial"/>
          <w:spacing w:val="20"/>
        </w:rPr>
        <w:t>para el segundo</w:t>
      </w:r>
      <w:r w:rsidRPr="00527AD0">
        <w:rPr>
          <w:rFonts w:ascii="Arial" w:hAnsi="Arial" w:cs="Arial"/>
          <w:spacing w:val="20"/>
        </w:rPr>
        <w:t xml:space="preserve"> trimestre del ejercicio 201</w:t>
      </w:r>
      <w:r>
        <w:rPr>
          <w:rFonts w:ascii="Arial" w:hAnsi="Arial" w:cs="Arial"/>
          <w:spacing w:val="20"/>
        </w:rPr>
        <w:t>5</w:t>
      </w:r>
      <w:r w:rsidRPr="00527AD0">
        <w:rPr>
          <w:rFonts w:ascii="Arial" w:hAnsi="Arial" w:cs="Arial"/>
          <w:spacing w:val="20"/>
        </w:rPr>
        <w:t xml:space="preserve"> suman una recaudación </w:t>
      </w:r>
      <w:r w:rsidRPr="009E2D48">
        <w:rPr>
          <w:rFonts w:ascii="Arial" w:hAnsi="Arial" w:cs="Arial"/>
          <w:spacing w:val="20"/>
        </w:rPr>
        <w:t xml:space="preserve">de 1 mil 287 millones 360 mil 3 pesos, </w:t>
      </w:r>
      <w:r w:rsidRPr="009E2D48">
        <w:rPr>
          <w:rFonts w:ascii="Arial" w:hAnsi="Arial" w:cs="Arial"/>
          <w:bCs/>
          <w:spacing w:val="20"/>
        </w:rPr>
        <w:t>lo que representa un crecimiento del 30.03 por ciento respecto a lo estimado para este ejercicio conforme a la</w:t>
      </w:r>
      <w:r w:rsidRPr="00527AD0">
        <w:rPr>
          <w:rFonts w:ascii="Arial" w:hAnsi="Arial" w:cs="Arial"/>
          <w:bCs/>
          <w:spacing w:val="20"/>
        </w:rPr>
        <w:t xml:space="preserve"> Ley de Ingresos</w:t>
      </w:r>
      <w:r>
        <w:rPr>
          <w:rFonts w:ascii="Arial" w:hAnsi="Arial" w:cs="Arial"/>
          <w:bCs/>
          <w:spacing w:val="20"/>
        </w:rPr>
        <w:t>.</w:t>
      </w:r>
    </w:p>
    <w:p w:rsidR="00195B38" w:rsidRPr="00527AD0" w:rsidRDefault="00195B38" w:rsidP="00195B38">
      <w:pPr>
        <w:spacing w:line="264" w:lineRule="auto"/>
        <w:contextualSpacing/>
        <w:jc w:val="both"/>
        <w:rPr>
          <w:rFonts w:ascii="Arial" w:hAnsi="Arial" w:cs="Arial"/>
          <w:spacing w:val="20"/>
        </w:rPr>
      </w:pPr>
      <w:r w:rsidRPr="00527AD0">
        <w:rPr>
          <w:rFonts w:ascii="Arial" w:hAnsi="Arial" w:cs="Arial"/>
          <w:bCs/>
          <w:spacing w:val="20"/>
        </w:rPr>
        <w:t xml:space="preserve"> </w:t>
      </w:r>
    </w:p>
    <w:p w:rsidR="00195B38" w:rsidRDefault="00195B38" w:rsidP="00195B38">
      <w:pPr>
        <w:spacing w:line="264" w:lineRule="auto"/>
        <w:contextualSpacing/>
        <w:jc w:val="both"/>
        <w:rPr>
          <w:rFonts w:ascii="Arial" w:hAnsi="Arial" w:cs="Arial"/>
          <w:spacing w:val="20"/>
        </w:rPr>
      </w:pPr>
      <w:r w:rsidRPr="00527AD0">
        <w:rPr>
          <w:rFonts w:ascii="Arial" w:hAnsi="Arial" w:cs="Arial"/>
          <w:spacing w:val="20"/>
        </w:rPr>
        <w:t xml:space="preserve">Los conceptos que integran este rubro obtuvieron un comportamiento positivo durante </w:t>
      </w:r>
      <w:r>
        <w:rPr>
          <w:rFonts w:ascii="Arial" w:hAnsi="Arial" w:cs="Arial"/>
          <w:spacing w:val="20"/>
        </w:rPr>
        <w:t xml:space="preserve">el periodo enero-junio </w:t>
      </w:r>
      <w:r w:rsidRPr="00527AD0">
        <w:rPr>
          <w:rFonts w:ascii="Arial" w:hAnsi="Arial" w:cs="Arial"/>
          <w:spacing w:val="20"/>
        </w:rPr>
        <w:t xml:space="preserve"> de este ejercicio respecto a Ley de Ingresos, de acuerdo a lo siguiente: los Derechos con un crecimiento del </w:t>
      </w:r>
      <w:r>
        <w:rPr>
          <w:rFonts w:ascii="Arial" w:hAnsi="Arial" w:cs="Arial"/>
          <w:spacing w:val="20"/>
        </w:rPr>
        <w:t>3.30</w:t>
      </w:r>
      <w:r w:rsidRPr="00527AD0">
        <w:rPr>
          <w:rFonts w:ascii="Arial" w:hAnsi="Arial" w:cs="Arial"/>
          <w:spacing w:val="20"/>
        </w:rPr>
        <w:t xml:space="preserve"> por ciento</w:t>
      </w:r>
      <w:r>
        <w:rPr>
          <w:rFonts w:ascii="Arial" w:hAnsi="Arial" w:cs="Arial"/>
          <w:spacing w:val="20"/>
        </w:rPr>
        <w:t>, los Productos con un 12.68 por ciento y</w:t>
      </w:r>
      <w:r w:rsidRPr="00527AD0">
        <w:rPr>
          <w:rFonts w:ascii="Arial" w:hAnsi="Arial" w:cs="Arial"/>
          <w:spacing w:val="20"/>
        </w:rPr>
        <w:t xml:space="preserve"> los Aprovechamientos </w:t>
      </w:r>
      <w:r w:rsidRPr="00056B3B">
        <w:rPr>
          <w:rFonts w:ascii="Arial" w:hAnsi="Arial" w:cs="Arial"/>
          <w:spacing w:val="20"/>
        </w:rPr>
        <w:t>con un 88.57 por ciento.</w:t>
      </w:r>
      <w:r w:rsidRPr="00527AD0">
        <w:rPr>
          <w:rFonts w:ascii="Arial" w:hAnsi="Arial" w:cs="Arial"/>
          <w:spacing w:val="20"/>
        </w:rPr>
        <w:t xml:space="preserve"> </w:t>
      </w:r>
    </w:p>
    <w:p w:rsidR="00195B38" w:rsidRDefault="00195B38" w:rsidP="00195B38">
      <w:pPr>
        <w:spacing w:line="264" w:lineRule="auto"/>
        <w:contextualSpacing/>
        <w:jc w:val="both"/>
        <w:rPr>
          <w:rFonts w:ascii="Arial" w:hAnsi="Arial" w:cs="Arial"/>
          <w:spacing w:val="20"/>
        </w:rPr>
      </w:pPr>
    </w:p>
    <w:p w:rsidR="00195B38" w:rsidRDefault="00195B38" w:rsidP="00195B38">
      <w:pPr>
        <w:spacing w:line="264" w:lineRule="auto"/>
        <w:contextualSpacing/>
        <w:jc w:val="both"/>
        <w:rPr>
          <w:rFonts w:ascii="Arial" w:hAnsi="Arial" w:cs="Arial"/>
          <w:spacing w:val="20"/>
        </w:rPr>
      </w:pPr>
    </w:p>
    <w:p w:rsidR="00195B38" w:rsidRPr="00527AD0" w:rsidRDefault="00195B38" w:rsidP="00195B38">
      <w:pPr>
        <w:spacing w:line="264" w:lineRule="auto"/>
        <w:contextualSpacing/>
        <w:jc w:val="both"/>
        <w:rPr>
          <w:rFonts w:ascii="Arial" w:hAnsi="Arial" w:cs="Arial"/>
          <w:spacing w:val="20"/>
        </w:rPr>
      </w:pPr>
      <w:r w:rsidRPr="000D594E">
        <w:rPr>
          <w:noProof/>
          <w:lang w:val="es-MX" w:eastAsia="es-MX"/>
        </w:rPr>
        <w:drawing>
          <wp:inline distT="0" distB="0" distL="0" distR="0">
            <wp:extent cx="5882005" cy="3766239"/>
            <wp:effectExtent l="0" t="0" r="4445" b="5715"/>
            <wp:docPr id="23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2005" cy="3766239"/>
                    </a:xfrm>
                    <a:prstGeom prst="rect">
                      <a:avLst/>
                    </a:prstGeom>
                    <a:noFill/>
                    <a:ln>
                      <a:noFill/>
                    </a:ln>
                  </pic:spPr>
                </pic:pic>
              </a:graphicData>
            </a:graphic>
          </wp:inline>
        </w:drawing>
      </w:r>
    </w:p>
    <w:p w:rsidR="00195B38" w:rsidRPr="00527AD0" w:rsidRDefault="00195B38" w:rsidP="00195B38">
      <w:pPr>
        <w:spacing w:line="264" w:lineRule="auto"/>
        <w:contextualSpacing/>
        <w:jc w:val="both"/>
        <w:rPr>
          <w:rFonts w:ascii="Arial" w:hAnsi="Arial" w:cs="Arial"/>
          <w:spacing w:val="20"/>
        </w:rPr>
      </w:pPr>
    </w:p>
    <w:p w:rsidR="00195B38" w:rsidRPr="00527AD0" w:rsidRDefault="00195B38" w:rsidP="00195B38">
      <w:pPr>
        <w:spacing w:line="264" w:lineRule="auto"/>
        <w:contextualSpacing/>
        <w:jc w:val="center"/>
        <w:rPr>
          <w:rFonts w:ascii="Arial" w:hAnsi="Arial" w:cs="Arial"/>
          <w:spacing w:val="20"/>
        </w:rPr>
      </w:pPr>
    </w:p>
    <w:p w:rsidR="00195B38" w:rsidRDefault="00195B38" w:rsidP="00195B38">
      <w:pPr>
        <w:spacing w:line="264" w:lineRule="auto"/>
        <w:contextualSpacing/>
        <w:jc w:val="both"/>
        <w:rPr>
          <w:rFonts w:ascii="Arial" w:hAnsi="Arial" w:cs="Arial"/>
          <w:spacing w:val="20"/>
        </w:rPr>
      </w:pPr>
    </w:p>
    <w:p w:rsidR="00195B38" w:rsidRPr="00527AD0" w:rsidRDefault="00195B38" w:rsidP="00195B38">
      <w:pPr>
        <w:spacing w:line="264" w:lineRule="auto"/>
        <w:contextualSpacing/>
        <w:jc w:val="both"/>
        <w:rPr>
          <w:rFonts w:ascii="Arial" w:hAnsi="Arial" w:cs="Arial"/>
          <w:spacing w:val="20"/>
        </w:rPr>
      </w:pPr>
    </w:p>
    <w:p w:rsidR="00195B38" w:rsidRPr="00527AD0" w:rsidRDefault="00195B38" w:rsidP="00195B38">
      <w:pPr>
        <w:spacing w:line="264" w:lineRule="auto"/>
        <w:contextualSpacing/>
        <w:rPr>
          <w:rFonts w:ascii="Arial" w:hAnsi="Arial" w:cs="Arial"/>
          <w:b/>
          <w:bCs/>
          <w:spacing w:val="20"/>
        </w:rPr>
      </w:pPr>
      <w:r>
        <w:rPr>
          <w:rFonts w:ascii="Arial" w:hAnsi="Arial" w:cs="Arial"/>
          <w:b/>
          <w:bCs/>
          <w:spacing w:val="20"/>
        </w:rPr>
        <w:t xml:space="preserve">2.3.- </w:t>
      </w:r>
      <w:r w:rsidRPr="00331D4A">
        <w:rPr>
          <w:rFonts w:ascii="Arial" w:hAnsi="Arial" w:cs="Arial"/>
          <w:b/>
          <w:bCs/>
          <w:spacing w:val="20"/>
        </w:rPr>
        <w:t>PARTICIPACIONES, APORTACIONES, TRANSFERENCIAS, ASIGNACIONES, SUBSIDIOS Y OTRAS AYUDAS.</w:t>
      </w:r>
    </w:p>
    <w:p w:rsidR="00195B38" w:rsidRPr="00527AD0" w:rsidRDefault="00195B38" w:rsidP="00195B38">
      <w:pPr>
        <w:spacing w:line="264" w:lineRule="auto"/>
        <w:contextualSpacing/>
        <w:jc w:val="both"/>
        <w:rPr>
          <w:rFonts w:ascii="Arial" w:hAnsi="Arial" w:cs="Arial"/>
          <w:spacing w:val="20"/>
        </w:rPr>
      </w:pPr>
    </w:p>
    <w:p w:rsidR="00195B38" w:rsidRPr="00527AD0" w:rsidRDefault="00195B38" w:rsidP="00195B38">
      <w:pPr>
        <w:pStyle w:val="Default"/>
        <w:spacing w:line="264" w:lineRule="auto"/>
        <w:contextualSpacing/>
        <w:jc w:val="both"/>
        <w:rPr>
          <w:color w:val="auto"/>
          <w:spacing w:val="20"/>
        </w:rPr>
      </w:pPr>
      <w:r>
        <w:rPr>
          <w:color w:val="auto"/>
          <w:spacing w:val="20"/>
        </w:rPr>
        <w:t>L</w:t>
      </w:r>
      <w:r w:rsidRPr="00527AD0">
        <w:rPr>
          <w:color w:val="auto"/>
          <w:spacing w:val="20"/>
        </w:rPr>
        <w:t>a Federación transfirió al Estado en el periodo enero-</w:t>
      </w:r>
      <w:r>
        <w:rPr>
          <w:color w:val="auto"/>
          <w:spacing w:val="20"/>
        </w:rPr>
        <w:t>junio</w:t>
      </w:r>
      <w:r w:rsidRPr="00527AD0">
        <w:rPr>
          <w:color w:val="auto"/>
          <w:spacing w:val="20"/>
        </w:rPr>
        <w:t xml:space="preserve"> del ejercicio 201</w:t>
      </w:r>
      <w:r>
        <w:rPr>
          <w:color w:val="auto"/>
          <w:spacing w:val="20"/>
        </w:rPr>
        <w:t>5, ingresos en cantidad de  29 mil 702 millones 725 mil 752 pesos</w:t>
      </w:r>
      <w:r w:rsidRPr="00527AD0">
        <w:rPr>
          <w:color w:val="auto"/>
          <w:spacing w:val="20"/>
        </w:rPr>
        <w:t xml:space="preserve">, </w:t>
      </w:r>
      <w:r>
        <w:rPr>
          <w:color w:val="auto"/>
          <w:spacing w:val="20"/>
        </w:rPr>
        <w:t xml:space="preserve"> con lo cual se obtuvo </w:t>
      </w:r>
      <w:r w:rsidRPr="00527AD0">
        <w:rPr>
          <w:color w:val="auto"/>
          <w:spacing w:val="20"/>
        </w:rPr>
        <w:t>un aumento</w:t>
      </w:r>
      <w:r>
        <w:rPr>
          <w:color w:val="auto"/>
          <w:spacing w:val="20"/>
        </w:rPr>
        <w:t xml:space="preserve"> </w:t>
      </w:r>
      <w:r w:rsidRPr="00527AD0">
        <w:rPr>
          <w:color w:val="auto"/>
          <w:spacing w:val="20"/>
        </w:rPr>
        <w:t xml:space="preserve">del </w:t>
      </w:r>
      <w:r>
        <w:rPr>
          <w:color w:val="auto"/>
          <w:spacing w:val="20"/>
        </w:rPr>
        <w:t>0.59</w:t>
      </w:r>
      <w:r w:rsidRPr="00527AD0">
        <w:rPr>
          <w:color w:val="auto"/>
          <w:spacing w:val="20"/>
        </w:rPr>
        <w:t xml:space="preserve"> por ciento respecto </w:t>
      </w:r>
      <w:r>
        <w:rPr>
          <w:color w:val="auto"/>
          <w:spacing w:val="20"/>
        </w:rPr>
        <w:t>a lo estimado en la Ley de Ingresos para el presente ejercicio fiscal.</w:t>
      </w:r>
    </w:p>
    <w:p w:rsidR="00195B38" w:rsidRPr="00527AD0" w:rsidRDefault="00195B38" w:rsidP="00195B38">
      <w:pPr>
        <w:spacing w:line="264" w:lineRule="auto"/>
        <w:contextualSpacing/>
        <w:jc w:val="both"/>
        <w:rPr>
          <w:rFonts w:ascii="Arial" w:hAnsi="Arial" w:cs="Arial"/>
          <w:spacing w:val="20"/>
        </w:rPr>
      </w:pPr>
    </w:p>
    <w:p w:rsidR="00195B38" w:rsidRPr="00527AD0" w:rsidRDefault="00195B38" w:rsidP="00195B38">
      <w:pPr>
        <w:spacing w:line="264" w:lineRule="auto"/>
        <w:contextualSpacing/>
        <w:jc w:val="both"/>
        <w:rPr>
          <w:rFonts w:ascii="Arial" w:hAnsi="Arial" w:cs="Arial"/>
          <w:b/>
          <w:bCs/>
          <w:spacing w:val="20"/>
        </w:rPr>
      </w:pPr>
      <w:r w:rsidRPr="00527AD0">
        <w:rPr>
          <w:rFonts w:ascii="Arial" w:hAnsi="Arial" w:cs="Arial"/>
          <w:b/>
          <w:bCs/>
          <w:spacing w:val="20"/>
        </w:rPr>
        <w:t>Participaciones.</w:t>
      </w:r>
    </w:p>
    <w:p w:rsidR="00195B38" w:rsidRPr="00527AD0" w:rsidRDefault="00195B38" w:rsidP="00195B38">
      <w:pPr>
        <w:spacing w:line="264" w:lineRule="auto"/>
        <w:contextualSpacing/>
        <w:jc w:val="both"/>
        <w:rPr>
          <w:rFonts w:ascii="Arial" w:hAnsi="Arial" w:cs="Arial"/>
          <w:spacing w:val="20"/>
        </w:rPr>
      </w:pPr>
    </w:p>
    <w:p w:rsidR="00195B38" w:rsidRPr="00527AD0" w:rsidRDefault="00195B38" w:rsidP="00195B38">
      <w:pPr>
        <w:spacing w:line="264" w:lineRule="auto"/>
        <w:contextualSpacing/>
        <w:jc w:val="both"/>
        <w:rPr>
          <w:rFonts w:ascii="Arial" w:hAnsi="Arial" w:cs="Arial"/>
          <w:spacing w:val="20"/>
        </w:rPr>
      </w:pPr>
      <w:r w:rsidRPr="00527AD0">
        <w:rPr>
          <w:rFonts w:ascii="Arial" w:hAnsi="Arial" w:cs="Arial"/>
          <w:spacing w:val="20"/>
        </w:rPr>
        <w:t xml:space="preserve">El ingreso total por este concepto </w:t>
      </w:r>
      <w:r>
        <w:rPr>
          <w:rFonts w:ascii="Arial" w:hAnsi="Arial" w:cs="Arial"/>
          <w:spacing w:val="20"/>
        </w:rPr>
        <w:t>para el segundo trimestre</w:t>
      </w:r>
      <w:r w:rsidRPr="00B93D73">
        <w:rPr>
          <w:rFonts w:ascii="Arial" w:hAnsi="Arial" w:cs="Arial"/>
          <w:spacing w:val="20"/>
        </w:rPr>
        <w:t xml:space="preserve"> </w:t>
      </w:r>
      <w:r w:rsidRPr="00527AD0">
        <w:rPr>
          <w:rFonts w:ascii="Arial" w:hAnsi="Arial" w:cs="Arial"/>
          <w:spacing w:val="20"/>
        </w:rPr>
        <w:t>del ejercicio que se informa</w:t>
      </w:r>
      <w:r>
        <w:rPr>
          <w:rFonts w:ascii="Arial" w:hAnsi="Arial" w:cs="Arial"/>
          <w:spacing w:val="20"/>
        </w:rPr>
        <w:t xml:space="preserve">, </w:t>
      </w:r>
      <w:r w:rsidRPr="00527AD0">
        <w:rPr>
          <w:rFonts w:ascii="Arial" w:hAnsi="Arial" w:cs="Arial"/>
          <w:spacing w:val="20"/>
        </w:rPr>
        <w:t xml:space="preserve">alcanzó un monto de </w:t>
      </w:r>
      <w:r>
        <w:rPr>
          <w:rFonts w:ascii="Arial" w:hAnsi="Arial" w:cs="Arial"/>
          <w:spacing w:val="20"/>
        </w:rPr>
        <w:t>7</w:t>
      </w:r>
      <w:r w:rsidRPr="00527AD0">
        <w:rPr>
          <w:rFonts w:ascii="Arial" w:hAnsi="Arial" w:cs="Arial"/>
          <w:spacing w:val="20"/>
        </w:rPr>
        <w:t xml:space="preserve"> mil </w:t>
      </w:r>
      <w:r>
        <w:rPr>
          <w:rFonts w:ascii="Arial" w:hAnsi="Arial" w:cs="Arial"/>
          <w:spacing w:val="20"/>
        </w:rPr>
        <w:t>815</w:t>
      </w:r>
      <w:r w:rsidRPr="00527AD0">
        <w:rPr>
          <w:rFonts w:ascii="Arial" w:hAnsi="Arial" w:cs="Arial"/>
          <w:spacing w:val="20"/>
        </w:rPr>
        <w:t xml:space="preserve"> millones </w:t>
      </w:r>
      <w:r>
        <w:rPr>
          <w:rFonts w:ascii="Arial" w:hAnsi="Arial" w:cs="Arial"/>
          <w:spacing w:val="20"/>
        </w:rPr>
        <w:t>291</w:t>
      </w:r>
      <w:r w:rsidRPr="00527AD0">
        <w:rPr>
          <w:rFonts w:ascii="Arial" w:hAnsi="Arial" w:cs="Arial"/>
          <w:spacing w:val="20"/>
        </w:rPr>
        <w:t xml:space="preserve"> mil </w:t>
      </w:r>
      <w:r>
        <w:rPr>
          <w:rFonts w:ascii="Arial" w:hAnsi="Arial" w:cs="Arial"/>
          <w:spacing w:val="20"/>
        </w:rPr>
        <w:t xml:space="preserve">646 </w:t>
      </w:r>
      <w:r w:rsidRPr="00527AD0">
        <w:rPr>
          <w:rFonts w:ascii="Arial" w:hAnsi="Arial" w:cs="Arial"/>
          <w:spacing w:val="20"/>
        </w:rPr>
        <w:t xml:space="preserve">pesos, importe que representa un crecimiento del </w:t>
      </w:r>
      <w:r>
        <w:rPr>
          <w:rFonts w:ascii="Arial" w:hAnsi="Arial" w:cs="Arial"/>
          <w:spacing w:val="20"/>
        </w:rPr>
        <w:t>4.15</w:t>
      </w:r>
      <w:r w:rsidRPr="00527AD0">
        <w:rPr>
          <w:rFonts w:ascii="Arial" w:hAnsi="Arial" w:cs="Arial"/>
          <w:spacing w:val="20"/>
        </w:rPr>
        <w:t xml:space="preserve"> por ciento respecto a la Ley de Ingresos y respecto al mismo periodo del ejercicio 201</w:t>
      </w:r>
      <w:r>
        <w:rPr>
          <w:rFonts w:ascii="Arial" w:hAnsi="Arial" w:cs="Arial"/>
          <w:spacing w:val="20"/>
        </w:rPr>
        <w:t>4</w:t>
      </w:r>
      <w:r w:rsidRPr="00527AD0">
        <w:rPr>
          <w:rFonts w:ascii="Arial" w:hAnsi="Arial" w:cs="Arial"/>
          <w:spacing w:val="20"/>
        </w:rPr>
        <w:t>, se observa un</w:t>
      </w:r>
      <w:r>
        <w:rPr>
          <w:rFonts w:ascii="Arial" w:hAnsi="Arial" w:cs="Arial"/>
          <w:spacing w:val="20"/>
        </w:rPr>
        <w:t>a disminución del 7.11</w:t>
      </w:r>
      <w:r w:rsidRPr="00527AD0">
        <w:rPr>
          <w:rFonts w:ascii="Arial" w:hAnsi="Arial" w:cs="Arial"/>
          <w:spacing w:val="20"/>
        </w:rPr>
        <w:t xml:space="preserve"> por ciento en términos reales.</w:t>
      </w:r>
    </w:p>
    <w:p w:rsidR="00195B38" w:rsidRPr="00527AD0" w:rsidRDefault="00195B38" w:rsidP="00195B38">
      <w:pPr>
        <w:spacing w:line="264" w:lineRule="auto"/>
        <w:contextualSpacing/>
        <w:jc w:val="both"/>
        <w:rPr>
          <w:rFonts w:ascii="Arial" w:hAnsi="Arial" w:cs="Arial"/>
          <w:spacing w:val="20"/>
        </w:rPr>
      </w:pPr>
    </w:p>
    <w:p w:rsidR="00195B38" w:rsidRPr="00527AD0" w:rsidRDefault="00195B38" w:rsidP="00195B38">
      <w:pPr>
        <w:spacing w:line="264" w:lineRule="auto"/>
        <w:contextualSpacing/>
        <w:jc w:val="both"/>
        <w:rPr>
          <w:rFonts w:ascii="Arial" w:hAnsi="Arial" w:cs="Arial"/>
          <w:b/>
          <w:bCs/>
          <w:spacing w:val="20"/>
        </w:rPr>
      </w:pPr>
      <w:r w:rsidRPr="00527AD0">
        <w:rPr>
          <w:rFonts w:ascii="Arial" w:hAnsi="Arial" w:cs="Arial"/>
          <w:b/>
          <w:bCs/>
          <w:spacing w:val="20"/>
        </w:rPr>
        <w:t>Aportaciones.</w:t>
      </w:r>
    </w:p>
    <w:p w:rsidR="00195B38" w:rsidRPr="00527AD0" w:rsidRDefault="00195B38" w:rsidP="00195B38">
      <w:pPr>
        <w:spacing w:line="264" w:lineRule="auto"/>
        <w:contextualSpacing/>
        <w:jc w:val="both"/>
        <w:rPr>
          <w:rFonts w:ascii="Arial" w:hAnsi="Arial" w:cs="Arial"/>
          <w:spacing w:val="20"/>
        </w:rPr>
      </w:pPr>
    </w:p>
    <w:p w:rsidR="00195B38" w:rsidRPr="00527AD0" w:rsidRDefault="00195B38" w:rsidP="00195B38">
      <w:pPr>
        <w:spacing w:line="264" w:lineRule="auto"/>
        <w:contextualSpacing/>
        <w:jc w:val="both"/>
        <w:rPr>
          <w:rFonts w:ascii="Arial" w:hAnsi="Arial" w:cs="Arial"/>
          <w:spacing w:val="20"/>
        </w:rPr>
      </w:pPr>
      <w:r w:rsidRPr="00527AD0">
        <w:rPr>
          <w:rFonts w:ascii="Arial" w:hAnsi="Arial" w:cs="Arial"/>
          <w:spacing w:val="20"/>
        </w:rPr>
        <w:t xml:space="preserve">El Gobierno Federal a través de la Secretaría de Hacienda y Crédito Público, transfirió recursos de Fondos de Aportaciones Federales del Ramo 33 al Gobierno del Estado de Oaxaca por </w:t>
      </w:r>
      <w:r>
        <w:rPr>
          <w:rFonts w:ascii="Arial" w:hAnsi="Arial" w:cs="Arial"/>
          <w:spacing w:val="20"/>
        </w:rPr>
        <w:t>16</w:t>
      </w:r>
      <w:r w:rsidRPr="00527AD0">
        <w:rPr>
          <w:rFonts w:ascii="Arial" w:hAnsi="Arial" w:cs="Arial"/>
          <w:spacing w:val="20"/>
        </w:rPr>
        <w:t xml:space="preserve"> mil </w:t>
      </w:r>
      <w:r>
        <w:rPr>
          <w:rFonts w:ascii="Arial" w:hAnsi="Arial" w:cs="Arial"/>
          <w:spacing w:val="20"/>
        </w:rPr>
        <w:t>578</w:t>
      </w:r>
      <w:r w:rsidRPr="00527AD0">
        <w:rPr>
          <w:rFonts w:ascii="Arial" w:hAnsi="Arial" w:cs="Arial"/>
          <w:spacing w:val="20"/>
        </w:rPr>
        <w:t xml:space="preserve"> millones </w:t>
      </w:r>
      <w:r>
        <w:rPr>
          <w:rFonts w:ascii="Arial" w:hAnsi="Arial" w:cs="Arial"/>
          <w:spacing w:val="20"/>
        </w:rPr>
        <w:t>280</w:t>
      </w:r>
      <w:r w:rsidRPr="00527AD0">
        <w:rPr>
          <w:rFonts w:ascii="Arial" w:hAnsi="Arial" w:cs="Arial"/>
          <w:spacing w:val="20"/>
        </w:rPr>
        <w:t xml:space="preserve"> mil</w:t>
      </w:r>
      <w:r>
        <w:rPr>
          <w:rFonts w:ascii="Arial" w:hAnsi="Arial" w:cs="Arial"/>
          <w:spacing w:val="20"/>
        </w:rPr>
        <w:t xml:space="preserve"> 199</w:t>
      </w:r>
      <w:r w:rsidRPr="00527AD0">
        <w:rPr>
          <w:rFonts w:ascii="Arial" w:hAnsi="Arial" w:cs="Arial"/>
          <w:spacing w:val="20"/>
        </w:rPr>
        <w:t xml:space="preserve"> pesos, en el periodo de enero a </w:t>
      </w:r>
      <w:r>
        <w:rPr>
          <w:rFonts w:ascii="Arial" w:hAnsi="Arial" w:cs="Arial"/>
          <w:spacing w:val="20"/>
        </w:rPr>
        <w:t>junio</w:t>
      </w:r>
      <w:r w:rsidRPr="00527AD0">
        <w:rPr>
          <w:rFonts w:ascii="Arial" w:hAnsi="Arial" w:cs="Arial"/>
          <w:spacing w:val="20"/>
        </w:rPr>
        <w:t xml:space="preserve"> del ejercicio fiscal 201</w:t>
      </w:r>
      <w:r>
        <w:rPr>
          <w:rFonts w:ascii="Arial" w:hAnsi="Arial" w:cs="Arial"/>
          <w:spacing w:val="20"/>
        </w:rPr>
        <w:t>5</w:t>
      </w:r>
      <w:r w:rsidRPr="00527AD0">
        <w:rPr>
          <w:rFonts w:ascii="Arial" w:hAnsi="Arial" w:cs="Arial"/>
          <w:spacing w:val="20"/>
        </w:rPr>
        <w:t>; respecto al mismo periodo del ejercicio 201</w:t>
      </w:r>
      <w:r>
        <w:rPr>
          <w:rFonts w:ascii="Arial" w:hAnsi="Arial" w:cs="Arial"/>
          <w:spacing w:val="20"/>
        </w:rPr>
        <w:t>4</w:t>
      </w:r>
      <w:r w:rsidRPr="00527AD0">
        <w:rPr>
          <w:rFonts w:ascii="Arial" w:hAnsi="Arial" w:cs="Arial"/>
          <w:spacing w:val="20"/>
        </w:rPr>
        <w:t>, se observa un</w:t>
      </w:r>
      <w:r>
        <w:rPr>
          <w:rFonts w:ascii="Arial" w:hAnsi="Arial" w:cs="Arial"/>
          <w:spacing w:val="20"/>
        </w:rPr>
        <w:t>a disminución del 9.90</w:t>
      </w:r>
      <w:r w:rsidRPr="00527AD0">
        <w:rPr>
          <w:rFonts w:ascii="Arial" w:hAnsi="Arial" w:cs="Arial"/>
          <w:spacing w:val="20"/>
        </w:rPr>
        <w:t xml:space="preserve"> por ciento en términos reales.</w:t>
      </w:r>
    </w:p>
    <w:p w:rsidR="00195B38" w:rsidRPr="0069578E" w:rsidRDefault="00195B38" w:rsidP="00195B38">
      <w:pPr>
        <w:pStyle w:val="xl35"/>
        <w:pBdr>
          <w:left w:val="none" w:sz="0" w:space="0" w:color="auto"/>
          <w:right w:val="none" w:sz="0" w:space="0" w:color="auto"/>
        </w:pBdr>
        <w:spacing w:before="0" w:beforeAutospacing="0" w:after="0" w:afterAutospacing="0" w:line="264" w:lineRule="auto"/>
        <w:contextualSpacing/>
        <w:jc w:val="both"/>
        <w:rPr>
          <w:rFonts w:ascii="Arial" w:hAnsi="Arial" w:cs="Arial"/>
          <w:spacing w:val="20"/>
          <w:lang w:val="es-ES"/>
        </w:rPr>
      </w:pPr>
    </w:p>
    <w:p w:rsidR="00195B38" w:rsidRPr="00527AD0" w:rsidRDefault="00195B38" w:rsidP="00195B38">
      <w:pPr>
        <w:spacing w:line="264" w:lineRule="auto"/>
        <w:contextualSpacing/>
        <w:jc w:val="both"/>
        <w:rPr>
          <w:rFonts w:ascii="Arial" w:hAnsi="Arial" w:cs="Arial"/>
          <w:b/>
          <w:bCs/>
          <w:spacing w:val="20"/>
        </w:rPr>
      </w:pPr>
      <w:r w:rsidRPr="00527AD0">
        <w:rPr>
          <w:rFonts w:ascii="Arial" w:hAnsi="Arial" w:cs="Arial"/>
          <w:b/>
          <w:bCs/>
          <w:spacing w:val="20"/>
        </w:rPr>
        <w:t>Convenios.</w:t>
      </w:r>
    </w:p>
    <w:p w:rsidR="00195B38" w:rsidRPr="00527AD0" w:rsidRDefault="00195B38" w:rsidP="00195B38">
      <w:pPr>
        <w:spacing w:line="264" w:lineRule="auto"/>
        <w:contextualSpacing/>
        <w:jc w:val="both"/>
        <w:rPr>
          <w:rFonts w:ascii="Arial" w:hAnsi="Arial" w:cs="Arial"/>
          <w:spacing w:val="20"/>
        </w:rPr>
      </w:pPr>
    </w:p>
    <w:p w:rsidR="00195B38" w:rsidRPr="00527AD0" w:rsidRDefault="00195B38" w:rsidP="00195B38">
      <w:pPr>
        <w:pStyle w:val="xl35"/>
        <w:pBdr>
          <w:left w:val="none" w:sz="0" w:space="0" w:color="auto"/>
          <w:right w:val="none" w:sz="0" w:space="0" w:color="auto"/>
        </w:pBdr>
        <w:spacing w:before="0" w:beforeAutospacing="0" w:after="0" w:afterAutospacing="0" w:line="264" w:lineRule="auto"/>
        <w:contextualSpacing/>
        <w:jc w:val="both"/>
        <w:rPr>
          <w:rFonts w:ascii="Arial" w:hAnsi="Arial" w:cs="Arial"/>
          <w:spacing w:val="20"/>
        </w:rPr>
      </w:pPr>
      <w:r>
        <w:rPr>
          <w:rFonts w:ascii="Arial" w:hAnsi="Arial" w:cs="Arial"/>
          <w:spacing w:val="20"/>
        </w:rPr>
        <w:t>El estado ha</w:t>
      </w:r>
      <w:r w:rsidRPr="00527AD0">
        <w:rPr>
          <w:rFonts w:ascii="Arial" w:hAnsi="Arial" w:cs="Arial"/>
          <w:spacing w:val="20"/>
        </w:rPr>
        <w:t xml:space="preserve"> recibido</w:t>
      </w:r>
      <w:r>
        <w:rPr>
          <w:rFonts w:ascii="Arial" w:hAnsi="Arial" w:cs="Arial"/>
          <w:spacing w:val="20"/>
        </w:rPr>
        <w:t xml:space="preserve"> ingresos</w:t>
      </w:r>
      <w:r w:rsidRPr="00527AD0">
        <w:rPr>
          <w:rFonts w:ascii="Arial" w:hAnsi="Arial" w:cs="Arial"/>
          <w:spacing w:val="20"/>
        </w:rPr>
        <w:t xml:space="preserve"> por concepto de convenios</w:t>
      </w:r>
      <w:r>
        <w:rPr>
          <w:rFonts w:ascii="Arial" w:hAnsi="Arial" w:cs="Arial"/>
          <w:spacing w:val="20"/>
        </w:rPr>
        <w:t xml:space="preserve"> </w:t>
      </w:r>
      <w:r w:rsidRPr="00527AD0">
        <w:rPr>
          <w:rFonts w:ascii="Arial" w:hAnsi="Arial" w:cs="Arial"/>
          <w:spacing w:val="20"/>
        </w:rPr>
        <w:t xml:space="preserve"> </w:t>
      </w:r>
      <w:r>
        <w:rPr>
          <w:rFonts w:ascii="Arial" w:hAnsi="Arial" w:cs="Arial"/>
          <w:spacing w:val="20"/>
        </w:rPr>
        <w:t>la cantidad de</w:t>
      </w:r>
      <w:r w:rsidRPr="00527AD0">
        <w:rPr>
          <w:rFonts w:ascii="Arial" w:hAnsi="Arial" w:cs="Arial"/>
          <w:spacing w:val="20"/>
        </w:rPr>
        <w:t xml:space="preserve"> </w:t>
      </w:r>
      <w:r>
        <w:rPr>
          <w:rFonts w:ascii="Arial" w:hAnsi="Arial" w:cs="Arial"/>
          <w:spacing w:val="20"/>
        </w:rPr>
        <w:t>4 mil 203</w:t>
      </w:r>
      <w:r w:rsidRPr="00527AD0">
        <w:rPr>
          <w:rFonts w:ascii="Arial" w:hAnsi="Arial" w:cs="Arial"/>
          <w:spacing w:val="20"/>
        </w:rPr>
        <w:t xml:space="preserve"> millones </w:t>
      </w:r>
      <w:r>
        <w:rPr>
          <w:rFonts w:ascii="Arial" w:hAnsi="Arial" w:cs="Arial"/>
          <w:spacing w:val="20"/>
        </w:rPr>
        <w:t>158</w:t>
      </w:r>
      <w:r w:rsidRPr="00527AD0">
        <w:rPr>
          <w:rFonts w:ascii="Arial" w:hAnsi="Arial" w:cs="Arial"/>
          <w:spacing w:val="20"/>
        </w:rPr>
        <w:t xml:space="preserve"> mil </w:t>
      </w:r>
      <w:r>
        <w:rPr>
          <w:rFonts w:ascii="Arial" w:hAnsi="Arial" w:cs="Arial"/>
          <w:spacing w:val="20"/>
        </w:rPr>
        <w:t xml:space="preserve">31 </w:t>
      </w:r>
      <w:r w:rsidRPr="00527AD0">
        <w:rPr>
          <w:rFonts w:ascii="Arial" w:hAnsi="Arial" w:cs="Arial"/>
          <w:spacing w:val="20"/>
        </w:rPr>
        <w:t xml:space="preserve">pesos, durante el </w:t>
      </w:r>
      <w:r>
        <w:rPr>
          <w:rFonts w:ascii="Arial" w:hAnsi="Arial" w:cs="Arial"/>
          <w:spacing w:val="20"/>
        </w:rPr>
        <w:t>periodo enero-junio</w:t>
      </w:r>
      <w:r w:rsidRPr="00527AD0">
        <w:rPr>
          <w:rFonts w:ascii="Arial" w:hAnsi="Arial" w:cs="Arial"/>
          <w:spacing w:val="20"/>
        </w:rPr>
        <w:t xml:space="preserve"> del ejercicio fiscal 201</w:t>
      </w:r>
      <w:r>
        <w:rPr>
          <w:rFonts w:ascii="Arial" w:hAnsi="Arial" w:cs="Arial"/>
          <w:spacing w:val="20"/>
        </w:rPr>
        <w:t>5</w:t>
      </w:r>
      <w:r w:rsidRPr="00527AD0">
        <w:rPr>
          <w:rFonts w:ascii="Arial" w:hAnsi="Arial" w:cs="Arial"/>
          <w:spacing w:val="20"/>
        </w:rPr>
        <w:t>,</w:t>
      </w:r>
      <w:r>
        <w:rPr>
          <w:rFonts w:ascii="Arial" w:hAnsi="Arial" w:cs="Arial"/>
          <w:spacing w:val="20"/>
        </w:rPr>
        <w:t xml:space="preserve"> reflejando</w:t>
      </w:r>
      <w:r w:rsidRPr="00527AD0">
        <w:rPr>
          <w:rFonts w:ascii="Arial" w:hAnsi="Arial" w:cs="Arial"/>
          <w:spacing w:val="20"/>
        </w:rPr>
        <w:t xml:space="preserve"> un crecimiento del </w:t>
      </w:r>
      <w:r>
        <w:rPr>
          <w:rFonts w:ascii="Arial" w:hAnsi="Arial" w:cs="Arial"/>
          <w:spacing w:val="20"/>
        </w:rPr>
        <w:t>205.98</w:t>
      </w:r>
      <w:r w:rsidRPr="00527AD0">
        <w:rPr>
          <w:rFonts w:ascii="Arial" w:hAnsi="Arial" w:cs="Arial"/>
          <w:spacing w:val="20"/>
        </w:rPr>
        <w:t xml:space="preserve"> por ciento respecto a lo p</w:t>
      </w:r>
      <w:r>
        <w:rPr>
          <w:rFonts w:ascii="Arial" w:hAnsi="Arial" w:cs="Arial"/>
          <w:spacing w:val="20"/>
        </w:rPr>
        <w:t>rogramado en la Ley de Ingresos y del 63.38 por ciento en términos reales respecto al mismo periodo del ejercicio 2014.</w:t>
      </w:r>
    </w:p>
    <w:p w:rsidR="00195B38" w:rsidRDefault="00195B38" w:rsidP="00195B38">
      <w:pPr>
        <w:spacing w:line="264" w:lineRule="auto"/>
        <w:contextualSpacing/>
        <w:jc w:val="both"/>
        <w:rPr>
          <w:rFonts w:ascii="Arial" w:hAnsi="Arial" w:cs="Arial"/>
          <w:b/>
          <w:bCs/>
          <w:spacing w:val="20"/>
        </w:rPr>
      </w:pPr>
    </w:p>
    <w:p w:rsidR="008F5A9C" w:rsidRDefault="008F5A9C">
      <w:pPr>
        <w:rPr>
          <w:rFonts w:ascii="Arial" w:hAnsi="Arial" w:cs="Arial"/>
          <w:b/>
          <w:bCs/>
          <w:spacing w:val="20"/>
        </w:rPr>
      </w:pPr>
      <w:r>
        <w:rPr>
          <w:rFonts w:ascii="Arial" w:hAnsi="Arial" w:cs="Arial"/>
          <w:b/>
          <w:bCs/>
          <w:spacing w:val="20"/>
        </w:rPr>
        <w:br w:type="page"/>
      </w:r>
    </w:p>
    <w:p w:rsidR="00195B38" w:rsidRPr="00527AD0" w:rsidRDefault="00195B38" w:rsidP="00195B38">
      <w:pPr>
        <w:tabs>
          <w:tab w:val="left" w:pos="2040"/>
        </w:tabs>
        <w:spacing w:line="264" w:lineRule="auto"/>
        <w:contextualSpacing/>
        <w:jc w:val="both"/>
        <w:rPr>
          <w:rFonts w:ascii="Arial" w:hAnsi="Arial" w:cs="Arial"/>
          <w:b/>
          <w:bCs/>
          <w:spacing w:val="20"/>
        </w:rPr>
      </w:pPr>
      <w:r w:rsidRPr="00527AD0">
        <w:rPr>
          <w:rFonts w:ascii="Arial" w:hAnsi="Arial" w:cs="Arial"/>
          <w:b/>
          <w:bCs/>
          <w:spacing w:val="20"/>
        </w:rPr>
        <w:lastRenderedPageBreak/>
        <w:t>Transferencias, Asignaciones, Subsidios y Otras Ayudas.</w:t>
      </w:r>
    </w:p>
    <w:p w:rsidR="00195B38" w:rsidRPr="00527AD0" w:rsidRDefault="00195B38" w:rsidP="00195B38">
      <w:pPr>
        <w:spacing w:line="264" w:lineRule="auto"/>
        <w:contextualSpacing/>
        <w:jc w:val="both"/>
        <w:rPr>
          <w:rFonts w:ascii="Arial" w:hAnsi="Arial" w:cs="Arial"/>
          <w:spacing w:val="20"/>
        </w:rPr>
      </w:pPr>
    </w:p>
    <w:p w:rsidR="00195B38" w:rsidRDefault="00195B38" w:rsidP="00195B38">
      <w:pPr>
        <w:spacing w:line="264" w:lineRule="auto"/>
        <w:contextualSpacing/>
        <w:jc w:val="both"/>
        <w:rPr>
          <w:rFonts w:ascii="Arial" w:hAnsi="Arial" w:cs="Arial"/>
          <w:spacing w:val="20"/>
        </w:rPr>
      </w:pPr>
      <w:r w:rsidRPr="00527AD0">
        <w:rPr>
          <w:rFonts w:ascii="Arial" w:hAnsi="Arial" w:cs="Arial"/>
          <w:spacing w:val="20"/>
        </w:rPr>
        <w:t xml:space="preserve">El rubro de Transferencias, Asignaciones, Subsidios y Otras Ayudas, presenta crecimiento respecto a lo estimado en Ley de Ingresos del </w:t>
      </w:r>
      <w:r>
        <w:rPr>
          <w:rFonts w:ascii="Arial" w:hAnsi="Arial" w:cs="Arial"/>
          <w:spacing w:val="20"/>
        </w:rPr>
        <w:t>13.04</w:t>
      </w:r>
      <w:r w:rsidRPr="00527AD0">
        <w:rPr>
          <w:rFonts w:ascii="Arial" w:hAnsi="Arial" w:cs="Arial"/>
          <w:spacing w:val="20"/>
        </w:rPr>
        <w:t xml:space="preserve"> por ciento, con ingresos del orden de </w:t>
      </w:r>
      <w:r>
        <w:rPr>
          <w:rFonts w:ascii="Arial" w:hAnsi="Arial" w:cs="Arial"/>
          <w:spacing w:val="20"/>
        </w:rPr>
        <w:t>1 mil 105</w:t>
      </w:r>
      <w:r w:rsidRPr="00527AD0">
        <w:rPr>
          <w:rFonts w:ascii="Arial" w:hAnsi="Arial" w:cs="Arial"/>
          <w:spacing w:val="20"/>
        </w:rPr>
        <w:t xml:space="preserve"> millones </w:t>
      </w:r>
      <w:r>
        <w:rPr>
          <w:rFonts w:ascii="Arial" w:hAnsi="Arial" w:cs="Arial"/>
          <w:spacing w:val="20"/>
        </w:rPr>
        <w:t>995</w:t>
      </w:r>
      <w:r w:rsidRPr="00527AD0">
        <w:rPr>
          <w:rFonts w:ascii="Arial" w:hAnsi="Arial" w:cs="Arial"/>
          <w:spacing w:val="20"/>
        </w:rPr>
        <w:t xml:space="preserve"> mil</w:t>
      </w:r>
      <w:r>
        <w:rPr>
          <w:rFonts w:ascii="Arial" w:hAnsi="Arial" w:cs="Arial"/>
          <w:spacing w:val="20"/>
        </w:rPr>
        <w:t xml:space="preserve"> 876</w:t>
      </w:r>
      <w:r w:rsidRPr="00527AD0">
        <w:rPr>
          <w:rFonts w:ascii="Arial" w:hAnsi="Arial" w:cs="Arial"/>
          <w:spacing w:val="20"/>
        </w:rPr>
        <w:t xml:space="preserve"> pesos, y respecto a lo observado en el ejercicio 201</w:t>
      </w:r>
      <w:r>
        <w:rPr>
          <w:rFonts w:ascii="Arial" w:hAnsi="Arial" w:cs="Arial"/>
          <w:spacing w:val="20"/>
        </w:rPr>
        <w:t xml:space="preserve">4 </w:t>
      </w:r>
      <w:r w:rsidRPr="00527AD0">
        <w:rPr>
          <w:rFonts w:ascii="Arial" w:hAnsi="Arial" w:cs="Arial"/>
          <w:spacing w:val="20"/>
        </w:rPr>
        <w:t>durante el</w:t>
      </w:r>
      <w:r>
        <w:rPr>
          <w:rFonts w:ascii="Arial" w:hAnsi="Arial" w:cs="Arial"/>
          <w:spacing w:val="20"/>
        </w:rPr>
        <w:t xml:space="preserve"> </w:t>
      </w:r>
      <w:r w:rsidRPr="00527AD0">
        <w:rPr>
          <w:rFonts w:ascii="Arial" w:hAnsi="Arial" w:cs="Arial"/>
          <w:spacing w:val="20"/>
        </w:rPr>
        <w:t xml:space="preserve"> periodo </w:t>
      </w:r>
      <w:r>
        <w:rPr>
          <w:rFonts w:ascii="Arial" w:hAnsi="Arial" w:cs="Arial"/>
          <w:spacing w:val="20"/>
        </w:rPr>
        <w:t xml:space="preserve"> que se informa se observa un crecimiento del 21.24</w:t>
      </w:r>
      <w:r w:rsidRPr="00527AD0">
        <w:rPr>
          <w:rFonts w:ascii="Arial" w:hAnsi="Arial" w:cs="Arial"/>
          <w:spacing w:val="20"/>
        </w:rPr>
        <w:t xml:space="preserve"> por ciento</w:t>
      </w:r>
      <w:r>
        <w:rPr>
          <w:rFonts w:ascii="Arial" w:hAnsi="Arial" w:cs="Arial"/>
          <w:spacing w:val="20"/>
        </w:rPr>
        <w:t xml:space="preserve"> en términos reales.</w:t>
      </w:r>
    </w:p>
    <w:p w:rsidR="00195B38" w:rsidRDefault="00195B38" w:rsidP="00195B38">
      <w:pPr>
        <w:spacing w:line="264" w:lineRule="auto"/>
        <w:contextualSpacing/>
        <w:jc w:val="both"/>
        <w:rPr>
          <w:rFonts w:ascii="Arial" w:hAnsi="Arial" w:cs="Arial"/>
          <w:spacing w:val="20"/>
        </w:rPr>
      </w:pPr>
    </w:p>
    <w:p w:rsidR="00195B38" w:rsidRPr="00676064" w:rsidRDefault="00195B38" w:rsidP="008F5A9C">
      <w:pPr>
        <w:jc w:val="center"/>
        <w:rPr>
          <w:rFonts w:ascii="Arial" w:hAnsi="Arial" w:cs="Arial"/>
        </w:rPr>
      </w:pPr>
      <w:r w:rsidRPr="000D594E">
        <w:rPr>
          <w:noProof/>
          <w:lang w:val="es-MX" w:eastAsia="es-MX"/>
        </w:rPr>
        <w:drawing>
          <wp:inline distT="0" distB="0" distL="0" distR="0">
            <wp:extent cx="5446329" cy="5446329"/>
            <wp:effectExtent l="19050" t="0" r="1971" b="0"/>
            <wp:docPr id="24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2895" cy="5442895"/>
                    </a:xfrm>
                    <a:prstGeom prst="rect">
                      <a:avLst/>
                    </a:prstGeom>
                    <a:noFill/>
                    <a:ln>
                      <a:noFill/>
                    </a:ln>
                  </pic:spPr>
                </pic:pic>
              </a:graphicData>
            </a:graphic>
          </wp:inline>
        </w:drawing>
      </w:r>
    </w:p>
    <w:p w:rsidR="00150123" w:rsidRDefault="00150123" w:rsidP="00150123">
      <w:pPr>
        <w:spacing w:line="264" w:lineRule="auto"/>
        <w:contextualSpacing/>
        <w:jc w:val="both"/>
        <w:rPr>
          <w:rFonts w:ascii="Arial" w:hAnsi="Arial" w:cs="Arial"/>
          <w:color w:val="FF0000"/>
          <w:spacing w:val="20"/>
          <w:highlight w:val="yellow"/>
        </w:rPr>
      </w:pPr>
    </w:p>
    <w:p w:rsidR="00C05C2B" w:rsidRDefault="00ED3AD8" w:rsidP="005D7E67">
      <w:pPr>
        <w:spacing w:line="22" w:lineRule="atLeast"/>
        <w:jc w:val="both"/>
        <w:rPr>
          <w:rFonts w:ascii="Arial" w:hAnsi="Arial" w:cs="Arial"/>
          <w:b/>
          <w:spacing w:val="20"/>
        </w:rPr>
      </w:pPr>
      <w:r>
        <w:rPr>
          <w:rFonts w:ascii="Arial" w:hAnsi="Arial" w:cs="Arial"/>
          <w:b/>
          <w:spacing w:val="20"/>
        </w:rPr>
        <w:lastRenderedPageBreak/>
        <w:t>3</w:t>
      </w:r>
      <w:r w:rsidR="003D7501">
        <w:rPr>
          <w:rFonts w:ascii="Arial" w:hAnsi="Arial" w:cs="Arial"/>
          <w:b/>
          <w:spacing w:val="20"/>
        </w:rPr>
        <w:t xml:space="preserve">.- </w:t>
      </w:r>
      <w:r w:rsidR="007805C7" w:rsidRPr="007805C7">
        <w:rPr>
          <w:rFonts w:ascii="Arial" w:hAnsi="Arial" w:cs="Arial"/>
          <w:b/>
          <w:spacing w:val="20"/>
        </w:rPr>
        <w:t xml:space="preserve">IMPORTES DE LAS PARTICIPACIONES ENTREGADAS A LOS MUNICIPIOS DEL ESTADO, AL </w:t>
      </w:r>
      <w:r w:rsidR="00353C85">
        <w:rPr>
          <w:rFonts w:ascii="Arial" w:hAnsi="Arial" w:cs="Arial"/>
          <w:b/>
          <w:spacing w:val="20"/>
        </w:rPr>
        <w:t>SEGUNDO</w:t>
      </w:r>
      <w:r w:rsidR="00FC009B">
        <w:rPr>
          <w:rFonts w:ascii="Arial" w:hAnsi="Arial" w:cs="Arial"/>
          <w:b/>
          <w:spacing w:val="20"/>
        </w:rPr>
        <w:t xml:space="preserve"> </w:t>
      </w:r>
      <w:r w:rsidR="007805C7" w:rsidRPr="007805C7">
        <w:rPr>
          <w:rFonts w:ascii="Arial" w:hAnsi="Arial" w:cs="Arial"/>
          <w:b/>
          <w:spacing w:val="20"/>
        </w:rPr>
        <w:t>TRIMESTRE DEL EJERCICIO 201</w:t>
      </w:r>
      <w:r w:rsidR="003B6485">
        <w:rPr>
          <w:rFonts w:ascii="Arial" w:hAnsi="Arial" w:cs="Arial"/>
          <w:b/>
          <w:spacing w:val="20"/>
        </w:rPr>
        <w:t>5</w:t>
      </w:r>
      <w:r w:rsidR="007805C7">
        <w:rPr>
          <w:rFonts w:ascii="Arial" w:hAnsi="Arial" w:cs="Arial"/>
          <w:b/>
          <w:spacing w:val="20"/>
        </w:rPr>
        <w:t>.</w:t>
      </w:r>
      <w:r w:rsidR="00FC009B">
        <w:rPr>
          <w:rFonts w:ascii="Arial" w:hAnsi="Arial" w:cs="Arial"/>
          <w:b/>
          <w:spacing w:val="20"/>
        </w:rPr>
        <w:t xml:space="preserve"> (</w:t>
      </w:r>
      <w:proofErr w:type="gramStart"/>
      <w:r w:rsidR="00FC009B">
        <w:rPr>
          <w:rFonts w:ascii="Arial" w:hAnsi="Arial" w:cs="Arial"/>
          <w:b/>
          <w:spacing w:val="20"/>
        </w:rPr>
        <w:t>pesos</w:t>
      </w:r>
      <w:proofErr w:type="gramEnd"/>
      <w:r w:rsidR="00FC009B">
        <w:rPr>
          <w:rFonts w:ascii="Arial" w:hAnsi="Arial" w:cs="Arial"/>
          <w:b/>
          <w:spacing w:val="20"/>
        </w:rPr>
        <w:t>)</w:t>
      </w:r>
    </w:p>
    <w:p w:rsidR="00353C85" w:rsidRDefault="00353C85" w:rsidP="005D7E67">
      <w:pPr>
        <w:spacing w:line="22" w:lineRule="atLeast"/>
        <w:jc w:val="both"/>
        <w:rPr>
          <w:rFonts w:ascii="Arial" w:hAnsi="Arial" w:cs="Arial"/>
          <w:b/>
          <w:spacing w:val="20"/>
        </w:rPr>
      </w:pPr>
    </w:p>
    <w:tbl>
      <w:tblPr>
        <w:tblW w:w="9944" w:type="dxa"/>
        <w:tblInd w:w="49" w:type="dxa"/>
        <w:tblLayout w:type="fixed"/>
        <w:tblCellMar>
          <w:left w:w="70" w:type="dxa"/>
          <w:right w:w="70" w:type="dxa"/>
        </w:tblCellMar>
        <w:tblLook w:val="04A0"/>
      </w:tblPr>
      <w:tblGrid>
        <w:gridCol w:w="420"/>
        <w:gridCol w:w="2720"/>
        <w:gridCol w:w="1418"/>
        <w:gridCol w:w="1276"/>
        <w:gridCol w:w="1417"/>
        <w:gridCol w:w="1276"/>
        <w:gridCol w:w="1417"/>
      </w:tblGrid>
      <w:tr w:rsidR="00353C85" w:rsidRPr="00353C85" w:rsidTr="00353C85">
        <w:trPr>
          <w:trHeight w:val="1650"/>
        </w:trPr>
        <w:tc>
          <w:tcPr>
            <w:tcW w:w="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353C85">
            <w:pPr>
              <w:jc w:val="center"/>
              <w:rPr>
                <w:rFonts w:ascii="Arial" w:hAnsi="Arial" w:cs="Arial"/>
                <w:b/>
                <w:bCs/>
                <w:color w:val="000000"/>
                <w:sz w:val="16"/>
                <w:szCs w:val="16"/>
                <w:lang w:val="es-MX" w:eastAsia="es-MX"/>
              </w:rPr>
            </w:pPr>
            <w:r>
              <w:rPr>
                <w:rFonts w:ascii="Arial" w:hAnsi="Arial" w:cs="Arial"/>
                <w:b/>
                <w:spacing w:val="20"/>
              </w:rPr>
              <w:br w:type="page"/>
            </w:r>
            <w:r w:rsidRPr="00353C85">
              <w:rPr>
                <w:rFonts w:ascii="Arial" w:hAnsi="Arial" w:cs="Arial"/>
                <w:b/>
                <w:bCs/>
                <w:color w:val="000000"/>
                <w:sz w:val="16"/>
                <w:szCs w:val="16"/>
                <w:lang w:val="es-MX" w:eastAsia="es-MX"/>
              </w:rPr>
              <w:t>N.</w:t>
            </w:r>
          </w:p>
        </w:tc>
        <w:tc>
          <w:tcPr>
            <w:tcW w:w="27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353C85">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MUNICIPIO</w:t>
            </w:r>
          </w:p>
        </w:tc>
        <w:tc>
          <w:tcPr>
            <w:tcW w:w="1418"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353C85">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Municipal de Participaciones</w:t>
            </w:r>
          </w:p>
        </w:tc>
        <w:tc>
          <w:tcPr>
            <w:tcW w:w="1276"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353C85">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de Fomento Municipal</w:t>
            </w:r>
          </w:p>
        </w:tc>
        <w:tc>
          <w:tcPr>
            <w:tcW w:w="1417"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353C85">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de Compensación</w:t>
            </w:r>
          </w:p>
        </w:tc>
        <w:tc>
          <w:tcPr>
            <w:tcW w:w="1276"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353C85">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Municipal Sobre  el Impuesto a las Ventas Finales de  Gasolina y Diesel</w:t>
            </w:r>
          </w:p>
        </w:tc>
        <w:tc>
          <w:tcPr>
            <w:tcW w:w="1417"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353C85">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Suma</w:t>
            </w:r>
          </w:p>
        </w:tc>
      </w:tr>
    </w:tbl>
    <w:p w:rsidR="00353C85" w:rsidRDefault="00353C85"/>
    <w:tbl>
      <w:tblPr>
        <w:tblW w:w="9944" w:type="dxa"/>
        <w:tblInd w:w="49" w:type="dxa"/>
        <w:tblLayout w:type="fixed"/>
        <w:tblCellMar>
          <w:left w:w="70" w:type="dxa"/>
          <w:right w:w="70" w:type="dxa"/>
        </w:tblCellMar>
        <w:tblLook w:val="04A0"/>
      </w:tblPr>
      <w:tblGrid>
        <w:gridCol w:w="420"/>
        <w:gridCol w:w="2720"/>
        <w:gridCol w:w="1418"/>
        <w:gridCol w:w="1276"/>
        <w:gridCol w:w="1417"/>
        <w:gridCol w:w="1276"/>
        <w:gridCol w:w="1417"/>
      </w:tblGrid>
      <w:tr w:rsidR="00353C85" w:rsidRPr="00353C85" w:rsidTr="00353C85">
        <w:trPr>
          <w:trHeight w:val="225"/>
        </w:trPr>
        <w:tc>
          <w:tcPr>
            <w:tcW w:w="420" w:type="dxa"/>
            <w:tcBorders>
              <w:top w:val="nil"/>
              <w:left w:val="nil"/>
              <w:bottom w:val="single" w:sz="4" w:space="0" w:color="auto"/>
              <w:right w:val="nil"/>
            </w:tcBorders>
            <w:shd w:val="clear" w:color="auto" w:fill="auto"/>
            <w:hideMark/>
          </w:tcPr>
          <w:p w:rsidR="00353C85" w:rsidRPr="00353C85" w:rsidRDefault="00353C85" w:rsidP="00353C85">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 </w:t>
            </w:r>
          </w:p>
        </w:tc>
        <w:tc>
          <w:tcPr>
            <w:tcW w:w="2720" w:type="dxa"/>
            <w:tcBorders>
              <w:top w:val="nil"/>
              <w:left w:val="nil"/>
              <w:bottom w:val="single" w:sz="4" w:space="0" w:color="auto"/>
              <w:right w:val="nil"/>
            </w:tcBorders>
            <w:shd w:val="clear" w:color="auto" w:fill="auto"/>
            <w:hideMark/>
          </w:tcPr>
          <w:p w:rsidR="00353C85" w:rsidRPr="00353C85" w:rsidRDefault="00353C85" w:rsidP="00353C85">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 </w:t>
            </w:r>
          </w:p>
        </w:tc>
        <w:tc>
          <w:tcPr>
            <w:tcW w:w="1418" w:type="dxa"/>
            <w:tcBorders>
              <w:top w:val="nil"/>
              <w:left w:val="nil"/>
              <w:bottom w:val="single" w:sz="4" w:space="0" w:color="auto"/>
              <w:right w:val="nil"/>
            </w:tcBorders>
            <w:shd w:val="clear" w:color="auto" w:fill="auto"/>
            <w:hideMark/>
          </w:tcPr>
          <w:p w:rsidR="00353C85" w:rsidRPr="00353C85" w:rsidRDefault="00353C85" w:rsidP="00353C85">
            <w:pPr>
              <w:jc w:val="right"/>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1,388,637,540.30</w:t>
            </w:r>
          </w:p>
        </w:tc>
        <w:tc>
          <w:tcPr>
            <w:tcW w:w="1276" w:type="dxa"/>
            <w:tcBorders>
              <w:top w:val="nil"/>
              <w:left w:val="nil"/>
              <w:bottom w:val="single" w:sz="4" w:space="0" w:color="auto"/>
              <w:right w:val="nil"/>
            </w:tcBorders>
            <w:shd w:val="clear" w:color="auto" w:fill="auto"/>
            <w:hideMark/>
          </w:tcPr>
          <w:p w:rsidR="00353C85" w:rsidRPr="00353C85" w:rsidRDefault="00353C85" w:rsidP="00353C85">
            <w:pPr>
              <w:jc w:val="right"/>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583,153,634.40</w:t>
            </w:r>
          </w:p>
        </w:tc>
        <w:tc>
          <w:tcPr>
            <w:tcW w:w="1417" w:type="dxa"/>
            <w:tcBorders>
              <w:top w:val="nil"/>
              <w:left w:val="nil"/>
              <w:bottom w:val="single" w:sz="4" w:space="0" w:color="auto"/>
              <w:right w:val="nil"/>
            </w:tcBorders>
            <w:shd w:val="clear" w:color="auto" w:fill="auto"/>
            <w:hideMark/>
          </w:tcPr>
          <w:p w:rsidR="00353C85" w:rsidRPr="00353C85" w:rsidRDefault="00353C85" w:rsidP="00353C85">
            <w:pPr>
              <w:jc w:val="right"/>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55,449,936.40</w:t>
            </w:r>
          </w:p>
        </w:tc>
        <w:tc>
          <w:tcPr>
            <w:tcW w:w="1276" w:type="dxa"/>
            <w:tcBorders>
              <w:top w:val="nil"/>
              <w:left w:val="nil"/>
              <w:bottom w:val="single" w:sz="4" w:space="0" w:color="auto"/>
              <w:right w:val="nil"/>
            </w:tcBorders>
            <w:shd w:val="clear" w:color="auto" w:fill="auto"/>
            <w:hideMark/>
          </w:tcPr>
          <w:p w:rsidR="00353C85" w:rsidRPr="00353C85" w:rsidRDefault="00353C85" w:rsidP="00353C85">
            <w:pPr>
              <w:jc w:val="right"/>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43,768,549.40</w:t>
            </w:r>
          </w:p>
        </w:tc>
        <w:tc>
          <w:tcPr>
            <w:tcW w:w="1417" w:type="dxa"/>
            <w:tcBorders>
              <w:top w:val="nil"/>
              <w:left w:val="nil"/>
              <w:bottom w:val="single" w:sz="4" w:space="0" w:color="auto"/>
              <w:right w:val="nil"/>
            </w:tcBorders>
            <w:shd w:val="clear" w:color="auto" w:fill="auto"/>
            <w:hideMark/>
          </w:tcPr>
          <w:p w:rsidR="00353C85" w:rsidRPr="00353C85" w:rsidRDefault="00353C85" w:rsidP="00353C85">
            <w:pPr>
              <w:jc w:val="right"/>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2,071,009,660.50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001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ABEJONES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717,523.90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319,997.70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16,751.40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8,737.40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1,063,010.40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002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ACATLAN DE PEREZ FIGUEROA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10,538,404.10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3,848,744.50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672,591.00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374,831.00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15,434,570.60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003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ASUNCION CACALOTEPEC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887,626.00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297,396.00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39,712.00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20,106.00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1,244,840.00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004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ASUNCION CUYOTEPEJI</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501,449.70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228,189.00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14,393.00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9,309.00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753,340.70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005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ASUNCION IXTALTEPEC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5,879,031.50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2,002,387.70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200,280.00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136,193.00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8,217,892.20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006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ASUNCION NOCHIXTLAN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6,203,004.10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2,699,845.00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248,398.00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239,493.00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9,390,740.10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007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ASUNCION OCOTLAN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1,260,930.20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507,661.70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43,102.00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21,049.00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1,832,742.90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008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ASUNCION TLACOLULITA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586,318.30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307,664.30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12,350.00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10,253.00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916,585.60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009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AYOTZINTEPEC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1,781,626.60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1,012,323.90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98,881.00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59,826.00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2,952,657.50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010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EL BARRIO DE LA SOLEDAD</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3,374,964.00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1,257,240.00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181,141.00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130,000.00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4,943,345.00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011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CALIHUALA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607,506.90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237,444.00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19,773.00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9,833.00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874,556.90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012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CANDELARIA LOXICHA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2,345,328.00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614,545.20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161,855.00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84,588.00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3,206,316.20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013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CIENEGA DE ZIMATLAN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1,795,883.60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1,029,049.00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39,072.00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39,515.00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2,903,519.60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014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CIUDAD IXTEPEC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10,866,312.50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3,670,254.40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337,308.00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344,654.00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15,218,528.90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015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COATECAS ALTAS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1,500,438.50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490,829.60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83,926.00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37,971.00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2,113,165.10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016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COICOYAN DE LAS FLORES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2,123,601.80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446,148.00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155,958.00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68,746.00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2,794,453.80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017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LA COMPAÑIA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1,142,982.10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300,267.60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54,245.00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26,609.00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1,524,103.70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018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CONCEPCION BUENAVISTA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565,895.50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274,079.00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12,772.00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9,059.00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861,805.50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019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CONCEPCION PAPALO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1,007,608.70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285,780.00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48,131.00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25,340.00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1,366,859.70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020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CONSTANCIA DEL ROSARIO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1,240,843.40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971,768.20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62,846.00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33,634.00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2,309,091.60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021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COSOLAPA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3,458,785.40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1,213,344.00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207,399.00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118,193.00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4,997,721.40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022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COSOLTEPEC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564,552.20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260,053.40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12,382.00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11,358.00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848,345.60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023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CUILAPAM DE GUERRERO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3,571,547.40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1,883,004.00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254,873.00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148,501.00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5,857,925.40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024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CUYAMECALCO VILLA DE ZARAGOZA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2,127,854.90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1,178,251.20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64,064.00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32,928.00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3,403,098.10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025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CHAHUITES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2,916,136.90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1,394,264.20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159,620.00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98,455.00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4,568,476.10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026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CHALCATONGO DE HIDALGO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2,404,520.00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629,196.00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129,536.00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68,343.00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3,231,595.00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027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CHIQUIHUITLAN DE BENITO JUAREZ</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961,688.80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679,644.00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39,543.00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19,808.00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1,700,683.80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028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HEROICA CIUDAD DE EJUTLA DE CRESPO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5,026,474.60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1,422,000.00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294,516.00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158,582.00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6,901,572.60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029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ELOXOCHITLAN DE FLORES MAGON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1,523,992.70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1,021,344.00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76,785.00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34,353.00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2,656,474.70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030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EL ESPINAL</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7,743,107.70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842,855.60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102,503.00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149,150.00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8,837,616.30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031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TAMAZULAPAM DEL ESPIRITU SANTO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3,172,218.70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567,960.00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114,217.00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59,325.00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3,913,720.70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032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FRESNILLO DE TRUJANO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633,489.00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318,729.60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16,053.00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8,325.00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976,596.60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033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GUADALUPE ETLA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678,582.60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317,488.20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31,545.00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27,713.00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1,055,328.80</w:t>
            </w:r>
          </w:p>
        </w:tc>
      </w:tr>
    </w:tbl>
    <w:p w:rsidR="00353C85" w:rsidRDefault="00353C85"/>
    <w:tbl>
      <w:tblPr>
        <w:tblW w:w="9944" w:type="dxa"/>
        <w:tblInd w:w="49" w:type="dxa"/>
        <w:tblLayout w:type="fixed"/>
        <w:tblCellMar>
          <w:left w:w="70" w:type="dxa"/>
          <w:right w:w="70" w:type="dxa"/>
        </w:tblCellMar>
        <w:tblLook w:val="04A0"/>
      </w:tblPr>
      <w:tblGrid>
        <w:gridCol w:w="420"/>
        <w:gridCol w:w="2720"/>
        <w:gridCol w:w="1418"/>
        <w:gridCol w:w="1276"/>
        <w:gridCol w:w="1417"/>
        <w:gridCol w:w="1276"/>
        <w:gridCol w:w="1417"/>
      </w:tblGrid>
      <w:tr w:rsidR="00353C85" w:rsidRPr="00353C85" w:rsidTr="00A00324">
        <w:trPr>
          <w:trHeight w:val="1650"/>
        </w:trPr>
        <w:tc>
          <w:tcPr>
            <w:tcW w:w="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Pr>
                <w:rFonts w:ascii="Arial" w:hAnsi="Arial" w:cs="Arial"/>
                <w:b/>
                <w:spacing w:val="20"/>
              </w:rPr>
              <w:br w:type="page"/>
            </w:r>
            <w:r w:rsidRPr="00353C85">
              <w:rPr>
                <w:rFonts w:ascii="Arial" w:hAnsi="Arial" w:cs="Arial"/>
                <w:b/>
                <w:bCs/>
                <w:color w:val="000000"/>
                <w:sz w:val="16"/>
                <w:szCs w:val="16"/>
                <w:lang w:val="es-MX" w:eastAsia="es-MX"/>
              </w:rPr>
              <w:t>N.</w:t>
            </w:r>
          </w:p>
        </w:tc>
        <w:tc>
          <w:tcPr>
            <w:tcW w:w="27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MUNICIPIO</w:t>
            </w:r>
          </w:p>
        </w:tc>
        <w:tc>
          <w:tcPr>
            <w:tcW w:w="1418"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Municipal de Participaciones</w:t>
            </w:r>
          </w:p>
        </w:tc>
        <w:tc>
          <w:tcPr>
            <w:tcW w:w="1276"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de Fomento Municipal</w:t>
            </w:r>
          </w:p>
        </w:tc>
        <w:tc>
          <w:tcPr>
            <w:tcW w:w="1417"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de Compensación</w:t>
            </w:r>
          </w:p>
        </w:tc>
        <w:tc>
          <w:tcPr>
            <w:tcW w:w="1276"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Municipal Sobre  el Impuesto a las Ventas Finales de  Gasolina y Diesel</w:t>
            </w:r>
          </w:p>
        </w:tc>
        <w:tc>
          <w:tcPr>
            <w:tcW w:w="1417"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Suma</w:t>
            </w:r>
          </w:p>
        </w:tc>
      </w:tr>
    </w:tbl>
    <w:p w:rsidR="00353C85" w:rsidRDefault="00353C85" w:rsidP="00353C85"/>
    <w:tbl>
      <w:tblPr>
        <w:tblW w:w="9944" w:type="dxa"/>
        <w:tblInd w:w="49" w:type="dxa"/>
        <w:tblLayout w:type="fixed"/>
        <w:tblCellMar>
          <w:left w:w="70" w:type="dxa"/>
          <w:right w:w="70" w:type="dxa"/>
        </w:tblCellMar>
        <w:tblLook w:val="04A0"/>
      </w:tblPr>
      <w:tblGrid>
        <w:gridCol w:w="420"/>
        <w:gridCol w:w="2720"/>
        <w:gridCol w:w="1418"/>
        <w:gridCol w:w="1276"/>
        <w:gridCol w:w="1417"/>
        <w:gridCol w:w="1276"/>
        <w:gridCol w:w="1417"/>
      </w:tblGrid>
      <w:tr w:rsidR="00353C85" w:rsidRPr="00353C85" w:rsidTr="00A00324">
        <w:trPr>
          <w:trHeight w:val="225"/>
        </w:trPr>
        <w:tc>
          <w:tcPr>
            <w:tcW w:w="420" w:type="dxa"/>
            <w:tcBorders>
              <w:top w:val="nil"/>
              <w:left w:val="nil"/>
              <w:bottom w:val="nil"/>
              <w:right w:val="nil"/>
            </w:tcBorders>
            <w:shd w:val="clear" w:color="auto" w:fill="auto"/>
            <w:hideMark/>
          </w:tcPr>
          <w:p w:rsidR="00353C85" w:rsidRPr="00353C85" w:rsidRDefault="00353C85" w:rsidP="00A00324">
            <w:pPr>
              <w:rPr>
                <w:rFonts w:ascii="Arial" w:hAnsi="Arial" w:cs="Arial"/>
                <w:color w:val="000000"/>
                <w:sz w:val="16"/>
                <w:szCs w:val="16"/>
                <w:lang w:val="es-MX" w:eastAsia="es-MX"/>
              </w:rPr>
            </w:pPr>
            <w:r w:rsidRPr="00353C85">
              <w:rPr>
                <w:rFonts w:ascii="Arial" w:hAnsi="Arial" w:cs="Arial"/>
                <w:color w:val="000000"/>
                <w:sz w:val="16"/>
                <w:szCs w:val="16"/>
                <w:lang w:val="es-MX" w:eastAsia="es-MX"/>
              </w:rPr>
              <w:t>034</w:t>
            </w:r>
          </w:p>
        </w:tc>
        <w:tc>
          <w:tcPr>
            <w:tcW w:w="2720" w:type="dxa"/>
            <w:tcBorders>
              <w:top w:val="nil"/>
              <w:left w:val="nil"/>
              <w:bottom w:val="nil"/>
              <w:right w:val="nil"/>
            </w:tcBorders>
            <w:shd w:val="clear" w:color="auto" w:fill="auto"/>
            <w:hideMark/>
          </w:tcPr>
          <w:p w:rsidR="00353C85" w:rsidRPr="00353C85" w:rsidRDefault="00353C85" w:rsidP="00A00324">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GUADALUPE DE RAMIREZ</w:t>
            </w:r>
          </w:p>
        </w:tc>
        <w:tc>
          <w:tcPr>
            <w:tcW w:w="1418" w:type="dxa"/>
            <w:tcBorders>
              <w:top w:val="nil"/>
              <w:left w:val="nil"/>
              <w:bottom w:val="nil"/>
              <w:right w:val="nil"/>
            </w:tcBorders>
            <w:shd w:val="clear" w:color="auto" w:fill="auto"/>
            <w:hideMark/>
          </w:tcPr>
          <w:p w:rsidR="00353C85" w:rsidRPr="00353C85" w:rsidRDefault="00353C85" w:rsidP="00A00324">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666,191.90</w:t>
            </w:r>
          </w:p>
        </w:tc>
        <w:tc>
          <w:tcPr>
            <w:tcW w:w="1276" w:type="dxa"/>
            <w:tcBorders>
              <w:top w:val="nil"/>
              <w:left w:val="nil"/>
              <w:bottom w:val="nil"/>
              <w:right w:val="nil"/>
            </w:tcBorders>
            <w:shd w:val="clear" w:color="auto" w:fill="auto"/>
            <w:hideMark/>
          </w:tcPr>
          <w:p w:rsidR="00353C85" w:rsidRPr="00353C85" w:rsidRDefault="00353C85" w:rsidP="00A00324">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358,069.30</w:t>
            </w:r>
          </w:p>
        </w:tc>
        <w:tc>
          <w:tcPr>
            <w:tcW w:w="1417" w:type="dxa"/>
            <w:tcBorders>
              <w:top w:val="nil"/>
              <w:left w:val="nil"/>
              <w:bottom w:val="nil"/>
              <w:right w:val="nil"/>
            </w:tcBorders>
            <w:shd w:val="clear" w:color="auto" w:fill="auto"/>
            <w:hideMark/>
          </w:tcPr>
          <w:p w:rsidR="00353C85" w:rsidRPr="00353C85" w:rsidRDefault="00353C85" w:rsidP="00A00324">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20,578.00</w:t>
            </w:r>
          </w:p>
        </w:tc>
        <w:tc>
          <w:tcPr>
            <w:tcW w:w="1276" w:type="dxa"/>
            <w:tcBorders>
              <w:top w:val="nil"/>
              <w:left w:val="nil"/>
              <w:bottom w:val="nil"/>
              <w:right w:val="nil"/>
            </w:tcBorders>
            <w:shd w:val="clear" w:color="auto" w:fill="auto"/>
            <w:hideMark/>
          </w:tcPr>
          <w:p w:rsidR="00353C85" w:rsidRPr="00353C85" w:rsidRDefault="00353C85" w:rsidP="00A00324">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11,483.00</w:t>
            </w:r>
          </w:p>
        </w:tc>
        <w:tc>
          <w:tcPr>
            <w:tcW w:w="1417" w:type="dxa"/>
            <w:tcBorders>
              <w:top w:val="nil"/>
              <w:left w:val="nil"/>
              <w:bottom w:val="nil"/>
              <w:right w:val="nil"/>
            </w:tcBorders>
            <w:shd w:val="clear" w:color="auto" w:fill="auto"/>
            <w:hideMark/>
          </w:tcPr>
          <w:p w:rsidR="00353C85" w:rsidRPr="00353C85" w:rsidRDefault="00353C85" w:rsidP="00A00324">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1,056,322.20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035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GUELATAO DE JUAREZ</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320,556.00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290,603.70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6,755.00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5,972.00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623,886.70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036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GUEVEA DE HUMBOLDT</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1,521,075.50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375,768.00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82,529.00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42,971.00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2,022,343.50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037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MESONES HIDALGO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1,296,440.40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338,120.20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73,078.00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35,637.00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1,743,275.60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038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VILLA HIDALGO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777,029.70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411,448.20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33,667.00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18,981.00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1,241,125.90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039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HEROICA CIUDAD DE HUAJUAPAN DE LEON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29,953,986.50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13,890,105.90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907,614.00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1,078,085.00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45,829,791.40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040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HUAUTEPEC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1,590,862.20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390,048.00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104,636.00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48,311.00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2,133,857.20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041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HUAUTLA DE JIMENEZ</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8,451,461.80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4,086,899.70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487,443.00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259,361.00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13,285,165.50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042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IXTLAN DE JUAREZ</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2,646,738.70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750,608.90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112,475.00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87,196.00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3,597,018.60</w:t>
            </w:r>
          </w:p>
        </w:tc>
      </w:tr>
      <w:tr w:rsidR="00353C85" w:rsidRPr="00353C85" w:rsidTr="00353C85">
        <w:trPr>
          <w:trHeight w:val="450"/>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043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HEROICA CIUDAD DE JUCHITAN DE ZARAGOZA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32,231,826.10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12,821,144.30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1,250,044.00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1,001,237.00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47,304,251.40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044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LOMA BONITA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15,563,417.20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7,964,168.70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575,595.00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456,454.00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24,559,634.90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045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MAGDALENA APASCO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1,634,911.90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1,274,771.50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96,871.00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65,803.00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3,072,357.40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046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MAGDALENA JALTEPEC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1,551,048.00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661,845.80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50,511.00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45,963.00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2,309,367.80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047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MAGDALENA JICOTLAN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297,809.10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179,735.10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1,270.00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1,550.00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480,364.20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048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MAGDALENA MIXTEPEC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720,711.80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339,672.00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21,866.00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11,080.00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1,093,329.80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049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MAGDALENA OCOTLAN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598,500.00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269,238.20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17,083.00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12,244.00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897,065.20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050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MAGDALENA PEÑASCO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1,275,142.10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470,982.30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60,860.00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30,444.00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1,837,428.40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051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MAGDALENA TEITIPAC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1,400,766.50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548,171.30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74,699.00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35,200.00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2,058,836.80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052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MAGDALENA TEQUISISTLAN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1,968,252.00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712,195.70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89,686.00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59,762.00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2,829,895.70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053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MAGDALENA TLACOTEPEC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1,987,006.00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1,054,668.00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17,324.00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9,839.00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3,068,837.00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054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MAGDALENA ZAHUATLAN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454,512.00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247,742.50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5,822.00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6,354.00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714,430.50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055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MARISCALA DE JUAREZ</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1,193,903.90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595,323.50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51,968.00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28,448.00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1,869,643.40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056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MARTIRES DE TACUBAYA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616,893.50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235,944.00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22,015.00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11,749.00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886,601.50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057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MATIAS ROMERO AVENDAÑO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13,728,324.00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4,969,452.10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521,754.00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490,195.00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19,709,725.10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058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MAZATLAN VILLA DE FLORES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3,279,458.90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590,604.00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228,164.00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108,265.00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4,206,491.90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059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MIAHUATLAN DE PORFIRIO DIAZ</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12,633,003.90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5,561,269.70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610,397.00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333,517.00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19,138,187.60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060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MIXISTLAN DE LA REFORMA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1,025,820.00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414,143.40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44,318.00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24,738.00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1,509,019.40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061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MONJAS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1,365,399.70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592,391.50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43,091.00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29,211.00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2,030,093.20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062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NATIVIDAD</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471,251.10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246,087.00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7,930.00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5,543.00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730,811.10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063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NAZARENO ETLA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832,603.70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209,041.80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51,138.00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33,050.00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1,125,833.50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064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NEJAPA DE MADERO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2,044,092.00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647,190.20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110,327.00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73,181.00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2,874,790.20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065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IXPANTEPEC NIEVES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739,258.20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418,680.40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18,889.00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11,381.00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1,188,208.60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066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NILTEPEC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2,287,489.40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1,606,373.20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78,998.00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45,726.00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4,018,586.60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067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OAXACA DE JUAREZ</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190,666,920.00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84,435,597.10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3,193,553.00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6,223,375.00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284,519,445.10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068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OCOTLAN DE MORELOS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5,995,743.70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2,690,143.30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300,537.00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171,975.00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9,158,399.00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069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LA PE</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904,523.00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315,951.50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38,440.00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19,943.00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1,278,857.50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070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PINOTEPA DE DON LUIS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1,602,600.80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718,882.10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103,310.00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53,421.00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2,478,213.90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071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PLUMA HIDALGO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1,802,923.40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1,121,520.00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49,987.00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24,659.00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2,999,089.40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072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JOSE DEL PROGRESO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1,588,048.60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424,036.50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102,503.00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53,018.00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2,167,606.10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073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PUTLA VILLA DE GUERRERO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7,900,289.90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2,986,194.10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459,963.00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257,041.00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11,603,488.00</w:t>
            </w:r>
          </w:p>
        </w:tc>
      </w:tr>
    </w:tbl>
    <w:p w:rsidR="00353C85" w:rsidRDefault="00353C85"/>
    <w:tbl>
      <w:tblPr>
        <w:tblW w:w="9944" w:type="dxa"/>
        <w:tblInd w:w="49" w:type="dxa"/>
        <w:tblLayout w:type="fixed"/>
        <w:tblCellMar>
          <w:left w:w="70" w:type="dxa"/>
          <w:right w:w="70" w:type="dxa"/>
        </w:tblCellMar>
        <w:tblLook w:val="04A0"/>
      </w:tblPr>
      <w:tblGrid>
        <w:gridCol w:w="420"/>
        <w:gridCol w:w="2720"/>
        <w:gridCol w:w="1418"/>
        <w:gridCol w:w="1276"/>
        <w:gridCol w:w="1417"/>
        <w:gridCol w:w="1276"/>
        <w:gridCol w:w="1417"/>
      </w:tblGrid>
      <w:tr w:rsidR="00353C85" w:rsidRPr="00353C85" w:rsidTr="00A00324">
        <w:trPr>
          <w:trHeight w:val="1650"/>
        </w:trPr>
        <w:tc>
          <w:tcPr>
            <w:tcW w:w="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Pr>
                <w:rFonts w:ascii="Arial" w:hAnsi="Arial" w:cs="Arial"/>
                <w:b/>
                <w:spacing w:val="20"/>
              </w:rPr>
              <w:br w:type="page"/>
            </w:r>
            <w:r w:rsidRPr="00353C85">
              <w:rPr>
                <w:rFonts w:ascii="Arial" w:hAnsi="Arial" w:cs="Arial"/>
                <w:b/>
                <w:bCs/>
                <w:color w:val="000000"/>
                <w:sz w:val="16"/>
                <w:szCs w:val="16"/>
                <w:lang w:val="es-MX" w:eastAsia="es-MX"/>
              </w:rPr>
              <w:t>N.</w:t>
            </w:r>
          </w:p>
        </w:tc>
        <w:tc>
          <w:tcPr>
            <w:tcW w:w="27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MUNICIPIO</w:t>
            </w:r>
          </w:p>
        </w:tc>
        <w:tc>
          <w:tcPr>
            <w:tcW w:w="1418"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Municipal de Participaciones</w:t>
            </w:r>
          </w:p>
        </w:tc>
        <w:tc>
          <w:tcPr>
            <w:tcW w:w="1276"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de Fomento Municipal</w:t>
            </w:r>
          </w:p>
        </w:tc>
        <w:tc>
          <w:tcPr>
            <w:tcW w:w="1417"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de Compensación</w:t>
            </w:r>
          </w:p>
        </w:tc>
        <w:tc>
          <w:tcPr>
            <w:tcW w:w="1276"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Municipal Sobre  el Impuesto a las Ventas Finales de  Gasolina y Diesel</w:t>
            </w:r>
          </w:p>
        </w:tc>
        <w:tc>
          <w:tcPr>
            <w:tcW w:w="1417"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Suma</w:t>
            </w:r>
          </w:p>
        </w:tc>
      </w:tr>
    </w:tbl>
    <w:p w:rsidR="00353C85" w:rsidRDefault="00353C85" w:rsidP="00353C85"/>
    <w:tbl>
      <w:tblPr>
        <w:tblW w:w="9944" w:type="dxa"/>
        <w:tblInd w:w="49" w:type="dxa"/>
        <w:tblLayout w:type="fixed"/>
        <w:tblCellMar>
          <w:left w:w="70" w:type="dxa"/>
          <w:right w:w="70" w:type="dxa"/>
        </w:tblCellMar>
        <w:tblLook w:val="04A0"/>
      </w:tblPr>
      <w:tblGrid>
        <w:gridCol w:w="420"/>
        <w:gridCol w:w="2720"/>
        <w:gridCol w:w="1418"/>
        <w:gridCol w:w="1276"/>
        <w:gridCol w:w="1417"/>
        <w:gridCol w:w="1276"/>
        <w:gridCol w:w="1417"/>
      </w:tblGrid>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074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CATARINA QUIOQUITANI</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609,337.10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310,776.00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7,534.00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4,509.00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932,156.10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075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REFORMA DE PINEDA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1,969,547.90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856,904.60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38,132.00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23,716.00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2,888,300.50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076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LA REFORMA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1,096,536.00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555,579.90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50,079.00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32,628.00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1,734,822.90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077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REYES ETLA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1,109,837.90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465,294.30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48,447.00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36,338.00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1,659,917.20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078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ROJAS DE CUAUHTEMOC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673,000.40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285,393.10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14,588.00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8,799.00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981,780.50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079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SALINA CRUZ</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31,898,623.20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9,808,027.20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1,022,122.00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1,420,164.00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44,148,936.40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080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AGUSTIN AMATENGO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669,097.60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297,729.20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20,488.00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10,572.00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997,886.80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081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AGUSTIN ATENANGO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729,348.00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272,175.80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29,733.00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17,838.00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1,049,094.80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082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AGUSTIN CHAYUCO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1,229,111.80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334,500.00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60,600.00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32,095.00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1,656,306.80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083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AGUSTIN DE LAS JUNTAS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1,637,904.00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792,719.50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105,140.00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75,839.00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2,611,602.50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084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AGUSTIN ETLA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1,202,828.20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453,868.10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49,205.00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45,430.00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1,751,331.30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085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AGUSTIN LOXICHA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4,545,083.30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729,312.00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394,355.00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181,840.00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5,850,590.30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086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AGUSTIN TLACOTEPEC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566,147.70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298,165.20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13,096.00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8,769.00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886,177.90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087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AGUSTIN YATARENI</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1,033,148.20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717,929.30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59,493.00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36,429.00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1,846,999.50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088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ANDRES CABECERA NUEVA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1,115,604.00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528,478.00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44,935.00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33,230.00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1,722,247.00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089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ANDRES DINICUITI</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748,021.20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230,484.00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31,227.00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17,994.00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1,027,726.20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090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ANDRES HUAXPALTEPEC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1,697,440.30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676,357.50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89,591.00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53,120.00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2,516,508.80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091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ANDRES HUAYAPAM</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1,344,944.90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1,175,859.00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61,556.00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47,087.00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2,629,446.90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092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ANDRES IXTLAHUACA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733,656.00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341,241.40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20,363.00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15,194.00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1,110,454.40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093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ANDRES LAGUNAS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415,193.20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185,313.50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7,198.00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5,325.00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613,029.70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094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ANDRES NUXIÑO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778,207.50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282,887.30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28,676.00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16,375.00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1,106,145.80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095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ANDRES PAXTLAN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1,322,530.50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608,674.40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68,615.00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32,154.00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2,031,973.90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096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ANDRES SINAXTLA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511,281.80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174,099.90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10,338.00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10,292.00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706,011.70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097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ANDRES SOLAGA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685,692.10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305,519.80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25,973.00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15,726.00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1,032,910.90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098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ANDRES TEOTILALPAM</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1,318,456.90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318,396.70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72,247.00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35,674.00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1,744,774.60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099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ANDRES TEPETLAPA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684,200.90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358,081.00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7,559.00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3,827.00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1,053,667.90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100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ANDRES YAA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589,470.70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298,980.00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7,644.00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4,006.00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900,100.70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101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ANDRES ZABACHE</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650,649.40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316,981.20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11,661.00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5,850.00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985,141.60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102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ANDRES ZAUTLA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1,055,582.10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395,214.70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61,600.00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37,229.00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1,549,625.80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103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ANTONINO CASTILLO VELASCO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1,983,381.00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1,013,440.30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85,806.00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84,759.00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3,167,386.30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104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ANTONINO EL ALTO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1,295,645.00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616,381.70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39,337.00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30,116.00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1,981,479.70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105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ANTONINO MONTE VERDE</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1,678,415.90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367,680.00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101,318.00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54,374.00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2,201,787.90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106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ANTONIO ACUTLA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392,940.00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182,049.50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4,404.00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6,464.00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585,857.50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107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ANTONIO DE LA CAL</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4,312,919.60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2,189,842.10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281,200.00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179,808.00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6,963,769.70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108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ANTONIO HUITEPEC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1,275,483.30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353,597.50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68,020.00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37,235.00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1,734,335.80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109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ANTONIO NANAHUATIPAM</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509,887.60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220,070.30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17,132.00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9,936.00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757,025.90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110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ANTONIO SINICAHUA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851,501.20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318,276.20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27,538.00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15,835.00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1,213,150.40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111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ANTONIO TEPETLAPA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1,494,036.10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508,486.00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70,986.00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35,408.00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2,108,916.10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112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BALTAZAR CHICHICAPAM</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2,031,684.00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1,046,373.40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36,660.00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27,312.00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3,142,029.40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113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BALTAZAR LOXICHA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1,233,948.80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913,287.10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43,672.00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32,122.00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2,223,029.90</w:t>
            </w:r>
          </w:p>
        </w:tc>
      </w:tr>
    </w:tbl>
    <w:p w:rsidR="00353C85" w:rsidRDefault="00353C85"/>
    <w:tbl>
      <w:tblPr>
        <w:tblW w:w="9944" w:type="dxa"/>
        <w:tblInd w:w="49" w:type="dxa"/>
        <w:tblLayout w:type="fixed"/>
        <w:tblCellMar>
          <w:left w:w="70" w:type="dxa"/>
          <w:right w:w="70" w:type="dxa"/>
        </w:tblCellMar>
        <w:tblLook w:val="04A0"/>
      </w:tblPr>
      <w:tblGrid>
        <w:gridCol w:w="420"/>
        <w:gridCol w:w="2720"/>
        <w:gridCol w:w="1418"/>
        <w:gridCol w:w="1276"/>
        <w:gridCol w:w="1417"/>
        <w:gridCol w:w="1276"/>
        <w:gridCol w:w="1417"/>
      </w:tblGrid>
      <w:tr w:rsidR="00353C85" w:rsidRPr="00353C85" w:rsidTr="00A00324">
        <w:trPr>
          <w:trHeight w:val="1650"/>
        </w:trPr>
        <w:tc>
          <w:tcPr>
            <w:tcW w:w="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Pr>
                <w:rFonts w:ascii="Arial" w:hAnsi="Arial" w:cs="Arial"/>
                <w:b/>
                <w:spacing w:val="20"/>
              </w:rPr>
              <w:br w:type="page"/>
            </w:r>
            <w:r w:rsidRPr="00353C85">
              <w:rPr>
                <w:rFonts w:ascii="Arial" w:hAnsi="Arial" w:cs="Arial"/>
                <w:b/>
                <w:bCs/>
                <w:color w:val="000000"/>
                <w:sz w:val="16"/>
                <w:szCs w:val="16"/>
                <w:lang w:val="es-MX" w:eastAsia="es-MX"/>
              </w:rPr>
              <w:t>N.</w:t>
            </w:r>
          </w:p>
        </w:tc>
        <w:tc>
          <w:tcPr>
            <w:tcW w:w="27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MUNICIPIO</w:t>
            </w:r>
          </w:p>
        </w:tc>
        <w:tc>
          <w:tcPr>
            <w:tcW w:w="1418"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Municipal de Participaciones</w:t>
            </w:r>
          </w:p>
        </w:tc>
        <w:tc>
          <w:tcPr>
            <w:tcW w:w="1276"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de Fomento Municipal</w:t>
            </w:r>
          </w:p>
        </w:tc>
        <w:tc>
          <w:tcPr>
            <w:tcW w:w="1417"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de Compensación</w:t>
            </w:r>
          </w:p>
        </w:tc>
        <w:tc>
          <w:tcPr>
            <w:tcW w:w="1276"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Municipal Sobre  el Impuesto a las Ventas Finales de  Gasolina y Diesel</w:t>
            </w:r>
          </w:p>
        </w:tc>
        <w:tc>
          <w:tcPr>
            <w:tcW w:w="1417"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Suma</w:t>
            </w:r>
          </w:p>
        </w:tc>
      </w:tr>
    </w:tbl>
    <w:p w:rsidR="00353C85" w:rsidRDefault="00353C85" w:rsidP="00353C85"/>
    <w:tbl>
      <w:tblPr>
        <w:tblW w:w="9944" w:type="dxa"/>
        <w:tblInd w:w="49" w:type="dxa"/>
        <w:tblLayout w:type="fixed"/>
        <w:tblCellMar>
          <w:left w:w="70" w:type="dxa"/>
          <w:right w:w="70" w:type="dxa"/>
        </w:tblCellMar>
        <w:tblLook w:val="04A0"/>
      </w:tblPr>
      <w:tblGrid>
        <w:gridCol w:w="420"/>
        <w:gridCol w:w="2720"/>
        <w:gridCol w:w="1418"/>
        <w:gridCol w:w="1276"/>
        <w:gridCol w:w="1417"/>
        <w:gridCol w:w="1276"/>
        <w:gridCol w:w="1417"/>
      </w:tblGrid>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114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BALTAZAR YATZACHI EL BAJO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507,180.80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216,459.80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10,198.00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5,854.00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739,692.60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115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BARTOLO COYOTEPEC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1,931,370.70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1,072,210.50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111,952.00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110,535.00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3,226,068.20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116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BARTOLOME AYAUTLA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1,246,500.00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364,955.40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68,241.00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34,017.00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1,713,713.40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117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BARTOLOME LOXICHA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894,624.30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363,240.00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38,894.00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20,025.00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1,316,783.30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118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BARTOLOME QUIALANA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2,048,901.40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741,650.80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39,804.00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35,440.00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2,865,796.20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119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BARTOLOME YUCUAÑE</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514,248.00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273,440.20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6,127.00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4,287.00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798,102.20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120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BARTOLOME ZOOGOCHO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555,408.00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301,249.20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5,302.00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4,398.00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866,357.20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121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BARTOLO SOYALTEPEC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557,736.00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237,849.80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9,718.00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7,470.00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812,773.80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122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BARTOLO YAUTEPEC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476,160.00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277,774.90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9,391.00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5,909.00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769,234.90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123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BERNARDO MIXTEPEC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873,475.50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488,154.70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40,858.00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23,442.00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1,425,930.20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124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BLAS ATEMPA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4,214,196.00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1,347,887.60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285,588.00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168,774.00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6,016,445.60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125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CARLOS YAUTEPEC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3,040,671.10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1,345,992.20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186,264.00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95,194.00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4,668,121.30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126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CRISTOBAL AMATLAN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1,366,620.10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541,090.50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82,367.00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42,494.00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2,032,571.60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127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CRISTOBAL AMOLTEPEC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800,917.00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297,768.00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21,870.00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14,088.00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1,134,643.00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128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CRISTOBAL LACHIRIOAG</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658,588.40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380,108.30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17,955.00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10,844.00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1,067,495.70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129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CRISTOBAL SUCHIXTLAHUACA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781,736.10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485,217.10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4,530.00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20,116.00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1,291,599.20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130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DIONISIO DEL MAR</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2,656,668.00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781,080.00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81,153.00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329,181.00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3,848,082.00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131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DIONISIO OCOTEPEC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3,472,030.70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1,427,270.50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163,085.00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97,360.00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5,159,746.20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132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DIONISIO OCOTLAN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803,676.00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353,950.90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17,730.00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17,174.00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1,192,530.90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133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ESTEBAN ATATLAHUCA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1,264,524.60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420,413.50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66,221.00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34,770.00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1,785,929.10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134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FELIPE JALAPA DE DIAZ</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5,402,063.80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1,799,595.70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434,313.00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216,274.00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7,852,246.50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135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FELIPE TEJALAPAM</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1,497,588.00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328,472.50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104,661.00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59,989.00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1,990,710.50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136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FELIPE USILA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2,899,080.00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1,735,855.70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174,835.00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102,730.00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4,912,500.70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137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FRANCISCO CAHUACUA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1,333,717.40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742,772.50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55,330.00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34,597.00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2,166,416.90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138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FRANCISCO CAJONOS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427,632.00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223,539.70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6,854.00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5,101.00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663,126.70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139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FRANCISCO CHAPULAPA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930,848.60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321,180.00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35,550.00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17,213.00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1,304,791.60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140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FRANCISCO CHINDUA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422,769.10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177,996.00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11,873.00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6,664.00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619,302.10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141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FRANCISCO DEL MAR</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1,961,422.60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623,070.50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110,067.00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59,058.00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2,753,618.10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142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FRANCISCO HUEHUETLAN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597,006.20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240,300.00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18,516.00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9,924.00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865,746.20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143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FRANCISCO IXHUATAN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3,003,585.40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1,205,663.90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127,623.00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72,196.00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4,409,068.30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144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FRANCISCO JALTEPETONGO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486,205.30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212,262.50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16,413.00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9,117.00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723,997.80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145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FRANCISCO LACHIGOLO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1,349,124.00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466,416.00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47,835.00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51,725.00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1,915,100.00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146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FRANCISCO LOGUECHE</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1,053,899.40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513,029.70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43,707.00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23,166.00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1,633,802.10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147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FRANCISCO NUXAÑO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690,912.00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386,606.80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5,422.00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9,871.00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1,092,811.80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148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FRANCISCO OZOLOTEPEC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1,068,744.00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460,126.30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31,324.00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28,824.00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1,589,018.30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149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FRANCISCO SOLA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723,306.70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364,125.00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24,738.00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13,453.00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1,125,622.70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150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FRANCISCO TELIXTLAHUACA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2,451,093.30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616,904.90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157,150.00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112,669.00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3,337,817.20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151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FRANCISCO TEOPAN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401,978.90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180,456.00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6,121.00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3,175.00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591,730.90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152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FRANCISCO TLAPANCINGO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792,223.10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289,452.00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35,859.00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17,355.00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1,134,889.10</w:t>
            </w:r>
          </w:p>
        </w:tc>
      </w:tr>
    </w:tbl>
    <w:p w:rsidR="00353C85" w:rsidRDefault="00353C85"/>
    <w:tbl>
      <w:tblPr>
        <w:tblW w:w="9944" w:type="dxa"/>
        <w:tblInd w:w="49" w:type="dxa"/>
        <w:tblLayout w:type="fixed"/>
        <w:tblCellMar>
          <w:left w:w="70" w:type="dxa"/>
          <w:right w:w="70" w:type="dxa"/>
        </w:tblCellMar>
        <w:tblLook w:val="04A0"/>
      </w:tblPr>
      <w:tblGrid>
        <w:gridCol w:w="420"/>
        <w:gridCol w:w="2720"/>
        <w:gridCol w:w="1418"/>
        <w:gridCol w:w="1276"/>
        <w:gridCol w:w="1417"/>
        <w:gridCol w:w="1276"/>
        <w:gridCol w:w="1417"/>
      </w:tblGrid>
      <w:tr w:rsidR="00353C85" w:rsidRPr="00353C85" w:rsidTr="00A00324">
        <w:trPr>
          <w:trHeight w:val="1650"/>
        </w:trPr>
        <w:tc>
          <w:tcPr>
            <w:tcW w:w="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Pr>
                <w:rFonts w:ascii="Arial" w:hAnsi="Arial" w:cs="Arial"/>
                <w:b/>
                <w:spacing w:val="20"/>
              </w:rPr>
              <w:br w:type="page"/>
            </w:r>
            <w:r w:rsidRPr="00353C85">
              <w:rPr>
                <w:rFonts w:ascii="Arial" w:hAnsi="Arial" w:cs="Arial"/>
                <w:b/>
                <w:bCs/>
                <w:color w:val="000000"/>
                <w:sz w:val="16"/>
                <w:szCs w:val="16"/>
                <w:lang w:val="es-MX" w:eastAsia="es-MX"/>
              </w:rPr>
              <w:t>N.</w:t>
            </w:r>
          </w:p>
        </w:tc>
        <w:tc>
          <w:tcPr>
            <w:tcW w:w="27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MUNICIPIO</w:t>
            </w:r>
          </w:p>
        </w:tc>
        <w:tc>
          <w:tcPr>
            <w:tcW w:w="1418"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Municipal de Participaciones</w:t>
            </w:r>
          </w:p>
        </w:tc>
        <w:tc>
          <w:tcPr>
            <w:tcW w:w="1276"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de Fomento Municipal</w:t>
            </w:r>
          </w:p>
        </w:tc>
        <w:tc>
          <w:tcPr>
            <w:tcW w:w="1417"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de Compensación</w:t>
            </w:r>
          </w:p>
        </w:tc>
        <w:tc>
          <w:tcPr>
            <w:tcW w:w="1276"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Municipal Sobre  el Impuesto a las Ventas Finales de  Gasolina y Diesel</w:t>
            </w:r>
          </w:p>
        </w:tc>
        <w:tc>
          <w:tcPr>
            <w:tcW w:w="1417"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Suma</w:t>
            </w:r>
          </w:p>
        </w:tc>
      </w:tr>
    </w:tbl>
    <w:p w:rsidR="00353C85" w:rsidRDefault="00353C85" w:rsidP="00353C85"/>
    <w:tbl>
      <w:tblPr>
        <w:tblW w:w="9944" w:type="dxa"/>
        <w:tblInd w:w="49" w:type="dxa"/>
        <w:tblLayout w:type="fixed"/>
        <w:tblCellMar>
          <w:left w:w="70" w:type="dxa"/>
          <w:right w:w="70" w:type="dxa"/>
        </w:tblCellMar>
        <w:tblLook w:val="04A0"/>
      </w:tblPr>
      <w:tblGrid>
        <w:gridCol w:w="420"/>
        <w:gridCol w:w="2720"/>
        <w:gridCol w:w="1418"/>
        <w:gridCol w:w="1276"/>
        <w:gridCol w:w="1417"/>
        <w:gridCol w:w="1276"/>
        <w:gridCol w:w="1417"/>
      </w:tblGrid>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153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GABRIEL MIXTEPEC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1,195,619.50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298,899.30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71,373.00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39,623.00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1,605,514.80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154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ILDEFONSO AMATLAN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1,064,184.00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470,015.90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37,554.00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24,971.00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1,596,724.90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155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ILDEFONSO SOLA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664,835.20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344,679.90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15,867.00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7,574.00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1,032,956.10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156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ILDEFONSO VILLA ALTA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1,127,387.00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411,924.00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51,268.00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28,027.00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1,618,606.00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157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JACINTO AMILPAS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5,034,264.00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1,356,222.20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163,848.00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196,407.00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6,750,741.20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158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JACINTO TLACOTEPEC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962,100.10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391,824.00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36,965.00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17,979.00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1,408,868.10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159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JERONIMO COATLAN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1,436,292.10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459,587.20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89,938.00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46,877.00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2,032,694.30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160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JERONIMO SILACAYOAPILLA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789,520.30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320,137.90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21,008.00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14,539.00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1,145,205.20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161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JERONIMO SOSOLA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941,742.20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297,670.30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39,136.00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20,731.00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1,299,279.50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162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JERONIMO TAVICHE</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728,695.00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256,236.00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28,748.00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14,892.00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1,028,571.00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163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JERONIMO TECOATL</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687,792.60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545,739.10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26,243.00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12,942.00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1,272,716.70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164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JORGE NUCHITA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963,893.10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502,910.30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50,078.00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26,581.00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1,543,462.40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165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JOSE AYUQUILA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724,741.50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446,055.00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23,288.00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12,176.00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1,206,260.50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166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JOSE CHILTEPEC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2,742,021.10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813,638.60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160,395.00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101,565.00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3,817,619.70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167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JOSE DEL PEÑASCO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767,759.40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331,986.30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32,991.00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16,875.00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1,149,611.70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168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JOSE ESTANCIA GRANDE</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541,908.80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228,840.00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14,892.00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7,873.00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793,513.80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169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JOSE INDEPENDENCIA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1,306,207.00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555,192.00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63,522.00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29,687.00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1,954,608.00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170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JOSE LACHIGUIRI</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1,612,068.00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568,221.90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66,324.00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32,529.00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2,279,142.90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171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JOSE TENANGO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4,262,040.00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1,513,389.50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343,977.00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157,322.00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6,276,728.50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172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ACHIUTLA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269,236.10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119,232.00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6,050.00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3,464.00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397,982.10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173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ATEPEC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659,916.00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286,101.50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22,627.00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13,666.00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982,310.50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174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ANIMAS TRUJANO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997,283.20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509,164.60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46,971.00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30,291.00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1,583,709.80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175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BAUTISTA ATATLAHUCA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726,725.70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362,912.00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26,610.00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14,005.00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1,130,252.70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176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BAUTISTA COIXTLAHUACA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1,267,413.90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491,118.60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43,650.00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22,629.00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1,824,811.50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177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BAUTISTA CUICATLAN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2,363,972.50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530,008.20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138,162.00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76,080.00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3,108,222.70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178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BAUTISTA GUELACHE</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1,315,257.20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267,012.00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82,930.00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50,663.00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1,715,862.20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179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BAUTISTA JAYACATLAN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744,788.00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374,691.90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22,194.00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13,358.00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1,155,031.90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180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BAUTISTA LO DE SOTO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803,103.60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296,028.00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34,647.00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18,735.00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1,152,513.60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181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BAUTISTA SUCHITEPEC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478,397.70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240,326.00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6,172.00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4,601.00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729,496.70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182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BAUTISTA TLACOATZINTEPEC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828,433.30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296,964.00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36,619.00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18,469.00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1,180,485.30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183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BAUTISTA TLACHICHILCO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724,020.00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345,002.30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22,169.00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13,440.00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1,104,631.30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184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BAUTISTA TUXTEPEC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70,935,851.90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36,570,763.50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2,071,324.00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2,204,768.00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111,782,707.40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185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CACAHUATEPEC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1,986,003.50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601,044.00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125,742.00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69,948.00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2,782,737.50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186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CIENEGUILLA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586,621.70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316,566.50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9,052.00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5,138.00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917,378.20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187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COATZOSPAM</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884,568.00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307,720.70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41,652.00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21,604.00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1,255,544.70</w:t>
            </w:r>
          </w:p>
        </w:tc>
      </w:tr>
    </w:tbl>
    <w:p w:rsidR="00353C85" w:rsidRDefault="00353C85"/>
    <w:tbl>
      <w:tblPr>
        <w:tblW w:w="9944" w:type="dxa"/>
        <w:tblInd w:w="49" w:type="dxa"/>
        <w:tblLayout w:type="fixed"/>
        <w:tblCellMar>
          <w:left w:w="70" w:type="dxa"/>
          <w:right w:w="70" w:type="dxa"/>
        </w:tblCellMar>
        <w:tblLook w:val="04A0"/>
      </w:tblPr>
      <w:tblGrid>
        <w:gridCol w:w="420"/>
        <w:gridCol w:w="2720"/>
        <w:gridCol w:w="1418"/>
        <w:gridCol w:w="1276"/>
        <w:gridCol w:w="1417"/>
        <w:gridCol w:w="1276"/>
        <w:gridCol w:w="1417"/>
      </w:tblGrid>
      <w:tr w:rsidR="00353C85" w:rsidRPr="00353C85" w:rsidTr="00A00324">
        <w:trPr>
          <w:trHeight w:val="1650"/>
        </w:trPr>
        <w:tc>
          <w:tcPr>
            <w:tcW w:w="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Pr>
                <w:rFonts w:ascii="Arial" w:hAnsi="Arial" w:cs="Arial"/>
                <w:b/>
                <w:spacing w:val="20"/>
              </w:rPr>
              <w:br w:type="page"/>
            </w:r>
            <w:r w:rsidRPr="00353C85">
              <w:rPr>
                <w:rFonts w:ascii="Arial" w:hAnsi="Arial" w:cs="Arial"/>
                <w:b/>
                <w:bCs/>
                <w:color w:val="000000"/>
                <w:sz w:val="16"/>
                <w:szCs w:val="16"/>
                <w:lang w:val="es-MX" w:eastAsia="es-MX"/>
              </w:rPr>
              <w:t>N.</w:t>
            </w:r>
          </w:p>
        </w:tc>
        <w:tc>
          <w:tcPr>
            <w:tcW w:w="27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MUNICIPIO</w:t>
            </w:r>
          </w:p>
        </w:tc>
        <w:tc>
          <w:tcPr>
            <w:tcW w:w="1418"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Municipal de Participaciones</w:t>
            </w:r>
          </w:p>
        </w:tc>
        <w:tc>
          <w:tcPr>
            <w:tcW w:w="1276"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de Fomento Municipal</w:t>
            </w:r>
          </w:p>
        </w:tc>
        <w:tc>
          <w:tcPr>
            <w:tcW w:w="1417"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de Compensación</w:t>
            </w:r>
          </w:p>
        </w:tc>
        <w:tc>
          <w:tcPr>
            <w:tcW w:w="1276"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Municipal Sobre  el Impuesto a las Ventas Finales de  Gasolina y Diesel</w:t>
            </w:r>
          </w:p>
        </w:tc>
        <w:tc>
          <w:tcPr>
            <w:tcW w:w="1417"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Suma</w:t>
            </w:r>
          </w:p>
        </w:tc>
      </w:tr>
    </w:tbl>
    <w:p w:rsidR="00353C85" w:rsidRDefault="00353C85" w:rsidP="00353C85"/>
    <w:tbl>
      <w:tblPr>
        <w:tblW w:w="9944" w:type="dxa"/>
        <w:tblInd w:w="49" w:type="dxa"/>
        <w:tblLayout w:type="fixed"/>
        <w:tblCellMar>
          <w:left w:w="70" w:type="dxa"/>
          <w:right w:w="70" w:type="dxa"/>
        </w:tblCellMar>
        <w:tblLook w:val="04A0"/>
      </w:tblPr>
      <w:tblGrid>
        <w:gridCol w:w="420"/>
        <w:gridCol w:w="2720"/>
        <w:gridCol w:w="1418"/>
        <w:gridCol w:w="1276"/>
        <w:gridCol w:w="1417"/>
        <w:gridCol w:w="1276"/>
        <w:gridCol w:w="1417"/>
      </w:tblGrid>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188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COLORADO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2,081,938.20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420,348.00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148,408.00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76,507.00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2,727,201.20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189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COMALTEPEC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875,853.00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261,660.00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43,497.00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20,282.00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1,201,292.00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190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COTZOCON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4,856,047.50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911,225.50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338,671.00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180,155.00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6,286,099.00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191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CHICOMEZUCHIL</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278,733.20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133,698.80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4,482.00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2,580.00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419,494.00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192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CHILATECA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655,928.70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314,295.80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18,908.00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14,196.00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1,003,328.50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193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DEL ESTADO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744,444.20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257,037.30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35,890.00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20,517.00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1,057,888.50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194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DEL RIO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856,416.80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351,824.50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17,913.00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9,920.00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1,236,074.30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195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DIUXI</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931,898.50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394,921.90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20,357.00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15,854.00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1,363,031.40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196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EVANGELISTA ANALCO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433,260.00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219,722.10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5,562.00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4,168.00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662,712.10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197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GUELAVIA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1,464,540.00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667,630.40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44,769.00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37,828.00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2,214,767.40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198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GUICHICOVI</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6,390,391.70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3,883,765.00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444,620.00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226,780.00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10,945,556.70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199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IHUALTEPEC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549,992.80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256,281.10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11,948.00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5,944.00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824,165.90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200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JUQUILA MIXES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1,213,332.00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353,861.70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61,636.00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35,127.00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1,663,956.70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201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JUQUILA VIJANOS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715,040.90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227,868.00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29,006.00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14,763.00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986,677.90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202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LACHAO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1,339,624.60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477,379.80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71,650.00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39,002.00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1,927,656.40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203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LACHIGALLA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1,152,670.40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378,230.70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55,443.00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26,472.00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1,612,816.10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204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LAJARCIA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429,411.70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229,387.90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10,198.00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6,112.00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675,109.60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205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LALANA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4,100,631.90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1,650,688.80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282,775.00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140,200.00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6,174,295.70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206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DE LOS CUES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738,892.90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238,548.00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34,588.00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18,994.00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1,031,022.90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207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MAZATLAN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4,228,475.50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1,273,242.10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298,708.00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153,888.00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5,954,313.60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208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MIXTEPEC - DTO. 08 -</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2,106,609.80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511,840.60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122,009.00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61,556.00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2,802,015.40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209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MIXTEPEC - DTO. 26 -</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699,333.80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363,858.50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11,402.00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6,780.00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1,081,374.30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210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ÑUMI</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1,775,134.70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371,292.00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103,023.00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53,976.00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2,303,425.70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211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OZOLOTEPEC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1,026,899.60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402,492.00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51,786.00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25,529.00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1,506,706.60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212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PETLAPA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1,074,406.10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326,124.00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55,388.00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22,621.00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1,478,539.10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213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QUIAHIJE</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1,359,552.80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545,332.10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57,173.00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31,079.00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1,993,136.90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214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QUIOTEPEC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893,106.10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263,676.00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37,334.00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19,126.00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1,213,242.10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215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SAYULTEPEC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465,256.40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276,010.80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10,573.00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9,004.00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760,844.20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216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TABAA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749,866.30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379,539.40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20,149.00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15,219.00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1,164,773.70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217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TAMAZOLA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1,282,194.90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355,670.10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57,457.00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31,506.00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1,726,828.00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218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TEITA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564,918.70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302,783.70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9,840.00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5,487.00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883,029.40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219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TEITIPAC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1,060,752.80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444,468.00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40,138.00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20,671.00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1,566,029.80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220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TEPEUXILA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1,075,718.40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435,321.70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41,619.00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22,346.00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1,575,005.10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221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TEPOSCOLULA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581,398.90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310,599.50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19,977.00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12,663.00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924,638.40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222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YAEE</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667,619.80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289,108.00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23,513.00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12,511.00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992,751.80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223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YATZONA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500,069.50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416,349.00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6,685.00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4,195.00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927,298.50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224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YUCUITA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383,689.60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228,324.00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9,537.00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5,511.00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627,061.60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225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LORENZO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1,579,796.60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373,500.00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98,527.00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47,990.00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2,099,813.60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226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LORENZO ALBARRADAS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861,183.60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616,601.70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41,379.00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22,754.00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1,541,918.30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227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LORENZO CACAOTEPEC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3,331,932.00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1,417,446.20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173,681.00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139,193.00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5,062,252.20</w:t>
            </w:r>
          </w:p>
        </w:tc>
      </w:tr>
    </w:tbl>
    <w:p w:rsidR="00353C85" w:rsidRDefault="00353C85"/>
    <w:tbl>
      <w:tblPr>
        <w:tblW w:w="9944" w:type="dxa"/>
        <w:tblInd w:w="49" w:type="dxa"/>
        <w:tblLayout w:type="fixed"/>
        <w:tblCellMar>
          <w:left w:w="70" w:type="dxa"/>
          <w:right w:w="70" w:type="dxa"/>
        </w:tblCellMar>
        <w:tblLook w:val="04A0"/>
      </w:tblPr>
      <w:tblGrid>
        <w:gridCol w:w="420"/>
        <w:gridCol w:w="2720"/>
        <w:gridCol w:w="1418"/>
        <w:gridCol w:w="1276"/>
        <w:gridCol w:w="1417"/>
        <w:gridCol w:w="1276"/>
        <w:gridCol w:w="1417"/>
      </w:tblGrid>
      <w:tr w:rsidR="00353C85" w:rsidRPr="00353C85" w:rsidTr="00A00324">
        <w:trPr>
          <w:trHeight w:val="1650"/>
        </w:trPr>
        <w:tc>
          <w:tcPr>
            <w:tcW w:w="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Pr>
                <w:rFonts w:ascii="Arial" w:hAnsi="Arial" w:cs="Arial"/>
                <w:b/>
                <w:spacing w:val="20"/>
              </w:rPr>
              <w:br w:type="page"/>
            </w:r>
            <w:r w:rsidRPr="00353C85">
              <w:rPr>
                <w:rFonts w:ascii="Arial" w:hAnsi="Arial" w:cs="Arial"/>
                <w:b/>
                <w:bCs/>
                <w:color w:val="000000"/>
                <w:sz w:val="16"/>
                <w:szCs w:val="16"/>
                <w:lang w:val="es-MX" w:eastAsia="es-MX"/>
              </w:rPr>
              <w:t>N.</w:t>
            </w:r>
          </w:p>
        </w:tc>
        <w:tc>
          <w:tcPr>
            <w:tcW w:w="27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MUNICIPIO</w:t>
            </w:r>
          </w:p>
        </w:tc>
        <w:tc>
          <w:tcPr>
            <w:tcW w:w="1418"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Municipal de Participaciones</w:t>
            </w:r>
          </w:p>
        </w:tc>
        <w:tc>
          <w:tcPr>
            <w:tcW w:w="1276"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de Fomento Municipal</w:t>
            </w:r>
          </w:p>
        </w:tc>
        <w:tc>
          <w:tcPr>
            <w:tcW w:w="1417"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de Compensación</w:t>
            </w:r>
          </w:p>
        </w:tc>
        <w:tc>
          <w:tcPr>
            <w:tcW w:w="1276"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Municipal Sobre  el Impuesto a las Ventas Finales de  Gasolina y Diesel</w:t>
            </w:r>
          </w:p>
        </w:tc>
        <w:tc>
          <w:tcPr>
            <w:tcW w:w="1417"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Suma</w:t>
            </w:r>
          </w:p>
        </w:tc>
      </w:tr>
    </w:tbl>
    <w:p w:rsidR="00353C85" w:rsidRDefault="00353C85" w:rsidP="00353C85"/>
    <w:tbl>
      <w:tblPr>
        <w:tblW w:w="9944" w:type="dxa"/>
        <w:tblInd w:w="49" w:type="dxa"/>
        <w:tblLayout w:type="fixed"/>
        <w:tblCellMar>
          <w:left w:w="70" w:type="dxa"/>
          <w:right w:w="70" w:type="dxa"/>
        </w:tblCellMar>
        <w:tblLook w:val="04A0"/>
      </w:tblPr>
      <w:tblGrid>
        <w:gridCol w:w="420"/>
        <w:gridCol w:w="2720"/>
        <w:gridCol w:w="1418"/>
        <w:gridCol w:w="1276"/>
        <w:gridCol w:w="1417"/>
        <w:gridCol w:w="1276"/>
        <w:gridCol w:w="1417"/>
      </w:tblGrid>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228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LORENZO CUAUNECUILTITLA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703,407.40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336,207.90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12,495.00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6,213.00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1,058,323.30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229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LORENZO TEXMELUCAN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1,826,486.50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485,877.40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119,452.00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57,931.00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2,489,746.90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230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LORENZO VICTORIA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526,668.00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235,339.40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15,075.00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9,031.00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786,113.40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231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LUCAS CAMOTLAN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985,914.20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330,240.00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51,640.00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24,385.00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1,392,179.20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232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LUCAS OJITLAN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5,942,329.70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1,784,369.80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355,062.00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187,568.00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8,269,329.50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233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LUCAS QUIAVINI</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1,005,375.10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771,601.20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28,340.00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21,145.00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1,826,461.30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234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LUCAS ZOQUIAPAM</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1,919,109.00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410,568.00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128,477.00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60,873.00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2,519,027.00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235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LUIS AMATLAN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1,368,223.20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580,640.10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59,528.00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32,675.00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2,041,066.30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236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MARCIAL OZOLOTEPEC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887,242.10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492,253.00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26,334.00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16,789.00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1,422,618.10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237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MARCOS ARTEAGA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744,406.70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329,928.00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22,043.00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12,547.00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1,108,924.70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238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MARTIN DE LOS CANSECOS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667,088.20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346,210.20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11,975.00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6,576.00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1,031,849.40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239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MARTIN HUAMELULPAM</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520,668.00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226,419.00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15,752.00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12,974.00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775,813.00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240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MARTIN ITUNYOSO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974,134.50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331,788.00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43,131.00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20,286.00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1,369,339.50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241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MARTIN LACHILA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625,348.40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323,986.20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16,439.00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10,919.00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976,692.60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242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MARTIN PERAS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2,866,241.30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481,464.00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200,270.00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91,552.00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3,639,527.30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243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MARTIN TILCAJETE</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957,281.10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513,145.20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24,272.00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17,577.00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1,512,275.30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244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MARTIN TOXPALAN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993,438.40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305,616.00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53,432.00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29,567.00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1,382,053.40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245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MARTIN ZACATEPEC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581,436.10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211,020.00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19,471.00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10,290.00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822,217.10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246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MATEO CAJONOS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507,865.60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243,600.00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9,547.00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5,054.00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766,066.60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247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CAPULALPAM DE MENDEZ</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1,007,784.00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336,538.50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18,704.00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42,411.00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1,405,437.50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248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MATEO DEL MAR</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2,954,553.80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1,010,340.00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252,804.00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114,849.00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4,332,546.80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249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MATEO YOLOXOCHITLAN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1,024,345.90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502,133.70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55,172.00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28,938.00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1,610,589.60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250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MATEO ETLATONGO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977,649.40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372,136.90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16,873.00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17,952.00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1,384,611.30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251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MATEO NEJAPAM</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774,237.30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371,357.90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18,924.00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10,874.00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1,175,393.20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252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MATEO PEÑASCO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823,099.60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299,076.00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33,232.00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17,052.00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1,172,459.60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253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MATEO PIÑAS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1,066,841.40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426,950.60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37,656.00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17,938.00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1,549,386.00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254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MATEO RIO HONDO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1,171,096.30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508,062.40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53,589.00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26,657.00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1,759,404.70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255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MATEO SINDIHUI</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871,860.00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281,676.00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34,875.00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20,564.00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1,208,975.00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256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MATEO TLAPILTEPEC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459,524.70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230,677.40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3,417.00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2,648.00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696,267.10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257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MELCHOR BETAZA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678,672.00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315,757.30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17,454.00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8,848.00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1,020,731.30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258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MIGUEL ACHIUTLA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534,677.20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281,551.50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11,073.00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7,206.00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834,507.70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259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MIGUEL AHUEHUETITLAN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1,054,812.00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612,659.50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41,045.00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21,732.00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1,730,248.50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260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MIGUEL ALOAPAM</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837,854.40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280,331.70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39,028.00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20,515.00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1,177,729.10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261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MIGUEL AMATITLAN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1,773,322.30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1,745,389.00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116,518.00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58,376.00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3,693,605.30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262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MIGUEL AMATLAN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483,252.00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172,877.60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14,776.00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13,626.00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684,531.60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263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MIGUEL COATLAN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1,244,478.30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516,988.20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60,633.00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30,588.00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1,852,687.50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264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MIGUEL CHICAHUA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901,047.80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526,656.00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36,579.00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18,529.00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1,482,811.80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265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MIGUEL CHIMALAPA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1,779,309.30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363,036.00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104,816.00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53,250.00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2,300,411.30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266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MIGUEL DEL PUERTO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2,206,426.50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3,447,332.00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134,565.00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77,222.00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5,865,545.50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267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MIGUEL DEL RIO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394,512.00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209,212.80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4,044.00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2,890.00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610,658.80</w:t>
            </w:r>
          </w:p>
        </w:tc>
      </w:tr>
      <w:tr w:rsidR="00353C85" w:rsidRPr="00353C85" w:rsidTr="00A00324">
        <w:trPr>
          <w:trHeight w:val="1650"/>
        </w:trPr>
        <w:tc>
          <w:tcPr>
            <w:tcW w:w="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Pr>
                <w:rFonts w:ascii="Arial" w:hAnsi="Arial" w:cs="Arial"/>
                <w:b/>
                <w:spacing w:val="20"/>
              </w:rPr>
              <w:lastRenderedPageBreak/>
              <w:br w:type="page"/>
            </w:r>
            <w:r w:rsidRPr="00353C85">
              <w:rPr>
                <w:rFonts w:ascii="Arial" w:hAnsi="Arial" w:cs="Arial"/>
                <w:b/>
                <w:bCs/>
                <w:color w:val="000000"/>
                <w:sz w:val="16"/>
                <w:szCs w:val="16"/>
                <w:lang w:val="es-MX" w:eastAsia="es-MX"/>
              </w:rPr>
              <w:t>N.</w:t>
            </w:r>
          </w:p>
        </w:tc>
        <w:tc>
          <w:tcPr>
            <w:tcW w:w="27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MUNICIPIO</w:t>
            </w:r>
          </w:p>
        </w:tc>
        <w:tc>
          <w:tcPr>
            <w:tcW w:w="1418"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Municipal de Participaciones</w:t>
            </w:r>
          </w:p>
        </w:tc>
        <w:tc>
          <w:tcPr>
            <w:tcW w:w="1276"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de Fomento Municipal</w:t>
            </w:r>
          </w:p>
        </w:tc>
        <w:tc>
          <w:tcPr>
            <w:tcW w:w="1417"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de Compensación</w:t>
            </w:r>
          </w:p>
        </w:tc>
        <w:tc>
          <w:tcPr>
            <w:tcW w:w="1276"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Municipal Sobre  el Impuesto a las Ventas Finales de  Gasolina y Diesel</w:t>
            </w:r>
          </w:p>
        </w:tc>
        <w:tc>
          <w:tcPr>
            <w:tcW w:w="1417"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Suma</w:t>
            </w:r>
          </w:p>
        </w:tc>
      </w:tr>
    </w:tbl>
    <w:p w:rsidR="00353C85" w:rsidRDefault="00353C85" w:rsidP="00353C85"/>
    <w:tbl>
      <w:tblPr>
        <w:tblW w:w="9944" w:type="dxa"/>
        <w:tblInd w:w="49" w:type="dxa"/>
        <w:tblLayout w:type="fixed"/>
        <w:tblCellMar>
          <w:left w:w="70" w:type="dxa"/>
          <w:right w:w="70" w:type="dxa"/>
        </w:tblCellMar>
        <w:tblLook w:val="04A0"/>
      </w:tblPr>
      <w:tblGrid>
        <w:gridCol w:w="420"/>
        <w:gridCol w:w="2720"/>
        <w:gridCol w:w="1418"/>
        <w:gridCol w:w="1276"/>
        <w:gridCol w:w="1417"/>
        <w:gridCol w:w="1276"/>
        <w:gridCol w:w="1417"/>
      </w:tblGrid>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268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MIGUEL EJUTLA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587,984.00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273,649.00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13,526.00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11,024.00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886,183.00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269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MIGUEL EL GRANDE</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1,819,018.90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1,368,858.20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59,664.00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34,611.00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3,282,152.10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270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MIGUEL HUAUTLA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695,207.40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331,185.70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23,645.00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11,275.00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1,061,313.10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271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MIGUEL MIXTEPEC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971,127.00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291,504.00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54,524.00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26,621.00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1,343,776.00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272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MIGUEL PANIXTLAHUACA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1,534,548.00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391,771.30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92,460.00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57,057.00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2,075,836.30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273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MIGUEL PERAS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1,120,163.80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477,764.90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59,240.00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30,043.00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1,687,211.70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274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MIGUEL PIEDRAS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723,828.90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300,192.00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21,990.00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10,444.00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1,056,454.90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275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MIGUEL QUETZALTEPEC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1,705,489.80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391,788.00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115,756.00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60,035.00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2,273,068.80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276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MIGUEL SANTA FLOR</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766,249.90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436,644.90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13,379.00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6,456.00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1,222,729.80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277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VILLA SOLA DE VEGA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3,854,593.00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1,521,683.20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208,948.00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111,756.00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5,696,980.20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278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MIGUEL SOYALTEPEC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8,012,280.50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3,452,093.20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575,683.00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312,761.00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12,352,817.70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279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MIGUEL SUCHIXTEPEC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988,701.30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440,186.80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44,914.00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24,227.00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1,498,029.10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280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VILLA TALEA DE CASTRO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1,020,800.80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453,035.50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34,380.00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22,220.00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1,530,436.30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281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MIGUEL TECOMATLAN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443,777.80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187,267.20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4,312.00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6,081.00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641,438.00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282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MIGUEL TENANGO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545,653.60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208,356.00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12,385.00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6,497.00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772,891.60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283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MIGUEL TEQUIXTEPEC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611,652.00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333,647.10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15,426.00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13,028.00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973,753.10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284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MIGUEL TILQUIAPAM</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1,986,756.00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895,958.60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53,722.00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26,960.00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2,963,396.60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285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MIGUEL TLACAMAMA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1,057,768.40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506,853.20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52,444.00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27,286.00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1,644,351.60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286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MIGUEL TLACOTEPEC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1,296,846.90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581,786.60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49,429.00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25,949.00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1,954,011.50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287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MIGUEL TULANCINGO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437,316.00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195,265.70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5,081.00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7,096.00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644,758.70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288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MIGUEL YOTAO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539,287.40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377,430.90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9,380.00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4,977.00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931,075.30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289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NICOLAS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668,674.80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296,556.00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17,138.00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9,210.00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991,578.80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290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NICOLAS HIDALGO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526,669.30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237,048.60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15,017.00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8,155.00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786,889.90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291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PABLO COATLAN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1,207,129.10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343,620.00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65,204.00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33,581.00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1,649,534.10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292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PABLO CUATRO VENADOS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716,496.00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296,535.50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23,015.00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12,086.00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1,048,132.50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293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PABLO ETLA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4,228,080.00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1,995,385.50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186,699.00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227,625.00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6,637,789.50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294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PABLO HUITZO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1,599,012.00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874,866.10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81,819.00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69,153.00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2,624,850.10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295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PABLO HUIXTEPEC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3,157,596.00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1,609,173.40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120,031.00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118,927.00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5,005,727.40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296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PABLO MACUILTIANGUIS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545,148.00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262,950.50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13,759.00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11,107.00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832,964.50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297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PABLO TIJALTEPEC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850,320.00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359,377.10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35,991.00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23,452.00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1,269,140.10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298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PABLO VILLA DE MITLA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3,191,256.00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1,122,975.60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171,100.00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109,776.00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4,595,107.60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299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PABLO YAGANIZA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672,084.00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292,968.00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16,693.00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13,865.00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995,610.00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300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AMUZGOS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1,521,489.50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576,958.20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100,678.00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52,122.00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2,251,247.70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301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APOSTOL</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1,406,932.20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757,641.20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24,301.00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19,339.00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2,208,213.40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302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ATOYAC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1,455,470.10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404,128.90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65,869.00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35,935.00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1,961,403.00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303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CAJONOS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532,128.00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204,840.00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17,553.00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9,859.00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764,380.00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304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COXCALTEPEC CANTAROS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544,772.10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245,784.00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13,456.00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6,857.00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810,869.10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305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COMITANCILLO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1,130,445.10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587,181.40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51,147.00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40,615.00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1,809,388.50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306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EL ALTO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1,232,921.80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547,596.00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64,098.00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31,452.00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1,876,067.80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307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HUAMELULA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2,132,114.20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393,237.10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140,891.00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77,312.00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2,743,554.30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308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HUILOTEPEC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1,115,363.90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829,768.20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41,577.00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22,878.00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2,009,587.10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309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IXCATLAN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2,734,308.20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916,598.50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167,734.00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83,575.00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3,902,215.70</w:t>
            </w:r>
          </w:p>
        </w:tc>
      </w:tr>
    </w:tbl>
    <w:p w:rsidR="00353C85" w:rsidRDefault="00353C85"/>
    <w:tbl>
      <w:tblPr>
        <w:tblW w:w="9944" w:type="dxa"/>
        <w:tblInd w:w="49" w:type="dxa"/>
        <w:tblLayout w:type="fixed"/>
        <w:tblCellMar>
          <w:left w:w="70" w:type="dxa"/>
          <w:right w:w="70" w:type="dxa"/>
        </w:tblCellMar>
        <w:tblLook w:val="04A0"/>
      </w:tblPr>
      <w:tblGrid>
        <w:gridCol w:w="420"/>
        <w:gridCol w:w="2720"/>
        <w:gridCol w:w="1418"/>
        <w:gridCol w:w="1276"/>
        <w:gridCol w:w="1417"/>
        <w:gridCol w:w="1276"/>
        <w:gridCol w:w="1417"/>
      </w:tblGrid>
      <w:tr w:rsidR="00353C85" w:rsidRPr="00353C85" w:rsidTr="00A00324">
        <w:trPr>
          <w:trHeight w:val="1650"/>
        </w:trPr>
        <w:tc>
          <w:tcPr>
            <w:tcW w:w="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Pr>
                <w:rFonts w:ascii="Arial" w:hAnsi="Arial" w:cs="Arial"/>
                <w:b/>
                <w:spacing w:val="20"/>
              </w:rPr>
              <w:br w:type="page"/>
            </w:r>
            <w:r w:rsidRPr="00353C85">
              <w:rPr>
                <w:rFonts w:ascii="Arial" w:hAnsi="Arial" w:cs="Arial"/>
                <w:b/>
                <w:bCs/>
                <w:color w:val="000000"/>
                <w:sz w:val="16"/>
                <w:szCs w:val="16"/>
                <w:lang w:val="es-MX" w:eastAsia="es-MX"/>
              </w:rPr>
              <w:t>N.</w:t>
            </w:r>
          </w:p>
        </w:tc>
        <w:tc>
          <w:tcPr>
            <w:tcW w:w="27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MUNICIPIO</w:t>
            </w:r>
          </w:p>
        </w:tc>
        <w:tc>
          <w:tcPr>
            <w:tcW w:w="1418"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Municipal de Participaciones</w:t>
            </w:r>
          </w:p>
        </w:tc>
        <w:tc>
          <w:tcPr>
            <w:tcW w:w="1276"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de Fomento Municipal</w:t>
            </w:r>
          </w:p>
        </w:tc>
        <w:tc>
          <w:tcPr>
            <w:tcW w:w="1417"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de Compensación</w:t>
            </w:r>
          </w:p>
        </w:tc>
        <w:tc>
          <w:tcPr>
            <w:tcW w:w="1276"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Municipal Sobre  el Impuesto a las Ventas Finales de  Gasolina y Diesel</w:t>
            </w:r>
          </w:p>
        </w:tc>
        <w:tc>
          <w:tcPr>
            <w:tcW w:w="1417"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Suma</w:t>
            </w:r>
          </w:p>
        </w:tc>
      </w:tr>
    </w:tbl>
    <w:p w:rsidR="00353C85" w:rsidRDefault="00353C85" w:rsidP="00353C85"/>
    <w:tbl>
      <w:tblPr>
        <w:tblW w:w="9944" w:type="dxa"/>
        <w:tblInd w:w="49" w:type="dxa"/>
        <w:tblLayout w:type="fixed"/>
        <w:tblCellMar>
          <w:left w:w="70" w:type="dxa"/>
          <w:right w:w="70" w:type="dxa"/>
        </w:tblCellMar>
        <w:tblLook w:val="04A0"/>
      </w:tblPr>
      <w:tblGrid>
        <w:gridCol w:w="420"/>
        <w:gridCol w:w="2720"/>
        <w:gridCol w:w="1418"/>
        <w:gridCol w:w="1276"/>
        <w:gridCol w:w="1417"/>
        <w:gridCol w:w="1276"/>
        <w:gridCol w:w="1417"/>
      </w:tblGrid>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310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IXTLAHUACA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1,593,623.90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643,254.00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99,256.00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62,890.00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2,399,023.90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311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JALTEPETONGO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626,735.80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319,814.30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7,067.00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5,233.00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958,850.10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312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JICAYAN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2,526,295.60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539,513.00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192,248.00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95,171.00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3,353,227.60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313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JOCOTIPAC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675,425.00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316,212.00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13,332.00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6,722.00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1,011,691.00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314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JUCHATENGO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813,341.50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388,172.80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24,401.00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22,629.00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1,248,544.30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315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MARTIR</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857,952.00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431,689.30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29,330.00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15,804.00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1,334,775.30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316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MARTIR QUIECHAPA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699,520.90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361,114.20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11,258.00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6,068.00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1,077,961.10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317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MARTIR YUCUXACO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758,988.00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371,064.70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20,990.00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16,161.00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1,167,203.70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318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MIXTEPEC - DTO. 22 -</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14,834,308.40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5,142,317.90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574,168.00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559,498.00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21,110,292.30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319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MIXTEPEC - DTO. 26 -</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423,582.70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148,788.00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17,225.00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8,856.00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598,451.70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320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MOLINOS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407,786.40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161,268.00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10,666.00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5,909.00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585,629.40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321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NOPALA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562,546.50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230,555.80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13,578.00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7,550.00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814,230.30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322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OCOPETATILLO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697,461.50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336,516.00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14,591.00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7,123.00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1,055,691.50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323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OCOTEPEC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880,136.00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269,628.00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34,391.00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18,128.00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1,202,283.00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324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POCHUTLA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9,840,415.80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2,780,585.00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654,929.00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353,444.00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13,629,373.80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325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QUIATONI</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2,602,678.20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1,171,920.00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173,411.00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89,534.00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4,037,543.20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326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SOCHIAPAM</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1,690,901.10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957,834.20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78,974.00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44,467.00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2,772,176.30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327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TAPANATEPEC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7,542,802.20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3,369,572.90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202,010.00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154,691.00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11,269,076.10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328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TAVICHE</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603,216.00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246,384.00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19,011.00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9,931.00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878,542.00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329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TEOZACOALCO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705,948.00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258,177.00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20,991.00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16,017.00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1,001,133.00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330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TEUTILA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1,219,440.00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343,468.10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67,909.00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35,014.00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1,665,831.10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331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TIDAA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796,436.70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355,816.50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13,908.00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13,045.00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1,179,206.20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332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TOPILTEPEC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342,135.30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153,012.00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5,849.00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3,272.00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504,268.30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333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TOTOLAPAM</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918,504.00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235,762.70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36,418.00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29,996.00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1,220,680.70</w:t>
            </w:r>
          </w:p>
        </w:tc>
      </w:tr>
      <w:tr w:rsidR="00353C85" w:rsidRPr="00353C85" w:rsidTr="00353C85">
        <w:trPr>
          <w:trHeight w:val="450"/>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334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VILLA DE TUTUTEPEC DE MELCHOR OCAMPO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9,032,536.30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2,278,414.00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655,763.00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353,871.00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12,320,584.30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335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YANERI</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687,279.10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303,156.00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16,268.00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8,608.00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1,015,311.10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336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YOLOX</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1,138,488.00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537,105.60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36,528.00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26,134.00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1,738,255.60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337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Y SAN PABLO AYUTLA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1,753,251.30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635,028.30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95,772.00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54,855.00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2,538,906.60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338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VILLA DE ETLA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2,335,235.10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1,583,856.80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117,389.00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74,782.00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4,111,262.90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339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Y SAN PABLO TEPOSCOLULA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1,963,010.70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743,966.00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55,019.00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32,146.00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2,794,141.70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340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Y SAN PABLO TEQUIXTEPEC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764,862.50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233,977.50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28,036.00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15,936.00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1,042,812.00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341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PEDRO YUCUNAMA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492,592.70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211,959.80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3,232.00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3,904.00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711,688.50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342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RAYMUNDO JALPAN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2,119,644.00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698,129.50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28,485.00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35,761.00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2,882,019.50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343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SEBASTIAN ABASOLO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881,457.70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420,378.70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26,311.00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19,630.00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1,347,777.40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344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SEBASTIAN COATLAN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1,034,944.60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541,990.60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40,300.00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21,056.00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1,638,291.20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345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SEBASTIAN IXCAPA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1,191,538.60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324,708.00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60,156.00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31,976.00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1,608,378.60</w:t>
            </w:r>
          </w:p>
        </w:tc>
      </w:tr>
      <w:tr w:rsidR="00353C85" w:rsidRPr="00353C85" w:rsidTr="00A00324">
        <w:trPr>
          <w:trHeight w:val="1650"/>
        </w:trPr>
        <w:tc>
          <w:tcPr>
            <w:tcW w:w="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Pr>
                <w:rFonts w:ascii="Arial" w:hAnsi="Arial" w:cs="Arial"/>
                <w:b/>
                <w:spacing w:val="20"/>
              </w:rPr>
              <w:lastRenderedPageBreak/>
              <w:br w:type="page"/>
            </w:r>
            <w:r w:rsidRPr="00353C85">
              <w:rPr>
                <w:rFonts w:ascii="Arial" w:hAnsi="Arial" w:cs="Arial"/>
                <w:b/>
                <w:bCs/>
                <w:color w:val="000000"/>
                <w:sz w:val="16"/>
                <w:szCs w:val="16"/>
                <w:lang w:val="es-MX" w:eastAsia="es-MX"/>
              </w:rPr>
              <w:t>N.</w:t>
            </w:r>
          </w:p>
        </w:tc>
        <w:tc>
          <w:tcPr>
            <w:tcW w:w="27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MUNICIPIO</w:t>
            </w:r>
          </w:p>
        </w:tc>
        <w:tc>
          <w:tcPr>
            <w:tcW w:w="1418"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Municipal de Participaciones</w:t>
            </w:r>
          </w:p>
        </w:tc>
        <w:tc>
          <w:tcPr>
            <w:tcW w:w="1276"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de Fomento Municipal</w:t>
            </w:r>
          </w:p>
        </w:tc>
        <w:tc>
          <w:tcPr>
            <w:tcW w:w="1417"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de Compensación</w:t>
            </w:r>
          </w:p>
        </w:tc>
        <w:tc>
          <w:tcPr>
            <w:tcW w:w="1276"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Municipal Sobre  el Impuesto a las Ventas Finales de  Gasolina y Diesel</w:t>
            </w:r>
          </w:p>
        </w:tc>
        <w:tc>
          <w:tcPr>
            <w:tcW w:w="1417"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Suma</w:t>
            </w:r>
          </w:p>
        </w:tc>
      </w:tr>
    </w:tbl>
    <w:p w:rsidR="00353C85" w:rsidRDefault="00353C85" w:rsidP="00353C85"/>
    <w:tbl>
      <w:tblPr>
        <w:tblW w:w="9944" w:type="dxa"/>
        <w:tblInd w:w="49" w:type="dxa"/>
        <w:tblLayout w:type="fixed"/>
        <w:tblCellMar>
          <w:left w:w="70" w:type="dxa"/>
          <w:right w:w="70" w:type="dxa"/>
        </w:tblCellMar>
        <w:tblLook w:val="04A0"/>
      </w:tblPr>
      <w:tblGrid>
        <w:gridCol w:w="420"/>
        <w:gridCol w:w="2720"/>
        <w:gridCol w:w="1418"/>
        <w:gridCol w:w="1276"/>
        <w:gridCol w:w="1417"/>
        <w:gridCol w:w="1276"/>
        <w:gridCol w:w="1417"/>
      </w:tblGrid>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346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SEBASTIAN NICANANDUTA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834,779.60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287,624.50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21,756.00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14,196.00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1,158,356.10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347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SEBASTIAN RIO HONDO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1,073,934.10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325,020.00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59,960.00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29,527.00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1,488,441.10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348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SEBASTIAN TECOMAXTLAHUACA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2,546,209.20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1,258,085.30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127,475.00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74,900.00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4,006,669.50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349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SEBASTIAN TEITIPAC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753,624.00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327,804.70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29,446.00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17,490.00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1,128,364.70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350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SEBASTIAN TUTLA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5,236,656.00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2,099,151.00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188,941.00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221,575.00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7,746,323.00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351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SIMON ALMOLONGAS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939,477.30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442,092.00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40,840.00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21,723.00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1,444,132.30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352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SIMON ZAHUATLAN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1,110,346.70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356,160.00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66,456.00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30,888.00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1,563,850.70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353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ANA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838,730.80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666,141.40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30,366.00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19,190.00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1,554,428.20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354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ANA ATEIXTLAHUACA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570,060.00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273,574.30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8,950.00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4,987.00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857,571.30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355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ANA CUAUHTEMOC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555,435.90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272,880.00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12,109.00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5,948.00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846,372.90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356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ANA DEL VALLE</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1,143,984.00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380,534.10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29,759.00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34,101.00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1,588,378.10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357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ANA TAVELA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731,622.90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316,405.10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13,459.00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7,317.00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1,068,804.00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358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ANA TLAPACOYAN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1,116,456.00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487,360.90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28,371.00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20,789.00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1,652,976.90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359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ANA YARENI</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686,034.90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321,275.90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12,109.00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9,504.00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1,028,923.80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360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ANA ZEGACHE</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1,397,412.00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724,198.90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55,615.00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37,367.00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2,214,592.90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361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CATALINA QUIERI</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697,380.00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363,523.70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14,453.00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8,192.00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1,083,548.70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362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CATARINA CUIXTLA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813,814.60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349,423.80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22,347.00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18,293.00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1,203,878.40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363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CATARINA IXTEPEJI</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965,832.00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394,858.60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37,601.00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33,324.00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1,431,615.60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364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CATARINA JUQUILA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3,891,038.00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1,766,747.80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224,472.00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133,953.00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6,016,210.80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365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CATARINA LACHATAO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585,270.10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234,196.10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18,987.00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11,400.00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849,853.20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366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CATARINA LOXICHA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1,694,495.10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957,782.00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66,894.00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44,007.00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2,763,178.10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367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CATARINA MECHOACAN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1,286,176.50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443,525.30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74,477.00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36,611.00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1,840,789.80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368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CATARINA MINAS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1,722,445.30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945,860.50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26,988.00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18,681.00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2,713,974.80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369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CATARINA QUIANE</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645,945.50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376,977.90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25,363.00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15,023.00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1,063,309.40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370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CATARINA TAYATA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604,452.50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307,746.30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9,846.00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8,866.00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930,910.80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371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CATARINA TICUA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746,306.10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350,474.60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14,885.00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13,387.00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1,125,052.70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372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CATARINA YOSONOTU</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871,783.90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398,499.90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30,055.00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16,110.00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1,316,448.80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373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CATARINA ZAPOQUILA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473,103.50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222,528.00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6,974.00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3,655.00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706,260.50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374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CRUZ ACATEPEC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650,659.40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249,840.00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25,095.00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11,846.00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937,440.40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375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CRUZ AMILPAS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2,954,532.00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1,334,320.50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126,523.00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151,978.00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4,567,353.50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376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CRUZ DE BRAVO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394,520.60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201,599.80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5,487.00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2,932.00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604,539.40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377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CRUZ ITUNDUJIA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2,650,867.10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955,448.50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181,698.00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95,344.00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3,883,357.60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378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CRUZ MIXTEPEC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1,024,508.50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655,705.50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53,999.00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34,813.00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1,769,026.00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379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CRUZ NUNDACO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939,375.60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289,370.20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47,765.00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23,991.00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1,300,501.80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380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CRUZ PAPALUTLA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679,829.80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234,663.20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28,825.00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16,627.00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959,945.00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381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CRUZ TACACHE DE MINA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826,334.60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646,139.50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36,842.00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21,001.00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1,530,317.10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382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CRUZ TACAHUA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669,599.10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315,410.30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19,485.00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9,921.00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1,014,415.40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383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CRUZ TAYATA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485,532.00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200,807.20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8,881.00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5,591.00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700,811.20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384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CRUZ XITLA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1,255,254.30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363,552.00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71,621.00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36,433.00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1,726,860.30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385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CRUZ XOXOCOTLAN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25,418,484.00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5,874,565.10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990,230.00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1,235,577.00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33,518,856.10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386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CRUZ ZENZONTEPEC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6,293,928.00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2,052,375.70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306,420.00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255,579.00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8,908,302.70</w:t>
            </w:r>
          </w:p>
        </w:tc>
      </w:tr>
      <w:tr w:rsidR="00353C85" w:rsidRPr="00353C85" w:rsidTr="00A00324">
        <w:trPr>
          <w:trHeight w:val="1650"/>
        </w:trPr>
        <w:tc>
          <w:tcPr>
            <w:tcW w:w="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Pr>
                <w:rFonts w:ascii="Arial" w:hAnsi="Arial" w:cs="Arial"/>
                <w:b/>
                <w:spacing w:val="20"/>
              </w:rPr>
              <w:lastRenderedPageBreak/>
              <w:br w:type="page"/>
            </w:r>
            <w:r w:rsidRPr="00353C85">
              <w:rPr>
                <w:rFonts w:ascii="Arial" w:hAnsi="Arial" w:cs="Arial"/>
                <w:b/>
                <w:bCs/>
                <w:color w:val="000000"/>
                <w:sz w:val="16"/>
                <w:szCs w:val="16"/>
                <w:lang w:val="es-MX" w:eastAsia="es-MX"/>
              </w:rPr>
              <w:t>N.</w:t>
            </w:r>
          </w:p>
        </w:tc>
        <w:tc>
          <w:tcPr>
            <w:tcW w:w="27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MUNICIPIO</w:t>
            </w:r>
          </w:p>
        </w:tc>
        <w:tc>
          <w:tcPr>
            <w:tcW w:w="1418"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Municipal de Participaciones</w:t>
            </w:r>
          </w:p>
        </w:tc>
        <w:tc>
          <w:tcPr>
            <w:tcW w:w="1276"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de Fomento Municipal</w:t>
            </w:r>
          </w:p>
        </w:tc>
        <w:tc>
          <w:tcPr>
            <w:tcW w:w="1417"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de Compensación</w:t>
            </w:r>
          </w:p>
        </w:tc>
        <w:tc>
          <w:tcPr>
            <w:tcW w:w="1276"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Municipal Sobre  el Impuesto a las Ventas Finales de  Gasolina y Diesel</w:t>
            </w:r>
          </w:p>
        </w:tc>
        <w:tc>
          <w:tcPr>
            <w:tcW w:w="1417"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Suma</w:t>
            </w:r>
          </w:p>
        </w:tc>
      </w:tr>
    </w:tbl>
    <w:p w:rsidR="00353C85" w:rsidRDefault="00353C85" w:rsidP="00353C85"/>
    <w:p w:rsidR="00353C85" w:rsidRDefault="00353C85"/>
    <w:tbl>
      <w:tblPr>
        <w:tblW w:w="9944" w:type="dxa"/>
        <w:tblInd w:w="49" w:type="dxa"/>
        <w:tblLayout w:type="fixed"/>
        <w:tblCellMar>
          <w:left w:w="70" w:type="dxa"/>
          <w:right w:w="70" w:type="dxa"/>
        </w:tblCellMar>
        <w:tblLook w:val="04A0"/>
      </w:tblPr>
      <w:tblGrid>
        <w:gridCol w:w="420"/>
        <w:gridCol w:w="2720"/>
        <w:gridCol w:w="1418"/>
        <w:gridCol w:w="1276"/>
        <w:gridCol w:w="1417"/>
        <w:gridCol w:w="1276"/>
        <w:gridCol w:w="1417"/>
      </w:tblGrid>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387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GERTRUDIS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964,624.50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432,175.60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41,731.00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27,961.00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1,466,492.10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388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INES DEL MONTE</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981,580.40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1,079,406.90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42,106.00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20,536.00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2,123,629.30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389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INES YATZECHE</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843,941.10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412,602.60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14,845.00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7,423.00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1,278,811.70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390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LUCIA DEL CAMINO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10,044,616.20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4,473,053.10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569,028.00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432,193.00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15,518,890.30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391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LUCIA MIAHUATLAN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1,160,350.30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496,863.60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60,189.00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28,389.00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1,745,791.90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392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LUCIA MONTEVERDE</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1,905,345.20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711,667.10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112,969.00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58,246.00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2,788,227.30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393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LUCIA OCOTLAN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1,196,839.70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411,907.20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55,261.00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31,818.00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1,695,825.90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394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ALOTEPEC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812,144.80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233,784.00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41,678.00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22,386.00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1,109,992.80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395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APAZCO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913,127.90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350,510.50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32,394.00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15,296.00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1,311,328.40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396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LA ASUNCION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1,161,358.90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385,927.40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56,888.00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27,079.00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1,631,253.30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397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HEROICA CIUDAD DE TLAXIACO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11,222,952.00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4,740,608.50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538,296.00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419,422.00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16,921,278.50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398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AYOQUEZCO DE ALDAMA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1,622,160.00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748,816.70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66,897.00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47,164.00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2,485,037.70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399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ATZOMPA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6,288,700.30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1,985,316.00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359,475.00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221,326.00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8,854,817.30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400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CAMOTLAN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962,811.80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321,239.10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23,525.00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17,336.00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1,324,911.90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401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COLOTEPEC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5,397,560.80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2,329,622.70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317,856.00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181,815.00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8,226,854.50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402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CORTIJO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577,222.20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244,032.00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16,166.00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8,728.00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846,148.20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403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COYOTEPEC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999,719.40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514,953.80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36,575.00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39,728.00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1,590,976.20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404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CHACHOAPAM</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585,612.00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346,295.20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10,585.00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11,816.00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954,308.20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405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VILLA DE CHILAPA DE DIAZ</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946,980.00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389,005.40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28,414.00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34,823.00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1,399,222.40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406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CHILCHOTLA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5,196,839.40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1,529,257.10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368,874.00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165,876.00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7,260,846.50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407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CHIMALAPA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2,117,804.90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432,456.00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137,983.00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68,546.00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2,756,789.90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408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DEL ROSARIO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476,016.00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294,628.80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7,154.00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7,516.00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785,314.80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409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DEL TULE</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2,761,644.00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955,588.00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96,904.00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141,605.00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3,955,741.00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410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ECATEPEC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1,144,786.40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376,620.00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51,089.00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27,890.00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1,600,385.40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411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GUELACE</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546,568.70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282,602.80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11,169.00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6,576.00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846,916.50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412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GUIENAGATI</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1,539,249.80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337,687.00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49,589.00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44,385.00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1,970,910.80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413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HUATULCO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36,681,240.00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14,272,008.80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518,480.00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1,413,989.00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52,885,717.80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414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HUAZOLOTITLAN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2,603,658.30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875,132.40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164,538.00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91,725.00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3,735,053.70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415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IPALAPA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1,270,636.40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323,724.00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73,498.00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39,389.00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1,707,247.40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416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IXCATLAN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585,248.20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316,275.70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8,121.00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5,438.00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915,082.90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417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JACATEPEC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2,611,740.00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1,332,441.50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139,348.00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81,764.00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4,165,293.50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418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JALAPA DEL MARQUES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2,412,003.20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734,431.10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166,043.00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95,799.00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3,408,276.30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419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JALTIANGUIS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534,648.00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291,288.30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7,815.00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6,907.00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840,658.30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420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LACHIXIO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843,915.90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287,304.00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26,538.00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14,384.00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1,172,141.90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421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MIXTEQUILLA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2,352,549.60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1,010,969.10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63,639.00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47,693.00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3,474,850.70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422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NATIVITAS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606,940.00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255,664.80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10,145.00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5,487.00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878,236.80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423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NDUAYACO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489,162.00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200,472.00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8,553.00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5,503.00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703,690.00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424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OZOLOTEPEC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1,327,036.50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1,044,333.20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64,992.00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33,653.00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2,470,014.70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425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PAPALO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1,003,779.10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434,137.00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35,596.00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17,801.00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1,491,313.10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426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PEÑOLES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2,266,056.00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455,556.70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132,604.00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100,657.00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2,954,873.70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427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PETAPA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3,038,484.00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941,830.70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223,953.00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137,185.00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4,341,452.70</w:t>
            </w:r>
          </w:p>
        </w:tc>
      </w:tr>
      <w:tr w:rsidR="00353C85" w:rsidRPr="00353C85" w:rsidTr="00A00324">
        <w:trPr>
          <w:trHeight w:val="1650"/>
        </w:trPr>
        <w:tc>
          <w:tcPr>
            <w:tcW w:w="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Pr>
                <w:rFonts w:ascii="Arial" w:hAnsi="Arial" w:cs="Arial"/>
                <w:b/>
                <w:spacing w:val="20"/>
              </w:rPr>
              <w:lastRenderedPageBreak/>
              <w:br w:type="page"/>
            </w:r>
            <w:r w:rsidRPr="00353C85">
              <w:rPr>
                <w:rFonts w:ascii="Arial" w:hAnsi="Arial" w:cs="Arial"/>
                <w:b/>
                <w:bCs/>
                <w:color w:val="000000"/>
                <w:sz w:val="16"/>
                <w:szCs w:val="16"/>
                <w:lang w:val="es-MX" w:eastAsia="es-MX"/>
              </w:rPr>
              <w:t>N.</w:t>
            </w:r>
          </w:p>
        </w:tc>
        <w:tc>
          <w:tcPr>
            <w:tcW w:w="27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MUNICIPIO</w:t>
            </w:r>
          </w:p>
        </w:tc>
        <w:tc>
          <w:tcPr>
            <w:tcW w:w="1418"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Municipal de Participaciones</w:t>
            </w:r>
          </w:p>
        </w:tc>
        <w:tc>
          <w:tcPr>
            <w:tcW w:w="1276"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de Fomento Municipal</w:t>
            </w:r>
          </w:p>
        </w:tc>
        <w:tc>
          <w:tcPr>
            <w:tcW w:w="1417"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de Compensación</w:t>
            </w:r>
          </w:p>
        </w:tc>
        <w:tc>
          <w:tcPr>
            <w:tcW w:w="1276"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Municipal Sobre  el Impuesto a las Ventas Finales de  Gasolina y Diesel</w:t>
            </w:r>
          </w:p>
        </w:tc>
        <w:tc>
          <w:tcPr>
            <w:tcW w:w="1417"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Suma</w:t>
            </w:r>
          </w:p>
        </w:tc>
      </w:tr>
    </w:tbl>
    <w:p w:rsidR="00353C85" w:rsidRDefault="00353C85" w:rsidP="00353C85"/>
    <w:tbl>
      <w:tblPr>
        <w:tblW w:w="9944" w:type="dxa"/>
        <w:tblInd w:w="49" w:type="dxa"/>
        <w:tblLayout w:type="fixed"/>
        <w:tblCellMar>
          <w:left w:w="70" w:type="dxa"/>
          <w:right w:w="70" w:type="dxa"/>
        </w:tblCellMar>
        <w:tblLook w:val="04A0"/>
      </w:tblPr>
      <w:tblGrid>
        <w:gridCol w:w="420"/>
        <w:gridCol w:w="2720"/>
        <w:gridCol w:w="1418"/>
        <w:gridCol w:w="1276"/>
        <w:gridCol w:w="1417"/>
        <w:gridCol w:w="1276"/>
        <w:gridCol w:w="1417"/>
      </w:tblGrid>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428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QUIEGOLANI</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824,280.00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329,424.00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28,712.00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16,396.00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1,198,812.00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429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SOLA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758,469.50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307,092.00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24,458.00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12,281.00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1,102,300.50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430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TATALTEPEC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466,692.00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263,220.20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3,871.00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4,061.00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737,844.20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431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TECOMAVACA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608,766.70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262,401.60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25,513.00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14,296.00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910,977.30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432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TEMAXCALAPA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676,656.00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337,284.00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14,189.00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9,775.00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1,037,904.00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433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TEMAXCALTEPEC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929,437.90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288,792.00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43,629.00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20,911.00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1,282,769.90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434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TEOPOXCO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1,415,582.20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404,712.00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74,911.00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38,565.00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1,933,770.20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435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TEPANTLALI</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1,101,396.00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466,225.40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57,918.00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30,822.00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1,656,361.40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436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TEXCATITLAN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612,165.90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267,680.40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17,040.00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9,230.00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906,116.30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437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TLAHUITOLTEPEC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4,015,312.60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432,864.00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156,944.00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113,457.00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4,718,577.60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438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TLALIXTAC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833,375.90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315,840.00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28,356.00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14,134.00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1,191,705.90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439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TONAMECA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5,333,411.50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13,660,735.60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395,210.00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195,965.00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19,585,322.10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440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TOTOLAPILLA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664,811.30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475,610.30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13,283.00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7,221.00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1,160,925.60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441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XADANI</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1,686,338.90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859,985.80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113,432.00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63,933.00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2,723,689.70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442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YALINA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376,027.80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202,158.60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5,269.00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3,279.00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586,734.40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443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YAVESIA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398,552.00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175,759.70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6,080.00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5,048.00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585,439.70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444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YOLOTEPEC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510,912.00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234,054.20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7,590.00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11,578.00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764,134.20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445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YOSOYUA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783,812.10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310,440.00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24,767.00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13,431.00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1,132,450.10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446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YUCUHITI</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1,686,339.20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577,326.80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95,443.00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58,891.00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2,418,000.00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447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ZACATEPEC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3,282,135.80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1,631,159.90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232,114.00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121,490.00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5,266,899.70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448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ZANIZA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777,080.70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255,840.00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33,771.00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17,431.00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1,084,122.70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449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MARIA ZOQUITLAN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1,020,053.10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326,853.30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52,053.00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29,180.00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1,428,139.40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450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AMOLTEPEC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2,975,883.00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510,912.00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222,136.00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99,224.00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3,808,155.00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451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APOALA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715,450.00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279,648.00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17,386.00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9,057.00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1,021,541.00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452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APOSTOL</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1,634,862.30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656,884.40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68,502.00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39,173.00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2,399,421.70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453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ASTATA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913,851.70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204,588.00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56,870.00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31,548.00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1,206,857.70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454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ATITLAN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980,714.20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278,928.00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49,692.00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25,626.00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1,334,960.20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455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AYUQUILILLA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990,247.50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460,227.60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42,704.00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25,599.00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1,518,778.10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456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CACALOXTEPEC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675,209.70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425,300.10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25,037.00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15,722.00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1,141,268.80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457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CAMOTLAN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1,169,268.00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342,004.80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56,552.00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34,488.00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1,602,312.80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458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COMALTEPEC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900,973.30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336,943.60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16,145.00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18,724.00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1,272,785.90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459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CHAZUMBA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1,495,527.70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678,540.00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63,437.00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45,200.00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2,282,704.70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460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CHOAPAM</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1,574,856.20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404,808.00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86,728.00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43,622.00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2,110,014.20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461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DEL RIO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607,464.00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334,891.10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9,973.00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20,365.00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972,693.10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462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HUAJOLOTITLAN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1,465,234.40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663,274.10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60,772.00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43,724.00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2,233,004.50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463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HUAUCLILLA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485,337.20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218,182.00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10,192.00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6,159.00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719,870.20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464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IHUITLAN PLUMAS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448,866.10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208,188.00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7,261.00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3,869.00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668,184.10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465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IXCUINTEPEC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655,475.10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267,696.00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23,973.00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12,635.00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959,779.10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466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IXTAYUTLA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2,838,218.80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496,224.00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202,417.00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96,032.00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3,632,891.80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467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JAMILTEPEC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4,110,546.20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9,103,577.40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266,137.00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155,814.00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13,636,074.60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468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JOCOTEPEC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3,199,465.70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1,523,003.20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216,133.00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109,338.00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5,047,939.90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469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JUXTLAHUACA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8,247,090.40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2,897,700.00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537,035.00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265,342.00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11,947,167.40</w:t>
            </w:r>
          </w:p>
        </w:tc>
      </w:tr>
      <w:tr w:rsidR="00353C85" w:rsidRPr="00353C85" w:rsidTr="00A00324">
        <w:trPr>
          <w:trHeight w:val="1650"/>
        </w:trPr>
        <w:tc>
          <w:tcPr>
            <w:tcW w:w="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Pr>
                <w:rFonts w:ascii="Arial" w:hAnsi="Arial" w:cs="Arial"/>
                <w:b/>
                <w:spacing w:val="20"/>
              </w:rPr>
              <w:lastRenderedPageBreak/>
              <w:br w:type="page"/>
            </w:r>
            <w:r w:rsidRPr="00353C85">
              <w:rPr>
                <w:rFonts w:ascii="Arial" w:hAnsi="Arial" w:cs="Arial"/>
                <w:b/>
                <w:bCs/>
                <w:color w:val="000000"/>
                <w:sz w:val="16"/>
                <w:szCs w:val="16"/>
                <w:lang w:val="es-MX" w:eastAsia="es-MX"/>
              </w:rPr>
              <w:t>N.</w:t>
            </w:r>
          </w:p>
        </w:tc>
        <w:tc>
          <w:tcPr>
            <w:tcW w:w="27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MUNICIPIO</w:t>
            </w:r>
          </w:p>
        </w:tc>
        <w:tc>
          <w:tcPr>
            <w:tcW w:w="1418"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Municipal de Participaciones</w:t>
            </w:r>
          </w:p>
        </w:tc>
        <w:tc>
          <w:tcPr>
            <w:tcW w:w="1276"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de Fomento Municipal</w:t>
            </w:r>
          </w:p>
        </w:tc>
        <w:tc>
          <w:tcPr>
            <w:tcW w:w="1417"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de Compensación</w:t>
            </w:r>
          </w:p>
        </w:tc>
        <w:tc>
          <w:tcPr>
            <w:tcW w:w="1276"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Municipal Sobre  el Impuesto a las Ventas Finales de  Gasolina y Diesel</w:t>
            </w:r>
          </w:p>
        </w:tc>
        <w:tc>
          <w:tcPr>
            <w:tcW w:w="1417"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Suma</w:t>
            </w:r>
          </w:p>
        </w:tc>
      </w:tr>
    </w:tbl>
    <w:p w:rsidR="00353C85" w:rsidRDefault="00353C85" w:rsidP="00353C85"/>
    <w:tbl>
      <w:tblPr>
        <w:tblW w:w="9944" w:type="dxa"/>
        <w:tblInd w:w="49" w:type="dxa"/>
        <w:tblLayout w:type="fixed"/>
        <w:tblCellMar>
          <w:left w:w="70" w:type="dxa"/>
          <w:right w:w="70" w:type="dxa"/>
        </w:tblCellMar>
        <w:tblLook w:val="04A0"/>
      </w:tblPr>
      <w:tblGrid>
        <w:gridCol w:w="420"/>
        <w:gridCol w:w="2720"/>
        <w:gridCol w:w="1418"/>
        <w:gridCol w:w="1276"/>
        <w:gridCol w:w="1417"/>
        <w:gridCol w:w="1276"/>
        <w:gridCol w:w="1417"/>
      </w:tblGrid>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470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LACHIGUIRI</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1,326,293.10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322,591.80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73,450.00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37,818.00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1,760,152.90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471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LALOPA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568,404.00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315,149.80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7,591.00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4,816.00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895,960.80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472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LAOLLAGA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2,326,944.60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1,081,344.00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45,036.00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25,771.00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3,479,095.60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473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LAXOPA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680,891.00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297,990.60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20,629.00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11,976.00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1,011,486.60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474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LLANO GRANDE</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948,711.10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291,300.00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48,480.00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26,271.00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1,314,762.10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475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MATATLAN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3,327,084.00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2,067,538.50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152,146.00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134,018.00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5,680,786.50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476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MILTEPEC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423,564.00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208,568.50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5,915.00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5,372.00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643,419.50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477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MINAS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784,346.90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395,185.90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23,499.00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12,358.00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1,215,389.80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478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NACALTEPEC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775,232.80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229,452.00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28,622.00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15,606.00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1,048,912.80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479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NEJAPILLA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369,444.00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185,996.30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3,305.00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2,100.00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560,845.30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480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NUNDICHE</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704,448.00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297,107.40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15,619.00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11,205.00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1,028,379.40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481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NUYOO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859,919.70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348,888.00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29,748.00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18,134.00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1,256,689.70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482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PINOTEPA NACIONAL</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17,843,206.10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4,536,348.10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743,526.00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625,775.00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23,748,855.20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483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SUCHILQUITONGO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2,217,605.20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1,045,573.40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127,319.00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89,422.00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3,479,919.60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484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TAMAZOLA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1,508,772.00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598,856.50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65,170.00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43,772.00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2,216,570.50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485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TAPEXTLA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1,056,115.70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476,812.40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49,898.00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25,144.00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1,607,970.10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486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VILLA TEJUPAM DE LA UNION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877,477.80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1,229,726.50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35,823.00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19,896.00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2,162,923.30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487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TENANGO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1,164,404.60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436,519.30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28,027.00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22,773.00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1,651,723.90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488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TEPETLAPA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407,734.40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237,930.50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1,878.00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2,139.00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649,681.90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489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TETEPEC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1,528,831.30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428,257.30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79,895.00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41,034.00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2,078,017.60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490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TEXCALCINGO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958,034.20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346,255.10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50,750.00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24,788.00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1,379,827.30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491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TEXTITLAN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1,154,695.80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341,748.00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64,123.00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36,658.00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1,597,224.80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492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TILANTONGO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1,470,391.50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547,079.50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52,434.00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28,155.00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2,098,060.00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493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TILLO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405,451.60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202,648.60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7,763.00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5,778.00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621,641.20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494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TLAZOYALTEPEC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1,437,061.70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608,426.10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81,154.00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39,454.00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2,166,095.80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495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XANICA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1,071,288.70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348,612.00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47,107.00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23,240.00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1,490,247.70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496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XIACUI</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659,661.20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277,271.50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28,853.00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18,076.00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983,861.70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497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YAITEPEC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1,290,030.00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534,267.90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69,425.00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34,333.00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1,928,055.90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498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YAVEO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2,003,436.50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678,115.50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107,185.00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58,278.00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2,847,015.00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499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YOLOMECATL</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872,674.30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391,167.10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27,372.00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26,013.00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1,317,226.40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500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YOSONDUA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2,080,518.10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562,353.70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119,089.00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63,526.00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2,825,486.80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501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YUCUYACHI</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579,840.00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262,018.10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14,384.00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15,934.00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872,176.10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502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ZACATEPEC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1,526,956.70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372,324.00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91,858.00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47,934.00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2,039,072.70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503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SANTIAGO ZOOCHILA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769,670.00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275,784.00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5,511.00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3,014.00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1,053,979.00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504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NUEVO ZOQUIAPAM</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855,270.80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381,095.30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24,390.00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13,505.00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1,274,261.10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505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SANTO DOMINGO INGENIO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1,895,040.00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414,936.00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102,481.00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154,589.00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2,567,046.00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506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SANTO DOMINGO ALBARRADAS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531,504.00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248,550.30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11,968.00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11,730.00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803,752.30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507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SANTO DOMINGO ARMENTA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1,011,247.90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440,652.00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51,752.00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25,980.00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1,529,631.90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508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SANTO DOMINGO CHIHUITAN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561,397.70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193,999.80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20,948.00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12,256.00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788,601.50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509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SANTO DOMINGO DE MORELOS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2,426,749.50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778,008.00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179,410.00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90,505.00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3,474,672.50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510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SANTO DOMINGO IXCATLAN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604,700.90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212,700.00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14,305.00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7,068.00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838,773.90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511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SANTO DOMINGO NUXAA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1,097,541.30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538,409.50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60,984.00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31,285.00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1,728,219.80</w:t>
            </w:r>
          </w:p>
        </w:tc>
      </w:tr>
      <w:tr w:rsidR="00353C85" w:rsidRPr="00353C85" w:rsidTr="00A00324">
        <w:trPr>
          <w:trHeight w:val="1650"/>
        </w:trPr>
        <w:tc>
          <w:tcPr>
            <w:tcW w:w="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Pr>
                <w:rFonts w:ascii="Arial" w:hAnsi="Arial" w:cs="Arial"/>
                <w:b/>
                <w:spacing w:val="20"/>
              </w:rPr>
              <w:lastRenderedPageBreak/>
              <w:br w:type="page"/>
            </w:r>
            <w:r w:rsidRPr="00353C85">
              <w:rPr>
                <w:rFonts w:ascii="Arial" w:hAnsi="Arial" w:cs="Arial"/>
                <w:b/>
                <w:bCs/>
                <w:color w:val="000000"/>
                <w:sz w:val="16"/>
                <w:szCs w:val="16"/>
                <w:lang w:val="es-MX" w:eastAsia="es-MX"/>
              </w:rPr>
              <w:t>N.</w:t>
            </w:r>
          </w:p>
        </w:tc>
        <w:tc>
          <w:tcPr>
            <w:tcW w:w="27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MUNICIPIO</w:t>
            </w:r>
          </w:p>
        </w:tc>
        <w:tc>
          <w:tcPr>
            <w:tcW w:w="1418"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Municipal de Participaciones</w:t>
            </w:r>
          </w:p>
        </w:tc>
        <w:tc>
          <w:tcPr>
            <w:tcW w:w="1276"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de Fomento Municipal</w:t>
            </w:r>
          </w:p>
        </w:tc>
        <w:tc>
          <w:tcPr>
            <w:tcW w:w="1417"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de Compensación</w:t>
            </w:r>
          </w:p>
        </w:tc>
        <w:tc>
          <w:tcPr>
            <w:tcW w:w="1276"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Municipal Sobre  el Impuesto a las Ventas Finales de  Gasolina y Diesel</w:t>
            </w:r>
          </w:p>
        </w:tc>
        <w:tc>
          <w:tcPr>
            <w:tcW w:w="1417"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Suma</w:t>
            </w:r>
          </w:p>
        </w:tc>
      </w:tr>
    </w:tbl>
    <w:p w:rsidR="00353C85" w:rsidRDefault="00353C85" w:rsidP="00353C85"/>
    <w:tbl>
      <w:tblPr>
        <w:tblW w:w="9944" w:type="dxa"/>
        <w:tblInd w:w="49" w:type="dxa"/>
        <w:tblLayout w:type="fixed"/>
        <w:tblCellMar>
          <w:left w:w="70" w:type="dxa"/>
          <w:right w:w="70" w:type="dxa"/>
        </w:tblCellMar>
        <w:tblLook w:val="04A0"/>
      </w:tblPr>
      <w:tblGrid>
        <w:gridCol w:w="420"/>
        <w:gridCol w:w="2720"/>
        <w:gridCol w:w="1418"/>
        <w:gridCol w:w="1276"/>
        <w:gridCol w:w="1417"/>
        <w:gridCol w:w="1276"/>
        <w:gridCol w:w="1417"/>
      </w:tblGrid>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512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SANTO DOMINGO OZOLOTEPEC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614,611.60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267,612.00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14,535.00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7,528.00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904,286.60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513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SANTO DOMINGO PETAPA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2,038,036.70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483,132.00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121,216.00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67,643.00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2,710,027.70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514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SANTO DOMINGO ROAYAGA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699,204.00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308,155.60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17,029.00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9,252.00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1,033,640.60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515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SANTO DOMINGO TEHUANTEPEC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17,755,788.00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7,382,961.60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853,954.00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722,579.00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26,715,282.60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516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SANTO DOMINGO TEOJOMULCO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1,447,332.00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389,839.70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71,904.00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41,087.00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1,950,162.70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517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SANTO DOMINGO TEPUXTEPEC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1,407,156.00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354,411.70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87,279.00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54,734.00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1,903,580.70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518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SANTO DOMINGO TLATAYAPAM</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362,652.00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207,228.40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2,132.00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3,390.00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575,402.40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519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SANTO DOMINGO TOMALTEPEC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944,808.00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465,993.80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40,078.00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28,790.00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1,479,669.80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520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SANTO DOMINGO TONALA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2,277,840.00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1,128,397.00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106,819.00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77,679.00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3,590,735.00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521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SANTO DOMINGO TONALTEPEC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472,200.00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226,848.60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4,380.00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3,204.00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706,632.60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522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SANTO DOMINGO XAGACIA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590,745.70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246,468.00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19,619.00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9,776.00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866,608.70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523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SANTO DOMINGO YANHUITLAN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1,018,483.20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362,517.70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23,056.00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12,967.00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1,417,023.90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524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SANTO DOMINGO YODOHINO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437,763.40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199,832.40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5,428.00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3,332.00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646,355.80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525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SANTO DOMINGO ZANATEPEC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3,817,404.00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1,205,628.40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159,723.00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109,087.00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5,291,842.40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526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SANTOS REYES NOPALA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3,364,819.80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925,515.20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250,160.00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128,822.00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4,669,317.00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527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SANTOS REYES PAPALO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1,047,142.80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550,200.00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43,557.00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22,796.00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1,663,695.80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528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SANTOS REYES TEPEJILLO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657,864.00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269,867.10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18,983.00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12,228.00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958,942.10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529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SANTOS REYES YUCUNA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724,420.50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289,621.70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22,737.00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10,735.00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1,047,514.20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530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SANTO TOMAS JALIEZA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1,337,304.00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546,667.80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52,455.00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49,774.00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1,986,200.80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531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SANTO TOMAS MAZALTEPEC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817,588.40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290,748.00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32,382.00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19,291.00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1,160,009.40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532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SANTO TOMAS OCOTEPEC</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1,170,927.10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683,951.10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63,880.00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34,004.00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1,952,762.20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533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SANTO TOMAS TAMAZULAPAN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962,502.80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447,041.40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32,463.00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19,899.00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1,461,906.20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534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VICENTE COATLAN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1,209,629.80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428,724.00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64,203.00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36,946.00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1,739,502.80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535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VICENTE LACHIXIO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1,194,479.40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331,464.00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47,048.00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24,794.00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1,597,785.40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536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VICENTE NUÑU</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470,988.00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227,086.40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7,193.00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5,826.00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711,093.40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537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SILACAYOAPAM</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2,528,056.70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995,150.00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102,488.00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54,371.00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3,680,065.70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538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SITIO DE XITLAPEHUA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603,324.00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309,278.50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10,804.00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11,545.00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934,951.50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539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SOLEDAD ETLA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1,156,505.20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646,490.70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65,735.00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42,258.00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1,910,988.90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540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VILLA DE TAMAZULAPAM DEL PROGRESO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2,166,761.60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1,067,570.30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94,052.00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56,885.00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3,385,268.90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541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TANETZE DE ZARAGOZA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727,656.00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357,101.90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25,335.00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14,230.00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1,124,322.90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542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TANICHE</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612,650.70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335,041.00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11,311.00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6,011.00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965,013.70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543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TATALTEPEC DE VALDES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1,437,852.80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350,943.80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88,424.00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44,813.00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1,922,033.60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544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TEOCOCUILCO DE MARCOS PEREZ</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650,452.10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290,383.40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15,977.00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10,982.00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967,794.50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545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TEOTITLAN DE FLORES MAGON</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4,227,912.20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2,090,644.00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120,056.00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83,422.00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6,522,034.20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546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TEOTITLAN DEL VALLE</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1,537,047.80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643,597.50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84,348.00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48,506.00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2,313,499.30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547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TEOTONGO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666,781.20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315,178.10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13,834.00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9,342.00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1,005,135.30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548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TEPELMEME VILLA DE MORELOS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1,097,775.00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504,370.30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26,762.00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14,275.00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1,643,182.30</w:t>
            </w:r>
          </w:p>
        </w:tc>
      </w:tr>
      <w:tr w:rsidR="00353C85" w:rsidRPr="00353C85" w:rsidTr="00353C85">
        <w:trPr>
          <w:trHeight w:val="67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549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HEROICA VILLA TEZOATLAN DE SEGURA Y LUNA, CUNA DE LA INDEPENDENCIA DE OAXACA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3,637,385.20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1,616,066.30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176,373.00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91,214.00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5,521,038.50</w:t>
            </w:r>
          </w:p>
        </w:tc>
      </w:tr>
      <w:tr w:rsidR="00353C85" w:rsidRPr="00353C85" w:rsidTr="00A00324">
        <w:trPr>
          <w:trHeight w:val="1650"/>
        </w:trPr>
        <w:tc>
          <w:tcPr>
            <w:tcW w:w="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Pr>
                <w:rFonts w:ascii="Arial" w:hAnsi="Arial" w:cs="Arial"/>
                <w:b/>
                <w:spacing w:val="20"/>
              </w:rPr>
              <w:lastRenderedPageBreak/>
              <w:br w:type="page"/>
            </w:r>
            <w:r w:rsidRPr="00353C85">
              <w:rPr>
                <w:rFonts w:ascii="Arial" w:hAnsi="Arial" w:cs="Arial"/>
                <w:b/>
                <w:bCs/>
                <w:color w:val="000000"/>
                <w:sz w:val="16"/>
                <w:szCs w:val="16"/>
                <w:lang w:val="es-MX" w:eastAsia="es-MX"/>
              </w:rPr>
              <w:t>N.</w:t>
            </w:r>
          </w:p>
        </w:tc>
        <w:tc>
          <w:tcPr>
            <w:tcW w:w="27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MUNICIPIO</w:t>
            </w:r>
          </w:p>
        </w:tc>
        <w:tc>
          <w:tcPr>
            <w:tcW w:w="1418"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Municipal de Participaciones</w:t>
            </w:r>
          </w:p>
        </w:tc>
        <w:tc>
          <w:tcPr>
            <w:tcW w:w="1276"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de Fomento Municipal</w:t>
            </w:r>
          </w:p>
        </w:tc>
        <w:tc>
          <w:tcPr>
            <w:tcW w:w="1417"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de Compensación</w:t>
            </w:r>
          </w:p>
        </w:tc>
        <w:tc>
          <w:tcPr>
            <w:tcW w:w="1276"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Fondo Municipal Sobre  el Impuesto a las Ventas Finales de  Gasolina y Diesel</w:t>
            </w:r>
          </w:p>
        </w:tc>
        <w:tc>
          <w:tcPr>
            <w:tcW w:w="1417"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Suma</w:t>
            </w:r>
          </w:p>
        </w:tc>
      </w:tr>
    </w:tbl>
    <w:p w:rsidR="00353C85" w:rsidRDefault="00353C85" w:rsidP="00353C85"/>
    <w:tbl>
      <w:tblPr>
        <w:tblW w:w="9944" w:type="dxa"/>
        <w:tblInd w:w="49" w:type="dxa"/>
        <w:tblLayout w:type="fixed"/>
        <w:tblCellMar>
          <w:left w:w="70" w:type="dxa"/>
          <w:right w:w="70" w:type="dxa"/>
        </w:tblCellMar>
        <w:tblLook w:val="04A0"/>
      </w:tblPr>
      <w:tblGrid>
        <w:gridCol w:w="420"/>
        <w:gridCol w:w="2720"/>
        <w:gridCol w:w="1418"/>
        <w:gridCol w:w="1276"/>
        <w:gridCol w:w="1417"/>
        <w:gridCol w:w="1276"/>
        <w:gridCol w:w="1417"/>
      </w:tblGrid>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550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JERONIMO TLACOCHAHUAYA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2,122,584.00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500,843.10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71,347.00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74,612.00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2,769,386.10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551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TLACOLULA DE MATAMOROS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8,171,774.80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3,434,786.20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264,091.00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410,225.00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12,280,877.00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552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TLACOTEPEC PLUMAS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406,467.40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323,558.80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7,393.00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5,897.00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743,316.20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553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TLALIXTAC DE CABRERA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4,095,059.20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1,362,292.90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126,995.00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153,871.00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5,738,218.10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554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TOTONTEPEC VILLA DE MORELOS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1,803,256.90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702,353.60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86,950.00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45,111.00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2,637,671.50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555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TRINIDAD ZAACHILA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903,864.50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460,882.70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39,954.00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21,378.00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1,426,079.20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556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LA TRINIDAD VISTA HERMOSA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423,180.00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237,878.70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3,605.00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5,430.00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670,093.70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557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UNION HIDALGO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4,471,152.00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2,325,139.50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183,007.00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112,577.00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7,091,875.50</w:t>
            </w:r>
          </w:p>
        </w:tc>
      </w:tr>
      <w:tr w:rsidR="00353C85" w:rsidRPr="00353C85" w:rsidTr="00353C85">
        <w:trPr>
          <w:trHeight w:val="321"/>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558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VALERIO TRUJANO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564,766.30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192,012.00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22,168.00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12,435.00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791,381.30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559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JUAN BAUTISTA VALLE NACIONAL</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4,888,855.00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1,023,408.00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334,032.00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180,880.00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6,427,175.00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560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VILLA DIAZ ORDAZ</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1,955,060.30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817,312.10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93,710.00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63,132.00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2,929,214.40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561</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YAXE</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2,014,255.30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1,055,620.80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40,646.00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28,873.00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3,139,395.10</w:t>
            </w:r>
          </w:p>
        </w:tc>
      </w:tr>
      <w:tr w:rsidR="00353C85" w:rsidRPr="00353C85" w:rsidTr="00353C85">
        <w:trPr>
          <w:trHeight w:val="450"/>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562</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MAGDALENA YODOCONO DE PORFIRIO DIAZ</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689,333.60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329,839.00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20,645.00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16,296.00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1,056,113.60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563</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YOGANA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664,813.40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271,476.00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22,027.00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10,539.00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968,855.40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564</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YUTANDUCHI DE GUERRERO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896,036.10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356,185.50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20,594.00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12,864.00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1,285,679.60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565</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VILLA DE ZAACHILA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10,198,284.00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4,188,931.10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480,101.00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413,346.00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15,280,662.10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566</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 MATEO YACUTINDO</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1,170,696.00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341,843.50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49,995.00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38,802.00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1,601,336.50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567</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ZAPOTITLAN LAGUNAS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1,075,371.80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344,319.70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51,346.00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27,555.00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1,498,592.50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568</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ZAPOTITLAN PALMAS</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618,483.60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357,783.00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23,461.00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12,201.00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1,011,928.60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569</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SANTA INES DE ZARAGOZA</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794,488.30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349,040.20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26,166.00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15,215.00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1,184,909.50</w:t>
            </w:r>
          </w:p>
        </w:tc>
      </w:tr>
      <w:tr w:rsidR="00353C85" w:rsidRPr="00353C85" w:rsidTr="00353C85">
        <w:trPr>
          <w:trHeight w:val="225"/>
        </w:trPr>
        <w:tc>
          <w:tcPr>
            <w:tcW w:w="4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570</w:t>
            </w:r>
          </w:p>
        </w:tc>
        <w:tc>
          <w:tcPr>
            <w:tcW w:w="2720" w:type="dxa"/>
            <w:tcBorders>
              <w:top w:val="nil"/>
              <w:left w:val="nil"/>
              <w:bottom w:val="nil"/>
              <w:right w:val="nil"/>
            </w:tcBorders>
            <w:shd w:val="clear" w:color="auto" w:fill="auto"/>
            <w:hideMark/>
          </w:tcPr>
          <w:p w:rsidR="00353C85" w:rsidRPr="00353C85" w:rsidRDefault="00353C85" w:rsidP="00353C85">
            <w:pPr>
              <w:rPr>
                <w:rFonts w:ascii="Arial" w:hAnsi="Arial" w:cs="Arial"/>
                <w:color w:val="000000"/>
                <w:sz w:val="16"/>
                <w:szCs w:val="16"/>
                <w:lang w:val="es-MX" w:eastAsia="es-MX"/>
              </w:rPr>
            </w:pPr>
            <w:r w:rsidRPr="00353C85">
              <w:rPr>
                <w:rFonts w:ascii="Arial" w:hAnsi="Arial" w:cs="Arial"/>
                <w:color w:val="000000"/>
                <w:sz w:val="16"/>
                <w:szCs w:val="16"/>
                <w:lang w:val="es-MX" w:eastAsia="es-MX"/>
              </w:rPr>
              <w:t xml:space="preserve"> ZIMATLAN DE ALVAREZ</w:t>
            </w:r>
          </w:p>
        </w:tc>
        <w:tc>
          <w:tcPr>
            <w:tcW w:w="1418"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5,373,364.60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1,972,797.90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274,345.00</w:t>
            </w:r>
          </w:p>
        </w:tc>
        <w:tc>
          <w:tcPr>
            <w:tcW w:w="1276"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179,485.00</w:t>
            </w:r>
          </w:p>
        </w:tc>
        <w:tc>
          <w:tcPr>
            <w:tcW w:w="1417" w:type="dxa"/>
            <w:tcBorders>
              <w:top w:val="nil"/>
              <w:left w:val="nil"/>
              <w:bottom w:val="nil"/>
              <w:right w:val="nil"/>
            </w:tcBorders>
            <w:shd w:val="clear" w:color="auto" w:fill="auto"/>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7,799,992.50</w:t>
            </w:r>
          </w:p>
        </w:tc>
      </w:tr>
    </w:tbl>
    <w:p w:rsidR="00353C85" w:rsidRDefault="00353C85" w:rsidP="00353C85">
      <w:pPr>
        <w:jc w:val="both"/>
        <w:rPr>
          <w:rFonts w:ascii="Arial" w:hAnsi="Arial" w:cs="Arial"/>
          <w:b/>
          <w:spacing w:val="20"/>
        </w:rPr>
      </w:pPr>
    </w:p>
    <w:p w:rsidR="00353C85" w:rsidRDefault="00353C85" w:rsidP="00353C85">
      <w:pPr>
        <w:jc w:val="both"/>
        <w:rPr>
          <w:rFonts w:ascii="Arial" w:hAnsi="Arial" w:cs="Arial"/>
          <w:b/>
          <w:spacing w:val="20"/>
        </w:rPr>
      </w:pPr>
    </w:p>
    <w:p w:rsidR="009F2711" w:rsidRDefault="009F2711">
      <w:pPr>
        <w:rPr>
          <w:rFonts w:ascii="Arial" w:hAnsi="Arial" w:cs="Arial"/>
          <w:b/>
          <w:spacing w:val="20"/>
        </w:rPr>
      </w:pPr>
    </w:p>
    <w:p w:rsidR="00353C85" w:rsidRDefault="00353C85">
      <w:pPr>
        <w:rPr>
          <w:rFonts w:ascii="Arial" w:hAnsi="Arial" w:cs="Arial"/>
          <w:b/>
          <w:spacing w:val="20"/>
        </w:rPr>
      </w:pPr>
      <w:r>
        <w:rPr>
          <w:rFonts w:ascii="Arial" w:hAnsi="Arial" w:cs="Arial"/>
          <w:b/>
          <w:spacing w:val="20"/>
        </w:rPr>
        <w:br w:type="page"/>
      </w:r>
    </w:p>
    <w:p w:rsidR="009F2711" w:rsidRDefault="00ED3AD8" w:rsidP="005D7E67">
      <w:pPr>
        <w:spacing w:line="22" w:lineRule="atLeast"/>
        <w:jc w:val="both"/>
        <w:rPr>
          <w:rFonts w:ascii="Arial" w:hAnsi="Arial" w:cs="Arial"/>
          <w:b/>
          <w:spacing w:val="20"/>
        </w:rPr>
      </w:pPr>
      <w:r>
        <w:rPr>
          <w:rFonts w:ascii="Arial" w:hAnsi="Arial" w:cs="Arial"/>
          <w:b/>
          <w:spacing w:val="20"/>
        </w:rPr>
        <w:lastRenderedPageBreak/>
        <w:t>4</w:t>
      </w:r>
      <w:r w:rsidR="003D7501">
        <w:rPr>
          <w:rFonts w:ascii="Arial" w:hAnsi="Arial" w:cs="Arial"/>
          <w:b/>
          <w:spacing w:val="20"/>
        </w:rPr>
        <w:t xml:space="preserve">.- </w:t>
      </w:r>
      <w:r w:rsidR="005D7E67">
        <w:rPr>
          <w:rFonts w:ascii="Arial" w:hAnsi="Arial" w:cs="Arial"/>
          <w:b/>
          <w:spacing w:val="20"/>
        </w:rPr>
        <w:t xml:space="preserve">APORTACIONES FISCALES FEDERALES TRANSFERIDAS A LOS MUNICIPIOS DEL ESTADO CORRESPONDIENTES AL </w:t>
      </w:r>
      <w:r w:rsidR="00353C85">
        <w:rPr>
          <w:rFonts w:ascii="Arial" w:hAnsi="Arial" w:cs="Arial"/>
          <w:b/>
          <w:spacing w:val="20"/>
        </w:rPr>
        <w:t>SEGUNDO T</w:t>
      </w:r>
      <w:r w:rsidR="005D7E67">
        <w:rPr>
          <w:rFonts w:ascii="Arial" w:hAnsi="Arial" w:cs="Arial"/>
          <w:b/>
          <w:spacing w:val="20"/>
        </w:rPr>
        <w:t>RIMESTRE DEL EJERCICIO 201</w:t>
      </w:r>
      <w:r w:rsidR="009F2711">
        <w:rPr>
          <w:rFonts w:ascii="Arial" w:hAnsi="Arial" w:cs="Arial"/>
          <w:b/>
          <w:spacing w:val="20"/>
        </w:rPr>
        <w:t>5</w:t>
      </w:r>
      <w:r w:rsidR="00580B20">
        <w:rPr>
          <w:rFonts w:ascii="Arial" w:hAnsi="Arial" w:cs="Arial"/>
          <w:b/>
          <w:spacing w:val="20"/>
        </w:rPr>
        <w:t xml:space="preserve"> (pesos)</w:t>
      </w:r>
    </w:p>
    <w:p w:rsidR="007805C7" w:rsidRDefault="007805C7" w:rsidP="005D7E67">
      <w:pPr>
        <w:spacing w:line="22" w:lineRule="atLeast"/>
        <w:jc w:val="both"/>
        <w:rPr>
          <w:rFonts w:ascii="Arial" w:hAnsi="Arial" w:cs="Arial"/>
          <w:b/>
          <w:spacing w:val="20"/>
        </w:rPr>
      </w:pPr>
    </w:p>
    <w:tbl>
      <w:tblPr>
        <w:tblW w:w="9440" w:type="dxa"/>
        <w:tblInd w:w="51" w:type="dxa"/>
        <w:tblCellMar>
          <w:left w:w="70" w:type="dxa"/>
          <w:right w:w="70" w:type="dxa"/>
        </w:tblCellMar>
        <w:tblLook w:val="04A0"/>
      </w:tblPr>
      <w:tblGrid>
        <w:gridCol w:w="420"/>
        <w:gridCol w:w="3420"/>
        <w:gridCol w:w="2000"/>
        <w:gridCol w:w="1780"/>
        <w:gridCol w:w="1820"/>
      </w:tblGrid>
      <w:tr w:rsidR="00353C85" w:rsidRPr="00353C85" w:rsidTr="00353C85">
        <w:trPr>
          <w:trHeight w:val="675"/>
        </w:trPr>
        <w:tc>
          <w:tcPr>
            <w:tcW w:w="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353C85">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N.</w:t>
            </w:r>
          </w:p>
        </w:tc>
        <w:tc>
          <w:tcPr>
            <w:tcW w:w="3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353C85">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MUNICIPIO</w:t>
            </w:r>
          </w:p>
        </w:tc>
        <w:tc>
          <w:tcPr>
            <w:tcW w:w="200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353C85">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Fondo de Aportaciones para la Infraestructura Social</w:t>
            </w:r>
          </w:p>
        </w:tc>
        <w:tc>
          <w:tcPr>
            <w:tcW w:w="178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353C85">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 xml:space="preserve">Fondo de Aportaciones para el Fortalecimiento de los Municipios </w:t>
            </w:r>
          </w:p>
        </w:tc>
        <w:tc>
          <w:tcPr>
            <w:tcW w:w="18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353C85">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Suma</w:t>
            </w:r>
          </w:p>
        </w:tc>
      </w:tr>
    </w:tbl>
    <w:p w:rsidR="00353C85" w:rsidRDefault="00353C85"/>
    <w:tbl>
      <w:tblPr>
        <w:tblW w:w="9440" w:type="dxa"/>
        <w:tblInd w:w="51" w:type="dxa"/>
        <w:tblCellMar>
          <w:left w:w="70" w:type="dxa"/>
          <w:right w:w="70" w:type="dxa"/>
        </w:tblCellMar>
        <w:tblLook w:val="04A0"/>
      </w:tblPr>
      <w:tblGrid>
        <w:gridCol w:w="420"/>
        <w:gridCol w:w="3420"/>
        <w:gridCol w:w="2000"/>
        <w:gridCol w:w="1780"/>
        <w:gridCol w:w="1820"/>
      </w:tblGrid>
      <w:tr w:rsidR="00353C85" w:rsidRPr="00353C85" w:rsidTr="00353C85">
        <w:trPr>
          <w:trHeight w:val="225"/>
        </w:trPr>
        <w:tc>
          <w:tcPr>
            <w:tcW w:w="420" w:type="dxa"/>
            <w:tcBorders>
              <w:top w:val="nil"/>
              <w:left w:val="nil"/>
              <w:bottom w:val="single" w:sz="4" w:space="0" w:color="auto"/>
              <w:right w:val="nil"/>
            </w:tcBorders>
            <w:shd w:val="clear" w:color="auto" w:fill="auto"/>
            <w:vAlign w:val="center"/>
            <w:hideMark/>
          </w:tcPr>
          <w:p w:rsidR="00353C85" w:rsidRPr="00353C85" w:rsidRDefault="00353C85" w:rsidP="00353C85">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 </w:t>
            </w:r>
          </w:p>
        </w:tc>
        <w:tc>
          <w:tcPr>
            <w:tcW w:w="3420" w:type="dxa"/>
            <w:tcBorders>
              <w:top w:val="nil"/>
              <w:left w:val="nil"/>
              <w:bottom w:val="single" w:sz="4" w:space="0" w:color="auto"/>
              <w:right w:val="nil"/>
            </w:tcBorders>
            <w:shd w:val="clear" w:color="auto" w:fill="auto"/>
            <w:vAlign w:val="center"/>
            <w:hideMark/>
          </w:tcPr>
          <w:p w:rsidR="00353C85" w:rsidRPr="00353C85" w:rsidRDefault="00353C85" w:rsidP="00353C85">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 </w:t>
            </w:r>
          </w:p>
        </w:tc>
        <w:tc>
          <w:tcPr>
            <w:tcW w:w="2000" w:type="dxa"/>
            <w:tcBorders>
              <w:top w:val="nil"/>
              <w:left w:val="nil"/>
              <w:bottom w:val="single" w:sz="4" w:space="0" w:color="auto"/>
              <w:right w:val="nil"/>
            </w:tcBorders>
            <w:shd w:val="clear" w:color="auto" w:fill="auto"/>
            <w:vAlign w:val="bottom"/>
            <w:hideMark/>
          </w:tcPr>
          <w:p w:rsidR="00353C85" w:rsidRPr="00353C85" w:rsidRDefault="00353C85" w:rsidP="00353C85">
            <w:pPr>
              <w:jc w:val="right"/>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3,002,263,734.00</w:t>
            </w:r>
          </w:p>
        </w:tc>
        <w:tc>
          <w:tcPr>
            <w:tcW w:w="1780" w:type="dxa"/>
            <w:tcBorders>
              <w:top w:val="nil"/>
              <w:left w:val="nil"/>
              <w:bottom w:val="single" w:sz="4" w:space="0" w:color="auto"/>
              <w:right w:val="nil"/>
            </w:tcBorders>
            <w:shd w:val="clear" w:color="auto" w:fill="auto"/>
            <w:vAlign w:val="bottom"/>
            <w:hideMark/>
          </w:tcPr>
          <w:p w:rsidR="00353C85" w:rsidRPr="00353C85" w:rsidRDefault="00353C85" w:rsidP="00353C85">
            <w:pPr>
              <w:jc w:val="right"/>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976,718,676.00</w:t>
            </w:r>
          </w:p>
        </w:tc>
        <w:tc>
          <w:tcPr>
            <w:tcW w:w="1820" w:type="dxa"/>
            <w:tcBorders>
              <w:top w:val="nil"/>
              <w:left w:val="nil"/>
              <w:bottom w:val="single" w:sz="4" w:space="0" w:color="auto"/>
              <w:right w:val="nil"/>
            </w:tcBorders>
            <w:shd w:val="clear" w:color="auto" w:fill="auto"/>
            <w:vAlign w:val="bottom"/>
            <w:hideMark/>
          </w:tcPr>
          <w:p w:rsidR="00353C85" w:rsidRPr="00353C85" w:rsidRDefault="00353C85" w:rsidP="00353C85">
            <w:pPr>
              <w:jc w:val="right"/>
              <w:rPr>
                <w:rFonts w:ascii="Arial" w:hAnsi="Arial" w:cs="Arial"/>
                <w:b/>
                <w:bCs/>
                <w:color w:val="000000"/>
                <w:sz w:val="16"/>
                <w:szCs w:val="16"/>
                <w:lang w:val="es-MX" w:eastAsia="es-MX"/>
              </w:rPr>
            </w:pPr>
            <w:r w:rsidRPr="00353C85">
              <w:rPr>
                <w:rFonts w:ascii="Arial" w:hAnsi="Arial" w:cs="Arial"/>
                <w:b/>
                <w:bCs/>
                <w:color w:val="000000"/>
                <w:sz w:val="16"/>
                <w:szCs w:val="16"/>
                <w:lang w:val="es-MX" w:eastAsia="es-MX"/>
              </w:rPr>
              <w:t>3,978,982,410.00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001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ABEJONES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1,013,646.00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278,478.00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1,292,124.00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002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ACATLAN DE PEREZ FIGUEROA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30,986,706.00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11,530,914.00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42,517,620.00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003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ASUNCION CACALOTEPEC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3,562,536.00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640,962.00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4,203,498.00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004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ASUNCION CUYOTEPEJI</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722,640.00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259,980.00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982,620.00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005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ASUNCION IXTALTEPEC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7,339,854.00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3,789,516.00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11,129,370.00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006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ASUNCION NOCHIXTLAN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11,431,296.00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4,577,940.00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16,009,236.00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007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ASUNCION OCOTLAN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3,653,910.00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671,016.00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4,324,926.00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008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ASUNCION TLACOLULITA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643,566.00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216,306.00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859,872.00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009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AYOTZINTEPEC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5,599,422.00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1,726,356.00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7,325,778.00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010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EL BARRIO DE LA SOLEDAD</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5,280,588.00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3,495,882.00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8,776,470.00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011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CALIHUALA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886,302.00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313,416.00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1,199,718.00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012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CANDELARIA LOXICHA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12,627,162.00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2,533,020.00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15,160,182.00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013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CIENEGA DE ZIMATLAN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1,317,714.00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715,458.00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2,033,172.00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014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CIUDAD IXTEPEC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9,244,038.00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6,794,976.00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16,039,014.00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015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COATECAS ALTAS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6,484,038.00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1,210,506.00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7,694,544.00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016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COICOYAN DE LAS FLORES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14,196,210.00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2,191,602.00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16,387,812.00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017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LA COMPAÑIA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3,721,386.00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848,280.00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4,569,666.00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018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CONCEPCION BUENAVISTA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713,172.00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214,248.00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927,420.00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019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CONCEPCION PAPALO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2,696,346.00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788,934.00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3,485,280.00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020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CONSTANCIA DEL ROSARIO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4,588,698.00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991,626.00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5,580,324.00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021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COSOLAPA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9,353,202.00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3,767,934.00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13,121,136.00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022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COSOLTEPEC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884,094.00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222,474.00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1,106,568.00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023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CUILAPAM DE GUERRERO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15,826,518.00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4,734,132.00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20,560,650.00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024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CUYAMECALCO VILLA DE ZARAGOZA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4,935,516.00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988,032.00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5,923,548.00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025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CHAHUITES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6,471,930.00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2,852,862.00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9,324,792.00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026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CHALCATONGO DE HIDALGO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7,571,622.00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2,178,756.00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9,750,378.00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027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CHIQUIHUITLAN DE BENITO JUAREZ</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3,259,320.00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631,452.00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3,890,772.00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028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HEROICA CIUDAD DE EJUTLA DE CRESPO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12,493,470.00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5,055,516.00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17,548,986.00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029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ELOXOCHITLAN DE FLORES MAGON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8,576,496.00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1,095,156.00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9,671,652.00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030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EL ESPINAL</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2,774,376.00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2,134,830.00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4,909,206.00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031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TAMAZULAPAM DEL ESPIRITU SANTO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9,359,508.00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1,891,290.00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11,250,798.00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032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FRESNILLO DE TRUJANO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733,224.00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265,374.00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998,598.00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033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GUADALUPE ETLA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1,166,112.00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625,032.00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1,791,144.00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034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GUADALUPE DE RAMIREZ</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701,298.00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366,078.00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1,067,376.00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035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GUELATAO DE JUAREZ</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121,308.00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139,752.00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261,060.00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036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GUEVEA DE HUMBOLDT</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4,323,534.00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1,357,710.00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5,681,244.00</w:t>
            </w:r>
          </w:p>
        </w:tc>
      </w:tr>
      <w:tr w:rsidR="00353C85" w:rsidRPr="00353C85" w:rsidTr="00A00324">
        <w:trPr>
          <w:trHeight w:val="675"/>
        </w:trPr>
        <w:tc>
          <w:tcPr>
            <w:tcW w:w="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lastRenderedPageBreak/>
              <w:t>N.</w:t>
            </w:r>
          </w:p>
        </w:tc>
        <w:tc>
          <w:tcPr>
            <w:tcW w:w="3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MUNICIPIO</w:t>
            </w:r>
          </w:p>
        </w:tc>
        <w:tc>
          <w:tcPr>
            <w:tcW w:w="200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Fondo de Aportaciones para la Infraestructura Social</w:t>
            </w:r>
          </w:p>
        </w:tc>
        <w:tc>
          <w:tcPr>
            <w:tcW w:w="178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 xml:space="preserve">Fondo de Aportaciones para el Fortalecimiento de los Municipios </w:t>
            </w:r>
          </w:p>
        </w:tc>
        <w:tc>
          <w:tcPr>
            <w:tcW w:w="18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Suma</w:t>
            </w:r>
          </w:p>
        </w:tc>
      </w:tr>
    </w:tbl>
    <w:p w:rsidR="00353C85" w:rsidRDefault="00353C85" w:rsidP="00353C85"/>
    <w:tbl>
      <w:tblPr>
        <w:tblW w:w="9440" w:type="dxa"/>
        <w:tblInd w:w="51" w:type="dxa"/>
        <w:tblCellMar>
          <w:left w:w="70" w:type="dxa"/>
          <w:right w:w="70" w:type="dxa"/>
        </w:tblCellMar>
        <w:tblLook w:val="04A0"/>
      </w:tblPr>
      <w:tblGrid>
        <w:gridCol w:w="420"/>
        <w:gridCol w:w="3420"/>
        <w:gridCol w:w="2000"/>
        <w:gridCol w:w="1780"/>
        <w:gridCol w:w="1820"/>
      </w:tblGrid>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037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MESONES HIDALGO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5,703,774.00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1,130,868.00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6,834,642.00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038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VILLA HIDALGO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2,591,976.00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542,568.00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3,134,544.00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039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HEROICA CIUDAD DE HUAJUAPAN DE LEON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25,899,978.00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17,941,572.00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43,841,550.00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040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HUAUTEPEC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9,665,220.00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1,540,104.00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11,205,324.00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041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HUAUTLA DE JIMENEZ</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36,319,164.00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7,707,996.00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44,027,160.00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042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IXTLAN DE JUAREZ</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5,070,756.00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1,971,438.00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7,042,194.00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043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HEROICA CIUDAD DE JUCHITAN DE ZARAGOZA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38,537,904.00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23,901,372.00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62,439,276.00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044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LOMA BONITA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21,466,458.00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10,670,298.00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32,136,756.00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045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MAGDALENA APASCO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2,412,138.00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1,932,390.00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4,344,528.00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046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MAGDALENA JALTEPEC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3,565,692.00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851,106.00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4,416,798.00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047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MAGDALENA JICOTLAN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49,692.00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23,886.00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73,578.00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048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MAGDALENA MIXTEPEC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1,614,168.00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334,992.00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1,949,160.00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049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MAGDALENA OCOTLAN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984,750.00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293,118.00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1,277,868.00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050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MAGDALENA PEÑASCO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5,437,770.00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970,560.00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6,408,330.00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051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MAGDALENA TEITIPAC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6,249,384.00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1,122,132.00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7,371,516.00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052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MAGDALENA TEQUISISTLAN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4,601,430.00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1,588,146.00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6,189,576.00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053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MAGDALENA TLACOTEPEC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651,006.00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313,668.00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964,674.00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054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MAGDALENA ZAHUATLAN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223,944.00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105,066.00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329,010.00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055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MARISCALA DE JUAREZ</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1,939,410.00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906,852.00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2,846,262.00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056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MARTIRES DE TACUBAYA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854,994.00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372,756.00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1,227,750.00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057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MATIAS ROMERO AVENDAÑO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19,306,836.00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9,767,040.00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29,073,876.00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058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MAZATLAN VILLA DE FLORES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14,758,530.00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3,451,434.00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18,209,964.00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059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MIAHUATLAN DE PORFIRIO DIAZ</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28,177,170.00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10,632,276.00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38,809,446.00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060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MIXISTLAN DE LA REFORMA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3,507,066.00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711,606.00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4,218,672.00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061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MONJAS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3,311,670.00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659,712.00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3,971,382.00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062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NATIVIDAD</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195,318.00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150,540.00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345,858.00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063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NAZARENO ETLA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1,200,660.00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997,278.00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2,197,938.00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064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NEJAPA DE MADERO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7,984,884.00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1,898,484.00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9,883,368.00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065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IXPANTEPEC NIEVES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1,029,360.00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303,654.00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1,333,014.00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066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NILTEPEC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4,201,944.00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1,375,176.00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5,577,120.00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067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OAXACA DE JUAREZ</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66,270,336.00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67,656,162.00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133,926,498.00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068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OCOTLAN DE MORELOS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13,611,864.00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5,482,482.00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19,094,346.00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069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LA PE</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2,125,122.00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628,374.00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2,753,496.00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070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PINOTEPA DE DON LUIS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7,338,354.00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1,702,980.00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9,041,334.00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071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PLUMA HIDALGO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4,314,648.00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786,108.00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5,100,756.00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072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JOSE DEL PROGRESO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6,088,218.00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1,690,134.00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7,778,352.00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073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PUTLA VILLA DE GUERRERO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22,326,264.00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8,194,308.00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30,520,572.00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074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CATARINA QUIOQUITANI</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428,748.00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129,732.00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558,480.00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075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REFORMA DE PINEDA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1,520,742.00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686,172.00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2,206,914.00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076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LA REFORMA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2,143,428.00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855,726.00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2,999,154.00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077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REYES ETLA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1,558,218.00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916,614.00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2,474,832.00</w:t>
            </w:r>
          </w:p>
        </w:tc>
      </w:tr>
      <w:tr w:rsidR="00353C85" w:rsidRPr="00353C85" w:rsidTr="00A00324">
        <w:trPr>
          <w:trHeight w:val="675"/>
        </w:trPr>
        <w:tc>
          <w:tcPr>
            <w:tcW w:w="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lastRenderedPageBreak/>
              <w:t>N.</w:t>
            </w:r>
          </w:p>
        </w:tc>
        <w:tc>
          <w:tcPr>
            <w:tcW w:w="3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MUNICIPIO</w:t>
            </w:r>
          </w:p>
        </w:tc>
        <w:tc>
          <w:tcPr>
            <w:tcW w:w="200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Fondo de Aportaciones para la Infraestructura Social</w:t>
            </w:r>
          </w:p>
        </w:tc>
        <w:tc>
          <w:tcPr>
            <w:tcW w:w="178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 xml:space="preserve">Fondo de Aportaciones para el Fortalecimiento de los Municipios </w:t>
            </w:r>
          </w:p>
        </w:tc>
        <w:tc>
          <w:tcPr>
            <w:tcW w:w="18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Suma</w:t>
            </w:r>
          </w:p>
        </w:tc>
      </w:tr>
    </w:tbl>
    <w:p w:rsidR="00353C85" w:rsidRDefault="00353C85"/>
    <w:tbl>
      <w:tblPr>
        <w:tblW w:w="9440" w:type="dxa"/>
        <w:tblInd w:w="51" w:type="dxa"/>
        <w:tblCellMar>
          <w:left w:w="70" w:type="dxa"/>
          <w:right w:w="70" w:type="dxa"/>
        </w:tblCellMar>
        <w:tblLook w:val="04A0"/>
      </w:tblPr>
      <w:tblGrid>
        <w:gridCol w:w="420"/>
        <w:gridCol w:w="3420"/>
        <w:gridCol w:w="2000"/>
        <w:gridCol w:w="1780"/>
        <w:gridCol w:w="1820"/>
      </w:tblGrid>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078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ROJAS DE CUAUHTEMOC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672,888.00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280,530.00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953,418.00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079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SALINA CRUZ</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21,082,716.00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21,161,028.00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42,243,744.00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080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AGUSTIN AMATENGO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1,100,472.00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337,050.00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1,437,522.00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081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AGUSTIN ATENANGO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1,943,454.00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491,700.00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2,435,154.00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082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AGUSTIN CHAYUCO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3,089,058.00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1,015,260.00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4,104,318.00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083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AGUSTIN DE LAS JUNTAS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3,594,504.00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2,078,052.00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5,672,556.00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084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AGUSTIN ETLA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1,172,544.00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1,000,104.00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2,172,648.00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085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AGUSTIN LOXICHA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39,251,250.00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5,796,924.00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45,048,174.00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086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AGUSTIN TLACOTEPEC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1,149,012.00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224,526.00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1,373,538.00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087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AGUSTIN YATARENI</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2,206,806.00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1,046,862.00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3,253,668.00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088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ANDRES CABECERA NUEVA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3,890,298.00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732,414.00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4,622,712.00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089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ANDRES DINICUITI</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1,104,858.00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552,846.00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1,657,704.00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090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ANDRES HUAXPALTEPEC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4,220,964.00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1,507,224.00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5,728,188.00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091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ANDRES HUAYAPAM</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1,372,638.00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1,253,406.00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2,626,044.00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092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ANDRES IXTLAHUACA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1,197,660.00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369,672.00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1,567,332.00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093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ANDRES LAGUNAS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392,406.00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129,732.00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522,138.00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094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ANDRES NUXIÑO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2,006,514.00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487,590.00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2,494,104.00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095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ANDRES PAXTLAN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5,796,474.00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1,025,022.00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6,821,496.00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096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ANDRES SINAXTLA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356,022.00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198,324.00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554,346.00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097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ANDRES SOLAGA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1,202,808.00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447,000.00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1,649,808.00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098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ANDRES TEOTILALPAM</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6,147,042.00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1,137,288.00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7,284,330.00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099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ANDRES TEPETLAPA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493,446.00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122,022.00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615,468.00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100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ANDRES YAA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494,826.00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127,674.00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622,500.00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101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ANDRES ZABACHE</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839,916.00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186,504.00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1,026,420.00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102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ANDRES ZAUTLA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3,804,036.00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1,131,636.00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4,935,672.00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103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ANTONINO CASTILLO VELASCO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3,428,754.00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1,451,736.00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4,880,490.00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104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ANTONINO EL ALTO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3,372,990.00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644,298.00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4,017,288.00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105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ANTONINO MONTE VERDE</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6,110,724.00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1,708,374.00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7,819,098.00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106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ANTONIO ACUTLA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212,250.00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76,296.00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288,546.00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107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ANTONIO DE LA CAL</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7,810,134.00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5,512,026.00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13,322,160.00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108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ANTONIO HUITEPEC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5,110,500.00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1,101,840.00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6,212,340.00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109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ANTONIO NANAHUATIPAM</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564,444.00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316,752.00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881,196.00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110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ANTONIO SINICAHUA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3,129,300.00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411,804.00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3,541,104.00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111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ANTONIO TEPETLAPA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4,337,544.00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1,128,810.00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5,466,354.00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112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BALTAZAR CHICHICAPAM</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2,085,366.00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626,574.00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2,711,940.00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113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BALTAZAR LOXICHA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2,415,132.00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727,536.00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3,142,668.00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114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BALTAZAR YATZACHI EL BAJO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556,038.00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173,916.00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729,954.00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115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BARTOLO COYOTEPEC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2,547,810.00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2,230,908.00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4,778,718.00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116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BARTOLOME AYAUTLA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5,457,594.00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1,040,952.00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6,498,546.00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117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BARTOLOME LOXICHA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3,612,810.00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622,206.00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4,235,016.00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118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BARTOLOME QUIALANA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2,695,704.00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634,536.00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3,330,240.00</w:t>
            </w:r>
          </w:p>
        </w:tc>
      </w:tr>
      <w:tr w:rsidR="00353C85" w:rsidRPr="00353C85" w:rsidTr="00A00324">
        <w:trPr>
          <w:trHeight w:val="675"/>
        </w:trPr>
        <w:tc>
          <w:tcPr>
            <w:tcW w:w="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lastRenderedPageBreak/>
              <w:t>N.</w:t>
            </w:r>
          </w:p>
        </w:tc>
        <w:tc>
          <w:tcPr>
            <w:tcW w:w="3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MUNICIPIO</w:t>
            </w:r>
          </w:p>
        </w:tc>
        <w:tc>
          <w:tcPr>
            <w:tcW w:w="200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Fondo de Aportaciones para la Infraestructura Social</w:t>
            </w:r>
          </w:p>
        </w:tc>
        <w:tc>
          <w:tcPr>
            <w:tcW w:w="178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 xml:space="preserve">Fondo de Aportaciones para el Fortalecimiento de los Municipios </w:t>
            </w:r>
          </w:p>
        </w:tc>
        <w:tc>
          <w:tcPr>
            <w:tcW w:w="18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Suma</w:t>
            </w:r>
          </w:p>
        </w:tc>
      </w:tr>
    </w:tbl>
    <w:p w:rsidR="00353C85" w:rsidRDefault="00353C85" w:rsidP="00353C85"/>
    <w:tbl>
      <w:tblPr>
        <w:tblW w:w="9440" w:type="dxa"/>
        <w:tblInd w:w="51" w:type="dxa"/>
        <w:tblCellMar>
          <w:left w:w="70" w:type="dxa"/>
          <w:right w:w="70" w:type="dxa"/>
        </w:tblCellMar>
        <w:tblLook w:val="04A0"/>
      </w:tblPr>
      <w:tblGrid>
        <w:gridCol w:w="420"/>
        <w:gridCol w:w="3420"/>
        <w:gridCol w:w="2000"/>
        <w:gridCol w:w="1780"/>
        <w:gridCol w:w="1820"/>
      </w:tblGrid>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119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BARTOLOME YUCUAÑE</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495,444.00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102,498.00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597,942.00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120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BARTOLOME ZOOGOCHO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200,106.00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94,536.00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294,642.00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121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BARTOLO SOYALTEPEC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581,886.00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168,264.00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750,150.00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122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BARTOLO YAUTEPEC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726,042.00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173,916.00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899,958.00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123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BERNARDO MIXTEPEC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2,624,772.00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694,908.00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3,319,680.00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124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BLAS ATEMPA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18,473,952.00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4,391,430.00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22,865,382.00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125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CARLOS YAUTEPEC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13,649,676.00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3,034,746.00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16,684,422.00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126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CRISTOBAL AMATLAN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7,611,990.00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1,290,660.00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8,902,650.00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127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CRISTOBAL AMOLTEPEC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2,624,784.00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329,598.00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2,954,382.00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128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CRISTOBAL LACHIRIOAG</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736,992.00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315,984.00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1,052,976.00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129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CRISTOBAL SUCHIXTLAHUACA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178,074.00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85,800.00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263,874.00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130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DIONISIO DEL MAR</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5,846,184.00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1,309,668.00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7,155,852.00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131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DIONISIO OCOTEPEC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10,560,606.00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2,697,438.00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13,258,044.00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132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DIONISIO OCOTLAN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824,466.00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319,836.00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1,144,302.00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133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ESTEBAN ATATLAHUCA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8,909,844.00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1,020,912.00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9,930,756.00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134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FELIPE JALAPA DE DIAZ</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26,555,466.00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6,894,654.00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33,450,120.00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135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FELIPE TEJALAPAM</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6,914,124.00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1,846,332.00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8,760,456.00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136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FELIPE USILA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13,742,826.00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2,973,606.00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16,716,432.00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137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FRANCISCO CAHUACUA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5,900,130.00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880,392.00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6,780,522.00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138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FRANCISCO CAJONOS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285,714.00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118,170.00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403,884.00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139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FRANCISCO CHAPULAPA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2,947,140.00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548,736.00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3,495,876.00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140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FRANCISCO CHINDUA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610,296.00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212,454.00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822,750.00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141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FRANCISCO DEL MAR</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6,114,204.00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1,857,894.00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7,972,098.00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142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FRANCISCO HUEHUETLAN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1,162,746.00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298,002.00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1,460,748.00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143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FRANCISCO IXHUATAN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5,679,120.00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2,301,558.00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7,980,678.00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144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FRANCISCO JALTEPETONGO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1,211,274.00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285,156.00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1,496,430.00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145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FRANCISCO LACHIGOLO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2,090,148.00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892,464.00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2,982,612.00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146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FRANCISCO LOGUECHE</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3,708,858.00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684,888.00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4,393,746.00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147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FRANCISCO NUXAÑO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397,152.00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97,104.00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494,256.00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148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FRANCISCO OZOLOTEPEC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2,198,430.00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499,668.00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2,698,098.00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149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FRANCISCO SOLA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1,519,560.00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387,660.00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1,907,220.00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150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FRANCISCO TELIXTLAHUACA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5,654,832.00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3,055,296.00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8,710,128.00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151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FRANCISCO TEOPAN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390,090.00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101,214.00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491,304.00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152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FRANCISCO TLAPANCINGO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2,007,564.00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552,846.00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2,560,410.00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153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GABRIEL MIXTEPEC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4,579,740.00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1,215,900.00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5,795,640.00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154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ILDEFONSO AMATLAN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2,731,608.00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614,754.00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3,346,362.00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155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ILDEFONSO SOLA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1,045,320.00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241,482.00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1,286,802.00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156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ILDEFONSO VILLA ALTA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2,128,086.00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893,490.00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3,021,576.00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157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JACINTO AMILPAS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2,505,036.00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3,560,616.00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6,065,652.00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158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JACINTO TLACOTEPEC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2,691,528.00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573,138.00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3,264,666.00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159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JERONIMO COATLAN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6,876,498.00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1,399,842.00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8,276,340.00</w:t>
            </w:r>
          </w:p>
        </w:tc>
      </w:tr>
      <w:tr w:rsidR="00353C85" w:rsidRPr="00353C85" w:rsidTr="00A00324">
        <w:trPr>
          <w:trHeight w:val="675"/>
        </w:trPr>
        <w:tc>
          <w:tcPr>
            <w:tcW w:w="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lastRenderedPageBreak/>
              <w:t>N.</w:t>
            </w:r>
          </w:p>
        </w:tc>
        <w:tc>
          <w:tcPr>
            <w:tcW w:w="3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MUNICIPIO</w:t>
            </w:r>
          </w:p>
        </w:tc>
        <w:tc>
          <w:tcPr>
            <w:tcW w:w="200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Fondo de Aportaciones para la Infraestructura Social</w:t>
            </w:r>
          </w:p>
        </w:tc>
        <w:tc>
          <w:tcPr>
            <w:tcW w:w="178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 xml:space="preserve">Fondo de Aportaciones para el Fortalecimiento de los Municipios </w:t>
            </w:r>
          </w:p>
        </w:tc>
        <w:tc>
          <w:tcPr>
            <w:tcW w:w="18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Suma</w:t>
            </w:r>
          </w:p>
        </w:tc>
      </w:tr>
    </w:tbl>
    <w:p w:rsidR="00353C85" w:rsidRDefault="00353C85" w:rsidP="00353C85"/>
    <w:tbl>
      <w:tblPr>
        <w:tblW w:w="9440" w:type="dxa"/>
        <w:tblInd w:w="51" w:type="dxa"/>
        <w:tblCellMar>
          <w:left w:w="70" w:type="dxa"/>
          <w:right w:w="70" w:type="dxa"/>
        </w:tblCellMar>
        <w:tblLook w:val="04A0"/>
      </w:tblPr>
      <w:tblGrid>
        <w:gridCol w:w="420"/>
        <w:gridCol w:w="3420"/>
        <w:gridCol w:w="2000"/>
        <w:gridCol w:w="1780"/>
        <w:gridCol w:w="1820"/>
      </w:tblGrid>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160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JERONIMO SILACAYOAPILLA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1,128,780.00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372,246.00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1,501,026.00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161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JERONIMO SOSOLA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3,083,652.00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657,402.00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3,741,054.00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162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JERONIMO TAVICHE</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2,317,554.00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474,744.00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2,792,298.00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163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JERONIMO TECOATL</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2,012,580.00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412,578.00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2,425,158.00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164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JORGE NUCHITA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2,063,154.00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825,930.00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2,889,084.00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165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JOSE AYUQUILA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1,301,052.00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388,170.00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1,689,222.00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166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JOSE CHILTEPEC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9,591,348.00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2,830,770.00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12,422,118.00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167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JOSE DEL PEÑASCO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2,680,542.00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537,942.00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3,218,484.00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168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JOSE ESTANCIA GRANDE</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854,952.00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250,986.00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1,105,938.00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169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JOSE INDEPENDENCIA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3,888,420.00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946,416.00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4,834,836.00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170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JOSE LACHIGUIRI</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6,427,458.00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988,800.00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7,416,258.00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171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JOSE TENANGO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40,543,278.00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4,746,978.00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45,290,256.00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172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ACHIUTLA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273,864.00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110,466.00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384,330.00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173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ATEPEC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654,582.00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389,712.00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1,044,294.00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174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ANIMAS TRUJANO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607,386.00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965,682.00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1,573,068.00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175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BAUTISTA ATATLAHUCA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1,118,430.00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442,890.00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1,561,320.00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176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BAUTISTA COIXTLAHUACA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3,617,586.00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721,368.00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4,338,954.00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177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BAUTISTA CUICATLAN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6,221,598.00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2,425,380.00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8,646,978.00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178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BAUTISTA GUELACHE</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2,247,810.00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1,615,122.00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3,862,932.00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179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BAUTISTA JAYACATLAN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1,276,842.00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375,582.00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1,652,424.00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180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BAUTISTA LO DE SOTO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1,791,414.00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597,288.00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2,388,702.00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181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BAUTISTA SUCHITEPEC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438,570.00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107,124.00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545,694.00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182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BAUTISTA TLACOATZINTEPEC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2,803,296.00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588,810.00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3,392,106.00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183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BAUTISTA TLACHICHILCO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1,362,042.00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371,730.00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1,733,772.00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184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BAUTISTA TUXTEPEC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69,889,944.00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40,016,136.00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109,906,080.00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185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CACAHUATEPEC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4,640,610.00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2,229,882.00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6,870,492.00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186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CIENEGUILLA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473,886.00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155,418.00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629,304.00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187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COATZOSPAM</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4,283,178.00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651,234.00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4,934,412.00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188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COLORADO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10,095,132.00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2,438,994.00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12,534,126.00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189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COMALTEPEC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6,485,610.00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646,614.00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7,132,224.00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190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COTZOCON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20,542,656.00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5,743,230.00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26,285,886.00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191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CHICOMEZUCHIL</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119,610.00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82,206.00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201,816.00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192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CHILATECA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473,034.00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370,446.00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843,480.00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193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DEL ESTADO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1,558,074.00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654,060.00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2,212,134.00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194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DEL RIO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950,664.00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316,242.00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1,266,906.00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195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DIUXI</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1,545,834.00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322,662.00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1,868,496.00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196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EVANGELISTA ANALCO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114,510.00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103,782.00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218,292.00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197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GUELAVIA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2,582,034.00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782,766.00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3,364,800.00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198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GUICHICOVI</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28,524,354.00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7,229,652.00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35,754,006.00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199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IHUALTEPEC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849,942.00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183,168.00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1,033,110.00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200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JUQUILA MIXES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5,117,706.00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1,008,066.00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6,125,772.00</w:t>
            </w:r>
          </w:p>
        </w:tc>
      </w:tr>
      <w:tr w:rsidR="00353C85" w:rsidRPr="00353C85" w:rsidTr="00A00324">
        <w:trPr>
          <w:trHeight w:val="675"/>
        </w:trPr>
        <w:tc>
          <w:tcPr>
            <w:tcW w:w="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lastRenderedPageBreak/>
              <w:t>N.</w:t>
            </w:r>
          </w:p>
        </w:tc>
        <w:tc>
          <w:tcPr>
            <w:tcW w:w="3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MUNICIPIO</w:t>
            </w:r>
          </w:p>
        </w:tc>
        <w:tc>
          <w:tcPr>
            <w:tcW w:w="200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Fondo de Aportaciones para la Infraestructura Social</w:t>
            </w:r>
          </w:p>
        </w:tc>
        <w:tc>
          <w:tcPr>
            <w:tcW w:w="178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 xml:space="preserve">Fondo de Aportaciones para el Fortalecimiento de los Municipios </w:t>
            </w:r>
          </w:p>
        </w:tc>
        <w:tc>
          <w:tcPr>
            <w:tcW w:w="18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Suma</w:t>
            </w:r>
          </w:p>
        </w:tc>
      </w:tr>
    </w:tbl>
    <w:p w:rsidR="00353C85" w:rsidRDefault="00353C85" w:rsidP="00353C85"/>
    <w:tbl>
      <w:tblPr>
        <w:tblW w:w="9440" w:type="dxa"/>
        <w:tblInd w:w="51" w:type="dxa"/>
        <w:tblCellMar>
          <w:left w:w="70" w:type="dxa"/>
          <w:right w:w="70" w:type="dxa"/>
        </w:tblCellMar>
        <w:tblLook w:val="04A0"/>
      </w:tblPr>
      <w:tblGrid>
        <w:gridCol w:w="420"/>
        <w:gridCol w:w="3420"/>
        <w:gridCol w:w="2000"/>
        <w:gridCol w:w="1780"/>
        <w:gridCol w:w="1820"/>
      </w:tblGrid>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201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JUQUILA VIJANOS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1,418,034.00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470,634.00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1,888,668.00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202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LACHAO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4,533,114.00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1,164,006.00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5,697,120.00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203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LACHIGALLA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3,963,534.00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843,912.00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4,807,446.00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204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LAJARCIA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900,186.00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183,678.00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1,083,864.00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205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LALANA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25,786,320.00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4,469,526.00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30,255,846.00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206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DE LOS CUES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1,493,976.00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605,508.00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2,099,484.00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207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MAZATLAN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29,650,602.00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4,392,972.00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34,043,574.00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208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MIXTEPEC - DTO. 08 -</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10,860,648.00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1,955,256.00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12,815,904.00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209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MIXTEPEC - DTO. 26 -</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939,180.00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182,652.00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1,121,832.00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210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ÑUMI</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8,754,870.00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1,712,484.00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10,467,354.00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211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OZOLOTEPEC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3,868,110.00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813,852.00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4,681,962.00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212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PETLAPA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10,726,980.00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721,110.00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11,448,090.00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213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QUIAHIJE</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4,057,320.00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932,028.00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4,989,348.00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214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QUIOTEPEC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2,214,966.00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594,204.00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2,809,170.00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215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SAYULTEPEC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582,972.00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196,266.00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779,238.00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216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TABAA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664,674.00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341,928.00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1,006,602.00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217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TAMAZOLA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7,099,926.00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885,270.00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7,985,196.00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218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TEITA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813,756.00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155,934.00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969,690.00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219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TEITIPAC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2,429,166.00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658,944.00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3,088,110.00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220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TEPEUXILA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2,785,962.00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712,380.00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3,498,342.00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221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TEPOSCOLULA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1,090,440.00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344,244.00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1,434,684.00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222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YAEE</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868,614.00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393,054.00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1,261,668.00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223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YATZONA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214,020.00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116,118.00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330,138.00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224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YUCUITA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503,604.00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175,716.00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679,320.00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225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LORENZO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8,159,124.00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1,529,832.00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9,688,956.00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226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LORENZO ALBARRADAS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2,963,028.00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695,682.00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3,658,710.00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227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LORENZO CACAOTEPEC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4,911,618.00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3,520,542.00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8,432,160.00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228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LORENZO CUAUNECUILTITLA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961,398.00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198,066.00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1,159,464.00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229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LORENZO TEXMELUCAN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9,224,160.00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1,810,620.00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11,034,780.00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230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LORENZO VICTORIA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606,498.00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258,696.00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865,194.00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231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LUCAS CAMOTLAN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5,204,928.00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777,372.00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5,982,300.00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232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LUCAS OJITLAN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26,225,538.00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5,526,924.00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31,752,462.00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233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LUCAS QUIAVINI</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1,471,782.00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448,284.00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1,920,066.00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234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LUCAS ZOQUIAPAM</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11,519,370.00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1,940,610.00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13,459,980.00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235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LUIS AMATLAN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4,637,496.00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931,002.00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5,568,498.00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236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MARCIAL OZOLOTEPEC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3,217,566.00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391,770.00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3,609,336.00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237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MARCOS ARTEAGA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957,942.00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399,990.00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1,357,932.00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238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MARTIN DE LOS CANSECOS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757,590.00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209,628.00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967,218.00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239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MARTIN HUAMELULPAM</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1,267,194.00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276,678.00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1,543,872.00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240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MARTIN ITUNYOSO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3,532,134.00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631,968.00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4,164,102.00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241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MARTIN LACHILA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916,836.00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278,478.00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1,195,314.00</w:t>
            </w:r>
          </w:p>
        </w:tc>
      </w:tr>
      <w:tr w:rsidR="00353C85" w:rsidRPr="00353C85" w:rsidTr="00A00324">
        <w:trPr>
          <w:trHeight w:val="675"/>
        </w:trPr>
        <w:tc>
          <w:tcPr>
            <w:tcW w:w="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lastRenderedPageBreak/>
              <w:t>N.</w:t>
            </w:r>
          </w:p>
        </w:tc>
        <w:tc>
          <w:tcPr>
            <w:tcW w:w="3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MUNICIPIO</w:t>
            </w:r>
          </w:p>
        </w:tc>
        <w:tc>
          <w:tcPr>
            <w:tcW w:w="200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Fondo de Aportaciones para la Infraestructura Social</w:t>
            </w:r>
          </w:p>
        </w:tc>
        <w:tc>
          <w:tcPr>
            <w:tcW w:w="178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 xml:space="preserve">Fondo de Aportaciones para el Fortalecimiento de los Municipios </w:t>
            </w:r>
          </w:p>
        </w:tc>
        <w:tc>
          <w:tcPr>
            <w:tcW w:w="18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Suma</w:t>
            </w:r>
          </w:p>
        </w:tc>
      </w:tr>
    </w:tbl>
    <w:p w:rsidR="00353C85" w:rsidRDefault="00353C85" w:rsidP="00353C85"/>
    <w:tbl>
      <w:tblPr>
        <w:tblW w:w="9440" w:type="dxa"/>
        <w:tblInd w:w="51" w:type="dxa"/>
        <w:tblCellMar>
          <w:left w:w="70" w:type="dxa"/>
          <w:right w:w="70" w:type="dxa"/>
        </w:tblCellMar>
        <w:tblLook w:val="04A0"/>
      </w:tblPr>
      <w:tblGrid>
        <w:gridCol w:w="420"/>
        <w:gridCol w:w="3420"/>
        <w:gridCol w:w="2000"/>
        <w:gridCol w:w="1780"/>
        <w:gridCol w:w="1820"/>
      </w:tblGrid>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242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MARTIN PERAS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13,042,656.00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2,918,628.00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15,961,284.00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243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MARTIN TILCAJETE</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1,136,250.00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447,516.00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1,583,766.00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244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MARTIN TOXPALAN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2,289,576.00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942,558.00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3,232,134.00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245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MARTIN ZACATEPEC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992,340.00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328,056.00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1,320,396.00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246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MATEO CAJONOS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454,752.00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159,276.00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614,028.00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247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CAPULALPAM DE MENDEZ</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280,920.00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376,866.00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657,786.00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248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MATEO DEL MAR</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23,098,116.00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3,661,320.00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26,759,436.00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249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MATEO YOLOXOCHITLAN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3,267,462.00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892,722.00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4,160,184.00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250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MATEO ETLATONGO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1,070,460.00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303,396.00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1,373,856.00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251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MATEO NEJAPAM</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1,024,290.00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303,138.00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1,327,428.00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252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MATEO PEÑASCO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2,964,306.00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543,594.00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3,507,900.00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253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MATEO PIÑAS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4,877,712.00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571,854.00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5,449,566.00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254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MATEO RIO HONDO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5,890,644.00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849,822.00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6,740,466.00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255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MATEO SINDIHUI</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2,357,220.00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535,890.00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2,893,110.00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256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MATEO TLAPILTEPEC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132,306.00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60,114.00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192,420.00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257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MELCHOR BETAZA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1,395,408.00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280,272.00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1,675,680.00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258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MIGUEL ACHIUTLA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678,060.00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191,130.00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869,190.00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259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MIGUEL AHUEHUETITLAN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2,922,906.00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633,252.00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3,556,158.00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260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MIGUEL ALOAPAM</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2,635,326.00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639,162.00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3,274,488.00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261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MIGUEL AMATITLAN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8,917,602.00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1,860,972.00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10,778,574.00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262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MIGUEL AMATLAN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626,124.00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267,942.00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894,066.00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263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MIGUEL COATLAN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8,057,166.00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894,774.00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8,951,940.00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264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MIGUEL CHICAHUA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3,152,160.00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584,184.00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3,736,344.00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265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MIGUEL CHIMALAPA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7,662,726.00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1,697,586.00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9,360,312.00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266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MIGUEL DEL PUERTO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9,293,196.00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2,178,756.00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11,471,952.00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267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MIGUEL DEL RIO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81,204.00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75,528.00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156,732.00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268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MIGUEL EJUTLA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519,642.00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235,314.00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754,956.00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269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MIGUEL EL GRANDE</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4,230,930.00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1,060,218.00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5,291,148.00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270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MIGUEL HUAUTLA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2,881,506.00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359,400.00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3,240,906.00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271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MIGUEL MIXTEPEC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4,822,014.00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833,634.00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5,655,648.00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272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MIGUEL PANIXTLAHUACA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5,948,340.00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1,582,752.00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7,531,092.00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273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MIGUEL PERAS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5,543,670.00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898,374.00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6,442,044.00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274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MIGUEL PIEDRAS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1,804,482.00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332,940.00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2,137,422.00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275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MIGUEL QUETZALTEPEC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8,066,142.00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1,873,560.00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9,939,702.00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276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MIGUEL SANTA FLOR</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1,095,366.00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205,776.00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1,301,142.00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277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VILLA SOLA DE VEGA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16,706,244.00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3,217,656.00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19,923,900.00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278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MIGUEL SOYALTEPEC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31,241,988.00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9,393,252.00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40,635,240.00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279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MIGUEL SUCHIXTEPEC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3,886,740.00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747,828.00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4,634,568.00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280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VILLA TALEA DE CASTRO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1,132,686.00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615,012.00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1,747,698.00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281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MIGUEL TECOMATLAN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140,778.00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79,122.00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219,900.00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282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MIGUEL TENANGO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1,045,566.00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203,976.00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1,249,542.00</w:t>
            </w:r>
          </w:p>
        </w:tc>
      </w:tr>
      <w:tr w:rsidR="00353C85" w:rsidRPr="00353C85" w:rsidTr="00A00324">
        <w:trPr>
          <w:trHeight w:val="675"/>
        </w:trPr>
        <w:tc>
          <w:tcPr>
            <w:tcW w:w="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lastRenderedPageBreak/>
              <w:t>N.</w:t>
            </w:r>
          </w:p>
        </w:tc>
        <w:tc>
          <w:tcPr>
            <w:tcW w:w="3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MUNICIPIO</w:t>
            </w:r>
          </w:p>
        </w:tc>
        <w:tc>
          <w:tcPr>
            <w:tcW w:w="200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Fondo de Aportaciones para la Infraestructura Social</w:t>
            </w:r>
          </w:p>
        </w:tc>
        <w:tc>
          <w:tcPr>
            <w:tcW w:w="178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 xml:space="preserve">Fondo de Aportaciones para el Fortalecimiento de los Municipios </w:t>
            </w:r>
          </w:p>
        </w:tc>
        <w:tc>
          <w:tcPr>
            <w:tcW w:w="18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Suma</w:t>
            </w:r>
          </w:p>
        </w:tc>
      </w:tr>
    </w:tbl>
    <w:p w:rsidR="00353C85" w:rsidRDefault="00353C85" w:rsidP="00353C85"/>
    <w:tbl>
      <w:tblPr>
        <w:tblW w:w="9440" w:type="dxa"/>
        <w:tblInd w:w="51" w:type="dxa"/>
        <w:tblCellMar>
          <w:left w:w="70" w:type="dxa"/>
          <w:right w:w="70" w:type="dxa"/>
        </w:tblCellMar>
        <w:tblLook w:val="04A0"/>
      </w:tblPr>
      <w:tblGrid>
        <w:gridCol w:w="420"/>
        <w:gridCol w:w="3420"/>
        <w:gridCol w:w="2000"/>
        <w:gridCol w:w="1780"/>
        <w:gridCol w:w="1820"/>
      </w:tblGrid>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283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MIGUEL TEQUIXTEPEC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661,776.00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267,684.00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929,460.00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284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MIGUEL TILQUIAPAM</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3,697,524.00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811,800.00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4,509,324.00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285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MIGUEL TLACAMAMA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2,552,970.00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869,856.00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3,422,826.00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286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MIGUEL TLACOTEPEC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2,715,612.00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827,214.00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3,542,826.00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287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MIGUEL TULANCINGO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242,046.00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88,884.00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330,930.00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288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MIGUEL YOTAO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410,670.00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156,960.00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567,630.00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289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NICOLAS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835,470.00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293,634.00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1,129,104.00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290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NICOLAS HIDALGO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666,030.00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259,980.00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926,010.00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291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PABLO COATLAN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4,630,152.00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1,070,496.00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5,700,648.00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292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PABLO CUATRO VENADOS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2,427,522.00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356,574.00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2,784,096.00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293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PABLO ETLA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3,763,122.00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3,990,924.00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7,754,046.00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294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PABLO HUITZO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3,296,628.00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1,620,258.00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4,916,886.00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295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PABLO HUIXTEPEC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4,598,196.00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2,318,514.00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6,916,710.00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296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PABLO MACUILTIANGUIS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487,866.00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238,656.00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726,522.00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297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PABLO TIJALTEPEC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3,406,104.00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552,330.00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3,958,434.00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298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PABLO VILLA DE MITLA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9,706,602.00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3,037,830.00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12,744,432.00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299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PABLO YAGANIZA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908,634.00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284,640.00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1,193,274.00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300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AMUZGOS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6,353,748.00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1,661,622.00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8,015,370.00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301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APOSTOL</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860,388.00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396,648.00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1,257,036.00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302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ATOYAC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4,443,378.00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1,062,534.00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5,505,912.00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303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CAJONOS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632,172.00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301,080.00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933,252.00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304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COXCALTEPEC CANTAROS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955,656.00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218,616.00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1,174,272.00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305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COMITANCILLO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1,184,268.00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1,013,208.00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2,197,476.00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306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EL ALTO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4,345,500.00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1,002,672.00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5,348,172.00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307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HUAMELULA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6,589,464.00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2,464,686.00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9,054,150.00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308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HUILOTEPEC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1,466,994.00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729,336.00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2,196,330.00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309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IXCATLAN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10,540,350.00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2,664,300.00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13,204,650.00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310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IXTLAHUACA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5,994,396.00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1,752,564.00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7,746,960.00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311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JALTEPETONGO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341,898.00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117,654.00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459,552.00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312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JICAYAN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10,315,068.00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2,968,464.00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13,283,532.00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313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JOCOTIPAC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1,129,698.00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214,248.00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1,343,946.00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314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JUCHATENGO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958,806.00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434,928.00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1,393,734.00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315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MARTIR</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1,993,752.00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439,554.00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2,433,306.00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316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MARTIR QUIECHAPA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739,980.00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193,440.00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933,420.00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317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MARTIR YUCUXACO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1,547,022.00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360,942.00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1,907,964.00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318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MIXTEPEC - DTO. 22 -</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19,485,522.00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11,010,690.00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30,496,212.00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319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MIXTEPEC - DTO. 26 -</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1,189,506.00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282,330.00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1,471,836.00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320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MOLINOS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718,848.00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185,736.00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904,584.00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321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NOPALA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781,578.00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215,790.00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997,368.00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322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OCOPETATILLO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1,094,988.00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227,094.00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1,322,082.00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323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OCOTEPEC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2,854,470.00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548,478.00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3,402,948.00</w:t>
            </w:r>
          </w:p>
        </w:tc>
      </w:tr>
      <w:tr w:rsidR="00353C85" w:rsidRPr="00353C85" w:rsidTr="00A00324">
        <w:trPr>
          <w:trHeight w:val="675"/>
        </w:trPr>
        <w:tc>
          <w:tcPr>
            <w:tcW w:w="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lastRenderedPageBreak/>
              <w:t>N.</w:t>
            </w:r>
          </w:p>
        </w:tc>
        <w:tc>
          <w:tcPr>
            <w:tcW w:w="3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MUNICIPIO</w:t>
            </w:r>
          </w:p>
        </w:tc>
        <w:tc>
          <w:tcPr>
            <w:tcW w:w="200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Fondo de Aportaciones para la Infraestructura Social</w:t>
            </w:r>
          </w:p>
        </w:tc>
        <w:tc>
          <w:tcPr>
            <w:tcW w:w="178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 xml:space="preserve">Fondo de Aportaciones para el Fortalecimiento de los Municipios </w:t>
            </w:r>
          </w:p>
        </w:tc>
        <w:tc>
          <w:tcPr>
            <w:tcW w:w="18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Suma</w:t>
            </w:r>
          </w:p>
        </w:tc>
      </w:tr>
    </w:tbl>
    <w:p w:rsidR="00353C85" w:rsidRDefault="00353C85" w:rsidP="00353C85"/>
    <w:tbl>
      <w:tblPr>
        <w:tblW w:w="9440" w:type="dxa"/>
        <w:tblInd w:w="51" w:type="dxa"/>
        <w:tblCellMar>
          <w:left w:w="70" w:type="dxa"/>
          <w:right w:w="70" w:type="dxa"/>
        </w:tblCellMar>
        <w:tblLook w:val="04A0"/>
      </w:tblPr>
      <w:tblGrid>
        <w:gridCol w:w="420"/>
        <w:gridCol w:w="3420"/>
        <w:gridCol w:w="2000"/>
        <w:gridCol w:w="1780"/>
        <w:gridCol w:w="1820"/>
      </w:tblGrid>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324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POCHUTLA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34,478,910.00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11,267,592.00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45,746,502.00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325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QUIATONI</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19,625,250.00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2,695,128.00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22,320,378.00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326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SOCHIAPAM</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6,148,908.00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1,273,446.00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7,422,354.00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327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TAPANATEPEC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9,682,878.00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3,594,528.00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13,277,406.00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328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TAVICHE</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1,575,258.00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301,338.00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1,876,596.00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329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TEOZACOALCO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1,428,312.00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339,102.00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1,767,414.00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330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TEUTILA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5,088,246.00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1,098,756.00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6,187,002.00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331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TIDAA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1,396,836.00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229,662.00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1,626,498.00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332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TOPILTEPEC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211,326.00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104,298.00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315,624.00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333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TOTOLAPAM</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1,441,356.00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668,706.00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2,110,062.00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334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VILLA DE TUTUTEPEC DE MELCHOR OCAMPO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32,185,194.00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11,281,206.00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43,466,400.00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335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YANERI</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753,906.00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257,412.00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1,011,318.00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336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YOLOX</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2,579,490.00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582,390.00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3,161,880.00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337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Y SAN PABLO AYUTLA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11,130,588.00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1,439,148.00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12,569,736.00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338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VILLA DE ETLA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3,164,910.00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2,384,022.00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5,548,932.00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339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Y SAN PABLO TEPOSCOLULA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2,029,008.00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1,024,770.00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3,053,778.00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340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Y SAN PABLO TEQUIXTEPEC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1,706,886.00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482,454.00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2,189,340.00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341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PEDRO YUCUNAMA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120,660.00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59,598.00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180,258.00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342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RAYMUNDO JALPAN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1,279,860.00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534,090.00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1,813,950.00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343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SEBASTIAN ABASOLO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1,552,818.00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475,002.00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2,027,820.00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344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SEBASTIAN COATLAN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2,595,804.00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671,274.00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3,267,078.00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345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SEBASTIAN IXCAPA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2,690,964.00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1,019,370.00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3,710,334.00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346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SEBASTIAN NICANANDUTA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627,678.00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372,246.00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999,924.00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347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SEBASTIAN RIO HONDO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5,441,016.00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941,274.00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6,382,290.00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348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SEBASTIAN TECOMAXTLAHUACA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8,305,590.00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2,118,384.00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10,423,974.00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349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SEBASTIAN TEITIPAC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1,817,196.00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507,630.00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2,324,826.00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350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SEBASTIAN TUTLA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2,592,144.00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4,172,292.00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6,764,436.00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351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SIMON ALMOLONGAS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2,813,676.00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673,842.00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3,487,518.00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352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SIMON ZAHUATLAN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4,339,002.00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984,690.00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5,323,692.00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353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ANA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1,879,344.00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508,146.00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2,387,490.00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354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ANA ATEIXTLAHUACA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1,227,870.00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131,016.00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1,358,886.00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355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ANA CUAUHTEMOC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1,075,680.00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189,588.00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1,265,268.00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356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ANA DEL VALLE</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1,128,144.00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511,998.00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1,640,142.00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357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ANA TAVELA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1,110,978.00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233,262.00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1,344,240.00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358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ANA TLAPACOYAN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2,014,578.00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476,286.00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2,490,864.00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359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ANA YARENI</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576,588.00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207,828.00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784,416.00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360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ANA ZEGACHE</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3,640,872.00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922,776.00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4,563,648.00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361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CATALINA QUIERI</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990,216.00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236,856.00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1,227,072.00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362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CATARINA CUIXTLA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936,564.00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384,318.00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1,320,882.00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363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CATARINA IXTEPEJI</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1,688,088.00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676,410.00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2,364,498.00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364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CATARINA JUQUILA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12,387,066.00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3,778,980.00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16,166,046.00</w:t>
            </w:r>
          </w:p>
        </w:tc>
      </w:tr>
      <w:tr w:rsidR="00353C85" w:rsidRPr="00353C85" w:rsidTr="00A00324">
        <w:trPr>
          <w:trHeight w:val="675"/>
        </w:trPr>
        <w:tc>
          <w:tcPr>
            <w:tcW w:w="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lastRenderedPageBreak/>
              <w:t>N.</w:t>
            </w:r>
          </w:p>
        </w:tc>
        <w:tc>
          <w:tcPr>
            <w:tcW w:w="3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MUNICIPIO</w:t>
            </w:r>
          </w:p>
        </w:tc>
        <w:tc>
          <w:tcPr>
            <w:tcW w:w="200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Fondo de Aportaciones para la Infraestructura Social</w:t>
            </w:r>
          </w:p>
        </w:tc>
        <w:tc>
          <w:tcPr>
            <w:tcW w:w="178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 xml:space="preserve">Fondo de Aportaciones para el Fortalecimiento de los Municipios </w:t>
            </w:r>
          </w:p>
        </w:tc>
        <w:tc>
          <w:tcPr>
            <w:tcW w:w="18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Suma</w:t>
            </w:r>
          </w:p>
        </w:tc>
      </w:tr>
    </w:tbl>
    <w:p w:rsidR="00353C85" w:rsidRDefault="00353C85" w:rsidP="00353C85"/>
    <w:tbl>
      <w:tblPr>
        <w:tblW w:w="9440" w:type="dxa"/>
        <w:tblInd w:w="51" w:type="dxa"/>
        <w:tblCellMar>
          <w:left w:w="70" w:type="dxa"/>
          <w:right w:w="70" w:type="dxa"/>
        </w:tblCellMar>
        <w:tblLook w:val="04A0"/>
      </w:tblPr>
      <w:tblGrid>
        <w:gridCol w:w="420"/>
        <w:gridCol w:w="3420"/>
        <w:gridCol w:w="2000"/>
        <w:gridCol w:w="1780"/>
        <w:gridCol w:w="1820"/>
      </w:tblGrid>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365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CATARINA LACHATAO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1,177,242.00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335,766.00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1,513,008.00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366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CATARINA LOXICHA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6,407,394.00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1,023,996.00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7,431,390.00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367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CATARINA MECHOACAN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4,898,850.00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1,167,090.00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6,065,940.00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368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CATARINA MINAS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1,731,162.00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466,524.00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2,197,686.00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369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CATARINA QUIANE</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871,920.00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474,492.00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1,346,412.00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370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CATARINA TAYATA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647,184.00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174,432.00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821,616.00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371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CATARINA TICUA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1,502,166.00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245,076.00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1,747,242.00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372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CATARINA YOSONOTU</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2,862,048.00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484,506.00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3,346,554.00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373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CATARINA ZAPOQUILA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521,100.00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115,086.00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636,186.00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374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CRUZ ACATEPEC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2,319,486.00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377,640.00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2,697,126.00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375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CRUZ AMILPAS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2,784,354.00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2,599,818.00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5,384,172.00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376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CRUZ DE BRAVO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270,426.00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93,510.00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363,936.00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377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CRUZ ITUNDUJIA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19,809,990.00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2,819,466.00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22,629,456.00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378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CRUZ MIXTEPEC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3,446,094.00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928,686.00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4,374,780.00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379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CRUZ NUNDACO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3,393,720.00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759,906.00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4,153,626.00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380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CRUZ PAPALUTLA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1,839,186.00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506,604.00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2,345,790.00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381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CRUZ TACACHE DE MINA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1,182,714.00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669,474.00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1,852,188.00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382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CRUZ TACAHUA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2,369,172.00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300,570.00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2,669,742.00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383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CRUZ TAYATA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581,112.00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156,192.00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737,304.00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384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CRUZ XITLA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4,999,596.00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1,159,638.00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6,159,234.00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385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CRUZ XOXOCOTLAN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28,097,754.00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19,995,222.00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48,092,976.00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386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CRUZ ZENZONTEPEC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24,877,200.00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4,597,722.00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29,474,922.00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387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GERTRUDIS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1,929,768.00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734,214.00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2,663,982.00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388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INES DEL MONTE</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3,743,766.00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651,234.00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4,395,000.00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389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INES YATZECHE</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1,234,008.00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236,604.00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1,470,612.00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390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LUCIA DEL CAMINO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8,076,192.00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12,165,708.00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20,241,900.00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391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LUCIA MIAHUATLAN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6,507,612.00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862,152.00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7,369,764.00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392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LUCIA MONTEVERDE</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11,538,126.00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1,715,568.00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13,253,694.00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393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LUCIA OCOTLAN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3,535,056.00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925,860.00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4,460,916.00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394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ALOTEPEC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2,421,162.00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713,664.00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3,134,826.00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395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APAZCO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3,756,696.00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487,590.00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4,244,286.00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396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LA ASUNCION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5,273,904.00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835,434.00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6,109,338.00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397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HEROICA CIUDAD DE TLAXIACO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28,642,206.00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9,878,538.00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38,520,744.00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398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AYOQUEZCO DE ALDAMA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4,731,150.00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1,131,894.00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5,863,044.00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399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ATZOMPA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12,781,476.00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7,055,730.00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19,837,206.00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400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CAMOTLAN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1,285,824.00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419,256.00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1,705,080.00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401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COLOTEPEC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14,243,028.00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5,796,156.00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20,039,184.00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402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CORTIJO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841,236.00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278,220.00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1,119,456.00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403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COYOTEPEC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1,086,984.00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712,122.00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1,799,106.00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404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CHACHOAPAM</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571,938.00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196,782.00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768,720.00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405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VILLA DE CHILAPA DE DIAZ</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1,203,258.00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496,326.00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1,699,584.00</w:t>
            </w:r>
          </w:p>
        </w:tc>
      </w:tr>
      <w:tr w:rsidR="00353C85" w:rsidRPr="00353C85" w:rsidTr="00A00324">
        <w:trPr>
          <w:trHeight w:val="675"/>
        </w:trPr>
        <w:tc>
          <w:tcPr>
            <w:tcW w:w="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lastRenderedPageBreak/>
              <w:t>N.</w:t>
            </w:r>
          </w:p>
        </w:tc>
        <w:tc>
          <w:tcPr>
            <w:tcW w:w="3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MUNICIPIO</w:t>
            </w:r>
          </w:p>
        </w:tc>
        <w:tc>
          <w:tcPr>
            <w:tcW w:w="200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Fondo de Aportaciones para la Infraestructura Social</w:t>
            </w:r>
          </w:p>
        </w:tc>
        <w:tc>
          <w:tcPr>
            <w:tcW w:w="178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 xml:space="preserve">Fondo de Aportaciones para el Fortalecimiento de los Municipios </w:t>
            </w:r>
          </w:p>
        </w:tc>
        <w:tc>
          <w:tcPr>
            <w:tcW w:w="18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Suma</w:t>
            </w:r>
          </w:p>
        </w:tc>
      </w:tr>
    </w:tbl>
    <w:p w:rsidR="00353C85" w:rsidRDefault="00353C85" w:rsidP="00353C85"/>
    <w:tbl>
      <w:tblPr>
        <w:tblW w:w="9440" w:type="dxa"/>
        <w:tblInd w:w="51" w:type="dxa"/>
        <w:tblCellMar>
          <w:left w:w="70" w:type="dxa"/>
          <w:right w:w="70" w:type="dxa"/>
        </w:tblCellMar>
        <w:tblLook w:val="04A0"/>
      </w:tblPr>
      <w:tblGrid>
        <w:gridCol w:w="420"/>
        <w:gridCol w:w="3420"/>
        <w:gridCol w:w="2000"/>
        <w:gridCol w:w="1780"/>
        <w:gridCol w:w="1820"/>
      </w:tblGrid>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406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CHILCHOTLA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33,947,652.00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5,288,010.00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39,235,662.00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407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CHIMALAPA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9,149,034.00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2,185,182.00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11,334,216.00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408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DEL ROSARIO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513,336.00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123,306.00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636,642.00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409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DEL TULE</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2,011,056.00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2,097,576.00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4,108,632.00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410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ECATEPEC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2,037,654.00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889,122.00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2,926,776.00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411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GUELACE</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416,622.00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209,628.00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626,250.00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412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GUIENAGATI</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5,112,006.00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844,170.00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5,956,176.00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413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HUATULCO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17,321,082.00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9,923,748.00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27,244,830.00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414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HUAZOLOTITLAN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8,653,044.00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2,772,966.00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11,426,010.00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415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IPALAPA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3,374,100.00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1,255,722.00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4,629,822.00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416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IXCATLAN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719,934.00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132,558.00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852,492.00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417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JACATEPEC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9,083,910.00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2,373,744.00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11,457,654.00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418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JALAPA DEL MARQUES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7,430,220.00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3,054,012.00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10,484,232.00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419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JALTIANGUIS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214,998.00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147,714.00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362,712.00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420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LACHIXIO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2,471,526.00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431,586.00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2,903,112.00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421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MIXTEQUILLA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2,205,768.00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1,141,140.00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3,346,908.00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422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NATIVITAS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585,744.00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174,948.00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760,692.00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423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NDUAYACO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642,516.00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141,294.00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783,810.00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424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OZOLOTEPEC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5,103,432.00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1,025,538.00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6,128,970.00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425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PAPALO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2,653,596.00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567,486.00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3,221,082.00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426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PEÑOLES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12,700,176.00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2,020,506.00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14,720,682.00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427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PETAPA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9,220,656.00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3,952,902.00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13,173,558.00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428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QUIEGOLANI</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1,834,470.00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454,710.00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2,289,180.00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429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SOLA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1,512,276.00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391,512.00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1,903,788.00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430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TATALTEPEC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330,570.00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64,992.00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395,562.00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431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TECOMAVACA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797,886.00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455,736.00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1,253,622.00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432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TEMAXCALAPA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587,814.00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248,676.00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836,490.00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433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TEMAXCALTEPEC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3,358,938.00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666,648.00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4,025,586.00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434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TEOPOXCO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4,820,316.00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1,194,834.00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6,015,150.00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435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TEPANTLALI</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6,605,634.00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900,426.00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7,506,060.00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436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TEXCATITLAN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1,220,250.00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285,924.00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1,506,174.00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437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TLAHUITOLTEPEC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17,509,506.00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2,482,410.00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19,991,916.00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438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TLALIXTAC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2,042,160.00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450,600.00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2,492,760.00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439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TONAMECA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26,039,214.00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6,247,266.00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32,286,480.00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440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TOTOLAPILLA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717,888.00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230,178.00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948,066.00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441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XADANI</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5,785,350.00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1,998,930.00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7,784,280.00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442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YALINA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203,418.00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90,942.00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294,360.00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443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YAVESIA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340,320.00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115,086.00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455,406.00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444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YOLOTEPEC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930,198.00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118,428.00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1,048,626.00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445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YOSOYUA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1,716,414.00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421,824.00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2,138,238.00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446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YUCUHITI</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6,274,302.00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1,682,940.00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7,957,242.00</w:t>
            </w:r>
          </w:p>
        </w:tc>
      </w:tr>
      <w:tr w:rsidR="00353C85" w:rsidRPr="00353C85" w:rsidTr="00A00324">
        <w:trPr>
          <w:trHeight w:val="675"/>
        </w:trPr>
        <w:tc>
          <w:tcPr>
            <w:tcW w:w="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lastRenderedPageBreak/>
              <w:t>N.</w:t>
            </w:r>
          </w:p>
        </w:tc>
        <w:tc>
          <w:tcPr>
            <w:tcW w:w="3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MUNICIPIO</w:t>
            </w:r>
          </w:p>
        </w:tc>
        <w:tc>
          <w:tcPr>
            <w:tcW w:w="200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Fondo de Aportaciones para la Infraestructura Social</w:t>
            </w:r>
          </w:p>
        </w:tc>
        <w:tc>
          <w:tcPr>
            <w:tcW w:w="178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 xml:space="preserve">Fondo de Aportaciones para el Fortalecimiento de los Municipios </w:t>
            </w:r>
          </w:p>
        </w:tc>
        <w:tc>
          <w:tcPr>
            <w:tcW w:w="18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Suma</w:t>
            </w:r>
          </w:p>
        </w:tc>
      </w:tr>
    </w:tbl>
    <w:p w:rsidR="00353C85" w:rsidRDefault="00353C85" w:rsidP="00353C85"/>
    <w:tbl>
      <w:tblPr>
        <w:tblW w:w="9440" w:type="dxa"/>
        <w:tblInd w:w="51" w:type="dxa"/>
        <w:tblCellMar>
          <w:left w:w="70" w:type="dxa"/>
          <w:right w:w="70" w:type="dxa"/>
        </w:tblCellMar>
        <w:tblLook w:val="04A0"/>
      </w:tblPr>
      <w:tblGrid>
        <w:gridCol w:w="420"/>
        <w:gridCol w:w="3420"/>
        <w:gridCol w:w="2000"/>
        <w:gridCol w:w="1780"/>
        <w:gridCol w:w="1820"/>
      </w:tblGrid>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447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ZACATEPEC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10,557,558.00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3,873,006.00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14,430,564.00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448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ZANIZA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1,963,002.00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516,108.00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2,479,110.00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449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MARIA ZOQUITLAN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2,609,064.00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862,920.00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3,471,984.00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450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AMOLTEPEC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24,943,704.00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3,163,194.00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28,106,898.00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451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APOALA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1,568,178.00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270,510.00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1,838,688.00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452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APOSTOL</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3,997,374.00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1,084,110.00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5,081,484.00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453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ASTATA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2,394,978.00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1,005,756.00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3,400,734.00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454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ATITLAN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5,508,618.00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816,936.00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6,325,554.00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455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AYUQUILILLA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2,379,192.00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705,954.00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3,085,146.00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456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CACALOXTEPEC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1,351,092.00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433,128.00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1,784,220.00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457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CAMOTLAN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8,239,194.00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872,172.00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9,111,366.00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458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COMALTEPEC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643,614.00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286,440.00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930,054.00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459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CHAZUMBA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3,045,636.00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1,150,650.00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4,196,286.00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460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CHOAPAM</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7,451,238.00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1,390,590.00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8,841,828.00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461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DEL RIO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863,382.00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157,734.00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1,021,116.00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462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HUAJOLOTITLAN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2,577,396.00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1,117,506.00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3,694,902.00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463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HUAUCLILLA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596,046.00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170,322.00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766,368.00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464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IHUITLAN PLUMAS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398,910.00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123,306.00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522,216.00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465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IXCUINTEPEC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1,543,272.00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402,816.00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1,946,088.00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466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IXTAYUTLA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18,858,420.00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3,061,464.00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21,919,884.00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467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JAMILTEPEC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12,833,832.00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4,722,570.00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17,556,402.00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468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JOCOTEPEC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13,703,904.00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3,485,604.00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17,189,508.00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469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JUXTLAHUACA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35,126,700.00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8,458,914.00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43,585,614.00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470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LACHIGUIRI</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6,092,028.00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1,205,622.00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7,297,650.00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471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LALOPA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215,772.00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127,416.00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343,188.00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472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LAOLLAGA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2,005,656.00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821,562.00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2,827,218.00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473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LAXOPA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1,179,090.00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358,116.00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1,537,206.00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474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LLANO GRANDE</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2,651,964.00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837,486.00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3,489,450.00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475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MATATLAN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8,005,506.00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2,479,842.00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10,485,348.00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476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MILTEPEC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350,316.00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105,066.00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455,382.00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477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MINAS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1,954,374.00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367,362.00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2,321,736.00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478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NACALTEPEC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1,584,354.00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491,442.00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2,075,796.00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479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NEJAPILLA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268,938.00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56,256.00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325,194.00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480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NUNDICHE</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1,592,712.00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248,418.00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1,841,130.00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481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NUYOO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2,291,142.00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505,062.00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2,796,204.00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482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PINOTEPA NACIONAL</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33,790,146.00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12,924,330.00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46,714,476.00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483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SUCHILQUITONGO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7,218,324.00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2,451,330.00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9,669,654.00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484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TAMAZOLA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3,020,622.00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1,080,774.00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4,101,396.00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485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TAPEXTLA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3,145,074.00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778,656.00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3,923,730.00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486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VILLA TEJUPAM DE LA UNION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1,345,572.00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634,278.00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1,979,850.00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487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TENANGO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1,776,912.00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499,668.00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2,276,580.00</w:t>
            </w:r>
          </w:p>
        </w:tc>
      </w:tr>
      <w:tr w:rsidR="00353C85" w:rsidRPr="00353C85" w:rsidTr="00A00324">
        <w:trPr>
          <w:trHeight w:val="675"/>
        </w:trPr>
        <w:tc>
          <w:tcPr>
            <w:tcW w:w="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lastRenderedPageBreak/>
              <w:t>N.</w:t>
            </w:r>
          </w:p>
        </w:tc>
        <w:tc>
          <w:tcPr>
            <w:tcW w:w="3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MUNICIPIO</w:t>
            </w:r>
          </w:p>
        </w:tc>
        <w:tc>
          <w:tcPr>
            <w:tcW w:w="200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Fondo de Aportaciones para la Infraestructura Social</w:t>
            </w:r>
          </w:p>
        </w:tc>
        <w:tc>
          <w:tcPr>
            <w:tcW w:w="178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 xml:space="preserve">Fondo de Aportaciones para el Fortalecimiento de los Municipios </w:t>
            </w:r>
          </w:p>
        </w:tc>
        <w:tc>
          <w:tcPr>
            <w:tcW w:w="18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Suma</w:t>
            </w:r>
          </w:p>
        </w:tc>
      </w:tr>
    </w:tbl>
    <w:p w:rsidR="00353C85" w:rsidRDefault="00353C85" w:rsidP="00353C85"/>
    <w:tbl>
      <w:tblPr>
        <w:tblW w:w="9440" w:type="dxa"/>
        <w:tblInd w:w="51" w:type="dxa"/>
        <w:tblCellMar>
          <w:left w:w="70" w:type="dxa"/>
          <w:right w:w="70" w:type="dxa"/>
        </w:tblCellMar>
        <w:tblLook w:val="04A0"/>
      </w:tblPr>
      <w:tblGrid>
        <w:gridCol w:w="420"/>
        <w:gridCol w:w="3420"/>
        <w:gridCol w:w="2000"/>
        <w:gridCol w:w="1780"/>
        <w:gridCol w:w="1820"/>
      </w:tblGrid>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488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TEPETLAPA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63,642.00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33,648.00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97,290.00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489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TETEPEC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5,278,992.00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1,272,420.00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6,551,412.00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490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TEXCALCINGO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2,714,532.00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790,218.00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3,504,750.00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491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TEXTITLAN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3,529,146.00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1,071,264.00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4,600,410.00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492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TILANTONGO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5,187,570.00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824,640.00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6,012,210.00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493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TILLO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422,892.00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142,062.00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564,954.00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494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TLAZOYALTEPEC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8,395,926.00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1,257,264.00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9,653,190.00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495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XANICA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3,686,958.00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740,892.00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4,427,850.00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496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XIACUI</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1,138,986.00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557,724.00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1,696,710.00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497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YAITEPEC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5,302,392.00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1,058,934.00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6,361,326.00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498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YAVEO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6,657,738.00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1,712,232.00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8,369,970.00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499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YOLOMECATL</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1,038,744.00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519,192.00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1,557,936.00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500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YOSONDUA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9,059,880.00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2,025,132.00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11,085,012.00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501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YUCUYACHI</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762,822.00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241,482.00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1,004,304.00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502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ZACATEPEC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9,785,880.00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1,416,798.00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11,202,678.00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503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SANTIAGO ZOOCHILA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161,646.00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96,078.00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257,724.00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504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NUEVO ZOQUIAPAM</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825,474.00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424,392.00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1,249,866.00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505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SANTO DOMINGO INGENIO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4,012,446.00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1,940,610.00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5,953,056.00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506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SANTO DOMINGO ALBARRADAS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462,774.00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200,892.00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663,666.00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507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SANTO DOMINGO ARMENTA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2,842,014.00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828,240.00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3,670,254.00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508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SANTO DOMINGO CHIHUITAN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781,986.00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390,738.00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1,172,724.00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509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SANTO DOMINGO DE MORELOS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13,589,010.00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2,709,510.00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16,298,520.00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510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SANTO DOMINGO IXCATLAN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1,692,936.00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225,300.00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1,918,236.00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511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SANTO DOMINGO NUXAA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7,020,648.00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927,402.00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7,948,050.00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512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SANTO DOMINGO OZOLOTEPEC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1,025,070.00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234,546.00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1,259,616.00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513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SANTO DOMINGO PETAPA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5,696,910.00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2,156,406.00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7,853,316.00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514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SANTO DOMINGO ROAYAGA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2,504,760.00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256,128.00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2,760,888.00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515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SANTO DOMINGO TEHUANTEPEC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30,612,270.00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15,894,858.00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46,507,128.00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516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SANTO DOMINGO TEOJOMULCO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4,195,680.00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1,174,284.00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5,369,964.00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517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SANTO DOMINGO TEPUXTEPEC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8,968,974.00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1,334,328.00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10,303,302.00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518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SANTO DOMINGO TLATAYAPAM</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126,882.00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39,300.00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166,182.00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519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SANTO DOMINGO TOMALTEPEC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1,493,232.00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716,748.00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2,209,980.00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520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SANTO DOMINGO TONALA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5,394,864.00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1,837,596.00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7,232,460.00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521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SANTO DOMINGO TONALTEPEC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368,118.00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70,902.00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439,020.00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522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SANTO DOMINGO XAGACIA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1,177,794.00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311,616.00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1,489,410.00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523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SANTO DOMINGO YANHUITLAN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1,375,014.00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413,346.00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1,788,360.00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524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SANTO DOMINGO YODOHINO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286,428.00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94,794.00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381,222.00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525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SANTO DOMINGO ZANATEPEC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6,139,824.00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2,881,890.00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9,021,714.00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526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SANTOS REYES NOPALA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16,536,432.00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4,106,784.00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20,643,216.00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527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SANTOS REYES PAPALO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3,130,590.00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726,762.00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3,857,352.00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528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SANTOS REYES TEPEJILLO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1,063,470.00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311,616.00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1,375,086.00</w:t>
            </w:r>
          </w:p>
        </w:tc>
      </w:tr>
      <w:tr w:rsidR="00353C85" w:rsidRPr="00353C85" w:rsidTr="00A00324">
        <w:trPr>
          <w:trHeight w:val="675"/>
        </w:trPr>
        <w:tc>
          <w:tcPr>
            <w:tcW w:w="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lastRenderedPageBreak/>
              <w:t>N.</w:t>
            </w:r>
          </w:p>
        </w:tc>
        <w:tc>
          <w:tcPr>
            <w:tcW w:w="3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MUNICIPIO</w:t>
            </w:r>
          </w:p>
        </w:tc>
        <w:tc>
          <w:tcPr>
            <w:tcW w:w="200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Fondo de Aportaciones para la Infraestructura Social</w:t>
            </w:r>
          </w:p>
        </w:tc>
        <w:tc>
          <w:tcPr>
            <w:tcW w:w="178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 xml:space="preserve">Fondo de Aportaciones para el Fortalecimiento de los Municipios </w:t>
            </w:r>
          </w:p>
        </w:tc>
        <w:tc>
          <w:tcPr>
            <w:tcW w:w="18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Suma</w:t>
            </w:r>
          </w:p>
        </w:tc>
      </w:tr>
    </w:tbl>
    <w:p w:rsidR="00353C85" w:rsidRDefault="00353C85" w:rsidP="00353C85"/>
    <w:tbl>
      <w:tblPr>
        <w:tblW w:w="9440" w:type="dxa"/>
        <w:tblInd w:w="51" w:type="dxa"/>
        <w:tblCellMar>
          <w:left w:w="70" w:type="dxa"/>
          <w:right w:w="70" w:type="dxa"/>
        </w:tblCellMar>
        <w:tblLook w:val="04A0"/>
      </w:tblPr>
      <w:tblGrid>
        <w:gridCol w:w="420"/>
        <w:gridCol w:w="3420"/>
        <w:gridCol w:w="2000"/>
        <w:gridCol w:w="1780"/>
        <w:gridCol w:w="1820"/>
      </w:tblGrid>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529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SANTOS REYES YUCUNA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1,598,388.00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342,186.00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1,940,574.00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530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SANTO TOMAS JALIEZA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3,795,666.00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869,598.00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4,665,264.00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531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SANTO TOMAS MAZALTEPEC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1,232,010.00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599,340.00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1,831,350.00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532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SANTO TOMAS OCOTEPEC</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5,432,172.00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1,047,120.00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6,479,292.00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533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SANTO TOMAS TAMAZULAPAN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1,672,884.00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562,860.00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2,235,744.00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534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VICENTE COATLAN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4,784,034.00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1,018,344.00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5,802,378.00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535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VICENTE LACHIXIO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4,057,446.00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764,526.00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4,821,972.00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536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VICENTE NUÑU</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381,354.00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126,648.00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508,002.00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537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SILACAYOAPAM</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6,485,988.00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1,733,292.00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8,219,280.00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538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SITIO DE XITLAPEHUA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410,574.00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181,110.00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591,684.00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539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SOLEDAD ETLA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2,042,340.00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1,290,912.00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3,333,252.00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540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VILLA DE TAMAZULAPAM DEL PROGRESO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3,233,982.00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1,813,446.00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5,047,428.00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541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TANETZE DE ZARAGOZA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1,584,978.00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438,522.00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2,023,500.00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542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TANICHE</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513,102.00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191,646.00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704,748.00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543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TATALTEPEC DE VALDES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7,637,982.00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1,428,612.00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9,066,594.00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544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TEOCOCUILCO DE MARCOS PEREZ</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969,144.00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284,130.00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1,253,274.00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545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TEOTITLAN DE FLORES MAGON</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3,877,818.00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2,303,352.00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6,181,170.00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546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TEOTITLAN DEL VALLE</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4,471,548.00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1,448,394.00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5,919,942.00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547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TEOTONGO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788,760.00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244,308.00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1,033,068.00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548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TEPELMEME VILLA DE MORELOS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1,858,686.00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445,458.00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2,304,144.00</w:t>
            </w:r>
          </w:p>
        </w:tc>
      </w:tr>
      <w:tr w:rsidR="00353C85" w:rsidRPr="00353C85" w:rsidTr="00353C85">
        <w:trPr>
          <w:trHeight w:val="510"/>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549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HEROICA VILLA TEZOATLAN DE SEGURA Y LUNA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11,436,912.00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2,907,840.00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14,344,752.00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550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JERONIMO TLACOCHAHUAYA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3,069,948.00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1,304,016.00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4,373,964.00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551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TLACOLULA DE MATAMOROS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10,258,326.00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5,041,644.00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15,299,970.00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552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TLACOTEPEC PLUMAS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324,942.00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131,016.00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455,958.00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553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TLALIXTAC DE CABRERA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3,587,304.00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2,419,218.00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6,006,522.00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554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TOTONTEPEC VILLA DE MORELOS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6,098,880.00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1,438,116.00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7,536,996.00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555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TRINIDAD ZAACHILA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2,109,360.00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681,552.00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2,790,912.00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556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LA TRINIDAD VISTA HERMOSA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214,752.00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63,966.00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278,718.00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557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UNION HIDALGO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4,995,498.00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3,588,876.00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8,584,374.00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558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VALERIO TRUJANO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947,658.00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396,390.00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1,344,048.00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559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JUAN BAUTISTA VALLE NACIONAL</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19,622,526.00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5,766,354.00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25,388,880.00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560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VILLA DIAZ ORDAZ</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6,042,012.00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1,586,094.00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7,628,106.00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561</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YAXE</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3,617,844.00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689,256.00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4,307,100.00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562</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MAGDALENA YODOCONO DE PORFIRIO DIAZ</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1,063,014.00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374,556.00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1,437,570.00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563</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YOGANA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1,603,746.00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336,018.00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1,939,764.00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564</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YUTANDUCHI DE GUERRERO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1,551,360.00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331,908.00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1,883,268.00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565</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VILLA DE ZAACHILA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27,425,958.00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8,760,510.00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36,186,468.00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566</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 MATEO YACUTINDO</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3,832,518.00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779,430.00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4,611,948.00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567</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ZAPOTITLAN LAGUNAS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3,575,556.00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804,864.00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4,380,420.00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568</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ZAPOTITLAN PALMAS</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1,845,186.00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388,944.00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2,234,130.00</w:t>
            </w:r>
          </w:p>
        </w:tc>
      </w:tr>
      <w:tr w:rsidR="00353C85" w:rsidRPr="00353C85" w:rsidTr="00A00324">
        <w:trPr>
          <w:trHeight w:val="675"/>
        </w:trPr>
        <w:tc>
          <w:tcPr>
            <w:tcW w:w="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lastRenderedPageBreak/>
              <w:t>N.</w:t>
            </w:r>
          </w:p>
        </w:tc>
        <w:tc>
          <w:tcPr>
            <w:tcW w:w="34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MUNICIPIO</w:t>
            </w:r>
          </w:p>
        </w:tc>
        <w:tc>
          <w:tcPr>
            <w:tcW w:w="200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Fondo de Aportaciones para la Infraestructura Social</w:t>
            </w:r>
          </w:p>
        </w:tc>
        <w:tc>
          <w:tcPr>
            <w:tcW w:w="178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 xml:space="preserve">Fondo de Aportaciones para el Fortalecimiento de los Municipios </w:t>
            </w:r>
          </w:p>
        </w:tc>
        <w:tc>
          <w:tcPr>
            <w:tcW w:w="1820" w:type="dxa"/>
            <w:tcBorders>
              <w:top w:val="single" w:sz="4" w:space="0" w:color="auto"/>
              <w:left w:val="nil"/>
              <w:bottom w:val="single" w:sz="4" w:space="0" w:color="auto"/>
              <w:right w:val="nil"/>
            </w:tcBorders>
            <w:shd w:val="clear" w:color="000000" w:fill="D8D8D8"/>
            <w:vAlign w:val="center"/>
            <w:hideMark/>
          </w:tcPr>
          <w:p w:rsidR="00353C85" w:rsidRPr="00353C85" w:rsidRDefault="00353C85" w:rsidP="00A00324">
            <w:pPr>
              <w:jc w:val="center"/>
              <w:rPr>
                <w:rFonts w:ascii="Calibri" w:hAnsi="Calibri"/>
                <w:b/>
                <w:bCs/>
                <w:color w:val="000000"/>
                <w:sz w:val="16"/>
                <w:szCs w:val="16"/>
                <w:lang w:val="es-MX" w:eastAsia="es-MX"/>
              </w:rPr>
            </w:pPr>
            <w:r w:rsidRPr="00353C85">
              <w:rPr>
                <w:rFonts w:ascii="Calibri" w:hAnsi="Calibri"/>
                <w:b/>
                <w:bCs/>
                <w:color w:val="000000"/>
                <w:sz w:val="16"/>
                <w:szCs w:val="16"/>
                <w:lang w:val="es-MX" w:eastAsia="es-MX"/>
              </w:rPr>
              <w:t>Suma</w:t>
            </w:r>
          </w:p>
        </w:tc>
      </w:tr>
    </w:tbl>
    <w:p w:rsidR="00353C85" w:rsidRDefault="00353C85" w:rsidP="00353C85"/>
    <w:p w:rsidR="00353C85" w:rsidRDefault="00353C85"/>
    <w:tbl>
      <w:tblPr>
        <w:tblW w:w="9440" w:type="dxa"/>
        <w:tblInd w:w="51" w:type="dxa"/>
        <w:tblCellMar>
          <w:left w:w="70" w:type="dxa"/>
          <w:right w:w="70" w:type="dxa"/>
        </w:tblCellMar>
        <w:tblLook w:val="04A0"/>
      </w:tblPr>
      <w:tblGrid>
        <w:gridCol w:w="420"/>
        <w:gridCol w:w="3420"/>
        <w:gridCol w:w="2000"/>
        <w:gridCol w:w="1780"/>
        <w:gridCol w:w="1820"/>
      </w:tblGrid>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569</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SANTA INES DE ZARAGOZA</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2,189,628.00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438,522.00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2,628,150.00</w:t>
            </w:r>
          </w:p>
        </w:tc>
      </w:tr>
      <w:tr w:rsidR="00353C85" w:rsidRPr="00353C85" w:rsidTr="00353C85">
        <w:trPr>
          <w:trHeight w:val="255"/>
        </w:trPr>
        <w:tc>
          <w:tcPr>
            <w:tcW w:w="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570</w:t>
            </w:r>
          </w:p>
        </w:tc>
        <w:tc>
          <w:tcPr>
            <w:tcW w:w="3420" w:type="dxa"/>
            <w:tcBorders>
              <w:top w:val="nil"/>
              <w:left w:val="nil"/>
              <w:bottom w:val="nil"/>
              <w:right w:val="nil"/>
            </w:tcBorders>
            <w:shd w:val="clear" w:color="auto" w:fill="auto"/>
            <w:vAlign w:val="bottom"/>
            <w:hideMark/>
          </w:tcPr>
          <w:p w:rsidR="00353C85" w:rsidRPr="00353C85" w:rsidRDefault="00353C85" w:rsidP="00353C85">
            <w:pPr>
              <w:rPr>
                <w:rFonts w:ascii="Arial Narrow" w:hAnsi="Arial Narrow"/>
                <w:color w:val="000000"/>
                <w:sz w:val="16"/>
                <w:szCs w:val="16"/>
                <w:lang w:val="es-MX" w:eastAsia="es-MX"/>
              </w:rPr>
            </w:pPr>
            <w:r w:rsidRPr="00353C85">
              <w:rPr>
                <w:rFonts w:ascii="Arial Narrow" w:hAnsi="Arial Narrow"/>
                <w:color w:val="000000"/>
                <w:sz w:val="16"/>
                <w:szCs w:val="16"/>
                <w:lang w:val="es-MX" w:eastAsia="es-MX"/>
              </w:rPr>
              <w:t xml:space="preserve"> ZIMATLAN DE ALVAREZ</w:t>
            </w:r>
          </w:p>
        </w:tc>
        <w:tc>
          <w:tcPr>
            <w:tcW w:w="200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11,798,634.00</w:t>
            </w:r>
          </w:p>
        </w:tc>
        <w:tc>
          <w:tcPr>
            <w:tcW w:w="178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4,936,314.00</w:t>
            </w:r>
          </w:p>
        </w:tc>
        <w:tc>
          <w:tcPr>
            <w:tcW w:w="1820" w:type="dxa"/>
            <w:tcBorders>
              <w:top w:val="nil"/>
              <w:left w:val="nil"/>
              <w:bottom w:val="nil"/>
              <w:right w:val="nil"/>
            </w:tcBorders>
            <w:shd w:val="clear" w:color="auto" w:fill="auto"/>
            <w:vAlign w:val="bottom"/>
            <w:hideMark/>
          </w:tcPr>
          <w:p w:rsidR="00353C85" w:rsidRPr="00353C85" w:rsidRDefault="00353C85" w:rsidP="00353C85">
            <w:pPr>
              <w:jc w:val="right"/>
              <w:rPr>
                <w:rFonts w:ascii="Arial" w:hAnsi="Arial" w:cs="Arial"/>
                <w:color w:val="000000"/>
                <w:sz w:val="16"/>
                <w:szCs w:val="16"/>
                <w:lang w:val="es-MX" w:eastAsia="es-MX"/>
              </w:rPr>
            </w:pPr>
            <w:r w:rsidRPr="00353C85">
              <w:rPr>
                <w:rFonts w:ascii="Arial" w:hAnsi="Arial" w:cs="Arial"/>
                <w:color w:val="000000"/>
                <w:sz w:val="16"/>
                <w:szCs w:val="16"/>
                <w:lang w:val="es-MX" w:eastAsia="es-MX"/>
              </w:rPr>
              <w:t>16,734,948.00</w:t>
            </w:r>
          </w:p>
        </w:tc>
      </w:tr>
    </w:tbl>
    <w:p w:rsidR="00353C85" w:rsidRDefault="00353C85" w:rsidP="005D7E67">
      <w:pPr>
        <w:spacing w:line="22" w:lineRule="atLeast"/>
        <w:jc w:val="both"/>
        <w:rPr>
          <w:rFonts w:ascii="Arial" w:hAnsi="Arial" w:cs="Arial"/>
          <w:b/>
          <w:spacing w:val="20"/>
        </w:rPr>
      </w:pPr>
    </w:p>
    <w:p w:rsidR="00353C85" w:rsidRDefault="00353C85" w:rsidP="005D7E67">
      <w:pPr>
        <w:spacing w:line="22" w:lineRule="atLeast"/>
        <w:jc w:val="both"/>
        <w:rPr>
          <w:rFonts w:ascii="Arial" w:hAnsi="Arial" w:cs="Arial"/>
          <w:b/>
          <w:spacing w:val="20"/>
        </w:rPr>
      </w:pPr>
    </w:p>
    <w:p w:rsidR="00353C85" w:rsidRDefault="00353C85" w:rsidP="005D7E67">
      <w:pPr>
        <w:spacing w:line="22" w:lineRule="atLeast"/>
        <w:jc w:val="both"/>
        <w:rPr>
          <w:rFonts w:ascii="Arial" w:hAnsi="Arial" w:cs="Arial"/>
          <w:b/>
          <w:spacing w:val="20"/>
        </w:rPr>
      </w:pPr>
    </w:p>
    <w:p w:rsidR="00A00324" w:rsidRDefault="00A00324">
      <w:pPr>
        <w:rPr>
          <w:rFonts w:ascii="Arial" w:hAnsi="Arial" w:cs="Arial"/>
          <w:b/>
          <w:spacing w:val="20"/>
        </w:rPr>
      </w:pPr>
      <w:r>
        <w:rPr>
          <w:rFonts w:ascii="Arial" w:hAnsi="Arial" w:cs="Arial"/>
          <w:b/>
          <w:spacing w:val="20"/>
        </w:rPr>
        <w:br w:type="page"/>
      </w:r>
    </w:p>
    <w:p w:rsidR="005D7E67" w:rsidRDefault="00ED3AD8" w:rsidP="005D7E67">
      <w:pPr>
        <w:spacing w:line="22" w:lineRule="atLeast"/>
        <w:jc w:val="both"/>
        <w:rPr>
          <w:rFonts w:ascii="Arial" w:hAnsi="Arial" w:cs="Arial"/>
          <w:b/>
          <w:spacing w:val="20"/>
        </w:rPr>
      </w:pPr>
      <w:r>
        <w:rPr>
          <w:rFonts w:ascii="Arial" w:hAnsi="Arial" w:cs="Arial"/>
          <w:b/>
          <w:spacing w:val="20"/>
        </w:rPr>
        <w:lastRenderedPageBreak/>
        <w:t>5</w:t>
      </w:r>
      <w:r w:rsidR="003D7501">
        <w:rPr>
          <w:rFonts w:ascii="Arial" w:hAnsi="Arial" w:cs="Arial"/>
          <w:b/>
          <w:spacing w:val="20"/>
        </w:rPr>
        <w:t xml:space="preserve">.- </w:t>
      </w:r>
      <w:r w:rsidR="005D7E67">
        <w:rPr>
          <w:rFonts w:ascii="Arial" w:hAnsi="Arial" w:cs="Arial"/>
          <w:b/>
          <w:spacing w:val="20"/>
        </w:rPr>
        <w:t>DESCUENTOS APLICADOS A LOS MUNICIPIOS DEL FONDO MUNICIPAL DE PARTICIPACIONES</w:t>
      </w:r>
      <w:r w:rsidR="008440CA">
        <w:rPr>
          <w:rFonts w:ascii="Arial" w:hAnsi="Arial" w:cs="Arial"/>
          <w:b/>
          <w:spacing w:val="20"/>
        </w:rPr>
        <w:t xml:space="preserve"> Y DEL FONDO DE APORTACIONES PARA LA INRAESTRUCTURA SOCIAL</w:t>
      </w:r>
      <w:r w:rsidR="005D7E67">
        <w:rPr>
          <w:rFonts w:ascii="Arial" w:hAnsi="Arial" w:cs="Arial"/>
          <w:b/>
          <w:spacing w:val="20"/>
        </w:rPr>
        <w:t xml:space="preserve">, POR CONCEPTO DE DEUDA MUNICIPAL </w:t>
      </w:r>
      <w:r w:rsidR="00A158A0">
        <w:rPr>
          <w:rFonts w:ascii="Arial" w:hAnsi="Arial" w:cs="Arial"/>
          <w:b/>
          <w:spacing w:val="20"/>
        </w:rPr>
        <w:t>DEL 1° DE ENERO AL 3</w:t>
      </w:r>
      <w:r w:rsidR="00A00324">
        <w:rPr>
          <w:rFonts w:ascii="Arial" w:hAnsi="Arial" w:cs="Arial"/>
          <w:b/>
          <w:spacing w:val="20"/>
        </w:rPr>
        <w:t>0</w:t>
      </w:r>
      <w:r w:rsidR="00B76A64">
        <w:rPr>
          <w:rFonts w:ascii="Arial" w:hAnsi="Arial" w:cs="Arial"/>
          <w:b/>
          <w:spacing w:val="20"/>
        </w:rPr>
        <w:t xml:space="preserve"> DE </w:t>
      </w:r>
      <w:r w:rsidR="00A00324">
        <w:rPr>
          <w:rFonts w:ascii="Arial" w:hAnsi="Arial" w:cs="Arial"/>
          <w:b/>
          <w:spacing w:val="20"/>
        </w:rPr>
        <w:t>JUNIO</w:t>
      </w:r>
      <w:r w:rsidR="00B76A64">
        <w:rPr>
          <w:rFonts w:ascii="Arial" w:hAnsi="Arial" w:cs="Arial"/>
          <w:b/>
          <w:spacing w:val="20"/>
        </w:rPr>
        <w:t xml:space="preserve"> DEL </w:t>
      </w:r>
      <w:r w:rsidR="005D7E67">
        <w:rPr>
          <w:rFonts w:ascii="Arial" w:hAnsi="Arial" w:cs="Arial"/>
          <w:b/>
          <w:spacing w:val="20"/>
        </w:rPr>
        <w:t>201</w:t>
      </w:r>
      <w:r w:rsidR="00C0069E">
        <w:rPr>
          <w:rFonts w:ascii="Arial" w:hAnsi="Arial" w:cs="Arial"/>
          <w:b/>
          <w:spacing w:val="20"/>
        </w:rPr>
        <w:t>5</w:t>
      </w:r>
      <w:r w:rsidR="00B76A64">
        <w:rPr>
          <w:rFonts w:ascii="Arial" w:hAnsi="Arial" w:cs="Arial"/>
          <w:b/>
          <w:spacing w:val="20"/>
        </w:rPr>
        <w:t xml:space="preserve"> (pesos)</w:t>
      </w:r>
    </w:p>
    <w:tbl>
      <w:tblPr>
        <w:tblW w:w="8560" w:type="dxa"/>
        <w:tblInd w:w="51" w:type="dxa"/>
        <w:tblCellMar>
          <w:left w:w="70" w:type="dxa"/>
          <w:right w:w="70" w:type="dxa"/>
        </w:tblCellMar>
        <w:tblLook w:val="04A0"/>
      </w:tblPr>
      <w:tblGrid>
        <w:gridCol w:w="3149"/>
        <w:gridCol w:w="1797"/>
        <w:gridCol w:w="1807"/>
        <w:gridCol w:w="1807"/>
      </w:tblGrid>
      <w:tr w:rsidR="008C6785" w:rsidRPr="008C6785" w:rsidTr="008C6785">
        <w:trPr>
          <w:trHeight w:val="300"/>
        </w:trPr>
        <w:tc>
          <w:tcPr>
            <w:tcW w:w="8560" w:type="dxa"/>
            <w:gridSpan w:val="4"/>
            <w:tcBorders>
              <w:top w:val="nil"/>
              <w:left w:val="nil"/>
              <w:bottom w:val="nil"/>
              <w:right w:val="nil"/>
            </w:tcBorders>
            <w:shd w:val="clear" w:color="auto" w:fill="auto"/>
            <w:noWrap/>
            <w:vAlign w:val="bottom"/>
            <w:hideMark/>
          </w:tcPr>
          <w:p w:rsidR="008C6785" w:rsidRDefault="00FC5625" w:rsidP="008C6785">
            <w:pPr>
              <w:jc w:val="center"/>
              <w:rPr>
                <w:rFonts w:ascii="Arial" w:hAnsi="Arial" w:cs="Arial"/>
                <w:b/>
                <w:spacing w:val="20"/>
              </w:rPr>
            </w:pPr>
            <w:r>
              <w:rPr>
                <w:rFonts w:ascii="Arial" w:hAnsi="Arial" w:cs="Arial"/>
                <w:b/>
                <w:spacing w:val="20"/>
              </w:rPr>
              <w:br w:type="page"/>
            </w:r>
          </w:p>
          <w:p w:rsidR="008C6785" w:rsidRDefault="008C6785" w:rsidP="008C6785">
            <w:pPr>
              <w:jc w:val="center"/>
              <w:rPr>
                <w:rFonts w:ascii="Arial" w:hAnsi="Arial" w:cs="Arial"/>
                <w:b/>
                <w:spacing w:val="20"/>
              </w:rPr>
            </w:pPr>
          </w:p>
          <w:p w:rsidR="008C6785" w:rsidRPr="008C6785" w:rsidRDefault="008C6785" w:rsidP="008C6785">
            <w:pPr>
              <w:jc w:val="center"/>
              <w:rPr>
                <w:rFonts w:ascii="Calibri" w:hAnsi="Calibri"/>
                <w:color w:val="000000"/>
                <w:sz w:val="22"/>
                <w:szCs w:val="22"/>
                <w:lang w:val="es-MX" w:eastAsia="es-MX"/>
              </w:rPr>
            </w:pPr>
            <w:r w:rsidRPr="008C6785">
              <w:rPr>
                <w:rFonts w:ascii="Calibri" w:hAnsi="Calibri"/>
                <w:color w:val="000000"/>
                <w:sz w:val="22"/>
                <w:szCs w:val="22"/>
                <w:lang w:val="es-MX" w:eastAsia="es-MX"/>
              </w:rPr>
              <w:t>TESORERÌA</w:t>
            </w:r>
          </w:p>
        </w:tc>
      </w:tr>
      <w:tr w:rsidR="008C6785" w:rsidRPr="008C6785" w:rsidTr="008C6785">
        <w:trPr>
          <w:trHeight w:val="300"/>
        </w:trPr>
        <w:tc>
          <w:tcPr>
            <w:tcW w:w="8560" w:type="dxa"/>
            <w:gridSpan w:val="4"/>
            <w:tcBorders>
              <w:top w:val="nil"/>
              <w:left w:val="nil"/>
              <w:bottom w:val="nil"/>
              <w:right w:val="nil"/>
            </w:tcBorders>
            <w:shd w:val="clear" w:color="auto" w:fill="auto"/>
            <w:noWrap/>
            <w:vAlign w:val="bottom"/>
            <w:hideMark/>
          </w:tcPr>
          <w:p w:rsidR="008C6785" w:rsidRPr="008C6785" w:rsidRDefault="008C6785" w:rsidP="008C6785">
            <w:pPr>
              <w:jc w:val="center"/>
              <w:rPr>
                <w:rFonts w:ascii="Calibri" w:hAnsi="Calibri"/>
                <w:color w:val="000000"/>
                <w:sz w:val="22"/>
                <w:szCs w:val="22"/>
                <w:lang w:val="es-MX" w:eastAsia="es-MX"/>
              </w:rPr>
            </w:pPr>
            <w:r w:rsidRPr="008C6785">
              <w:rPr>
                <w:rFonts w:ascii="Calibri" w:hAnsi="Calibri"/>
                <w:color w:val="000000"/>
                <w:sz w:val="22"/>
                <w:szCs w:val="22"/>
                <w:lang w:val="es-MX" w:eastAsia="es-MX"/>
              </w:rPr>
              <w:t>DEPARTAMENTO DE DEUDA PÚBLICA</w:t>
            </w:r>
          </w:p>
        </w:tc>
      </w:tr>
      <w:tr w:rsidR="008C6785" w:rsidRPr="008C6785" w:rsidTr="008C6785">
        <w:trPr>
          <w:trHeight w:val="300"/>
        </w:trPr>
        <w:tc>
          <w:tcPr>
            <w:tcW w:w="8560" w:type="dxa"/>
            <w:gridSpan w:val="4"/>
            <w:tcBorders>
              <w:top w:val="nil"/>
              <w:left w:val="nil"/>
              <w:bottom w:val="nil"/>
              <w:right w:val="nil"/>
            </w:tcBorders>
            <w:shd w:val="clear" w:color="auto" w:fill="auto"/>
            <w:noWrap/>
            <w:vAlign w:val="bottom"/>
            <w:hideMark/>
          </w:tcPr>
          <w:p w:rsidR="008C6785" w:rsidRPr="008C6785" w:rsidRDefault="008C6785" w:rsidP="008C6785">
            <w:pPr>
              <w:jc w:val="center"/>
              <w:rPr>
                <w:rFonts w:ascii="Calibri" w:hAnsi="Calibri"/>
                <w:color w:val="000000"/>
                <w:sz w:val="22"/>
                <w:szCs w:val="22"/>
                <w:lang w:val="es-MX" w:eastAsia="es-MX"/>
              </w:rPr>
            </w:pPr>
            <w:r w:rsidRPr="008C6785">
              <w:rPr>
                <w:rFonts w:ascii="Calibri" w:hAnsi="Calibri"/>
                <w:color w:val="000000"/>
                <w:sz w:val="22"/>
                <w:szCs w:val="22"/>
                <w:lang w:val="es-MX" w:eastAsia="es-MX"/>
              </w:rPr>
              <w:t xml:space="preserve"> CRÉDITOS MUNICIPALES 2015</w:t>
            </w:r>
          </w:p>
        </w:tc>
      </w:tr>
      <w:tr w:rsidR="008C6785" w:rsidRPr="008C6785" w:rsidTr="008C6785">
        <w:trPr>
          <w:trHeight w:val="300"/>
        </w:trPr>
        <w:tc>
          <w:tcPr>
            <w:tcW w:w="8560" w:type="dxa"/>
            <w:gridSpan w:val="4"/>
            <w:tcBorders>
              <w:top w:val="nil"/>
              <w:left w:val="nil"/>
              <w:bottom w:val="nil"/>
              <w:right w:val="nil"/>
            </w:tcBorders>
            <w:shd w:val="clear" w:color="auto" w:fill="auto"/>
            <w:noWrap/>
            <w:vAlign w:val="bottom"/>
            <w:hideMark/>
          </w:tcPr>
          <w:p w:rsidR="008C6785" w:rsidRPr="008C6785" w:rsidRDefault="008C6785" w:rsidP="008C6785">
            <w:pPr>
              <w:jc w:val="center"/>
              <w:rPr>
                <w:rFonts w:ascii="Calibri" w:hAnsi="Calibri"/>
                <w:b/>
                <w:bCs/>
                <w:color w:val="000000"/>
                <w:sz w:val="22"/>
                <w:szCs w:val="22"/>
                <w:lang w:val="es-MX" w:eastAsia="es-MX"/>
              </w:rPr>
            </w:pPr>
            <w:r w:rsidRPr="008C6785">
              <w:rPr>
                <w:rFonts w:ascii="Calibri" w:hAnsi="Calibri"/>
                <w:b/>
                <w:bCs/>
                <w:color w:val="000000"/>
                <w:sz w:val="22"/>
                <w:szCs w:val="22"/>
                <w:lang w:val="es-MX" w:eastAsia="es-MX"/>
              </w:rPr>
              <w:t>Cantidades en pesos</w:t>
            </w:r>
          </w:p>
        </w:tc>
      </w:tr>
      <w:tr w:rsidR="008C6785" w:rsidRPr="008C6785" w:rsidTr="008C6785">
        <w:trPr>
          <w:trHeight w:val="300"/>
        </w:trPr>
        <w:tc>
          <w:tcPr>
            <w:tcW w:w="8560" w:type="dxa"/>
            <w:gridSpan w:val="4"/>
            <w:tcBorders>
              <w:top w:val="nil"/>
              <w:left w:val="nil"/>
              <w:bottom w:val="nil"/>
              <w:right w:val="nil"/>
            </w:tcBorders>
            <w:shd w:val="clear" w:color="auto" w:fill="auto"/>
            <w:noWrap/>
            <w:vAlign w:val="bottom"/>
            <w:hideMark/>
          </w:tcPr>
          <w:p w:rsidR="008C6785" w:rsidRPr="008C6785" w:rsidRDefault="008C6785" w:rsidP="008C6785">
            <w:pPr>
              <w:jc w:val="center"/>
              <w:rPr>
                <w:rFonts w:ascii="Calibri" w:hAnsi="Calibri"/>
                <w:b/>
                <w:bCs/>
                <w:color w:val="000000"/>
                <w:sz w:val="22"/>
                <w:szCs w:val="22"/>
                <w:lang w:val="es-MX" w:eastAsia="es-MX"/>
              </w:rPr>
            </w:pPr>
            <w:r w:rsidRPr="008C6785">
              <w:rPr>
                <w:rFonts w:ascii="Calibri" w:hAnsi="Calibri"/>
                <w:b/>
                <w:bCs/>
                <w:color w:val="000000"/>
                <w:sz w:val="22"/>
                <w:szCs w:val="22"/>
                <w:lang w:val="es-MX" w:eastAsia="es-MX"/>
              </w:rPr>
              <w:t>RAMO 28</w:t>
            </w:r>
          </w:p>
        </w:tc>
      </w:tr>
      <w:tr w:rsidR="008C6785" w:rsidRPr="008C6785" w:rsidTr="008C6785">
        <w:trPr>
          <w:trHeight w:val="300"/>
        </w:trPr>
        <w:tc>
          <w:tcPr>
            <w:tcW w:w="3149" w:type="dxa"/>
            <w:tcBorders>
              <w:top w:val="nil"/>
              <w:left w:val="nil"/>
              <w:bottom w:val="single" w:sz="4" w:space="0" w:color="auto"/>
              <w:right w:val="nil"/>
            </w:tcBorders>
            <w:shd w:val="clear" w:color="auto" w:fill="auto"/>
            <w:noWrap/>
            <w:vAlign w:val="bottom"/>
            <w:hideMark/>
          </w:tcPr>
          <w:p w:rsidR="008C6785" w:rsidRPr="008C6785" w:rsidRDefault="008C6785" w:rsidP="008C6785">
            <w:pPr>
              <w:jc w:val="center"/>
              <w:rPr>
                <w:rFonts w:ascii="Calibri" w:hAnsi="Calibri"/>
                <w:b/>
                <w:bCs/>
                <w:color w:val="000000"/>
                <w:sz w:val="22"/>
                <w:szCs w:val="22"/>
                <w:lang w:val="es-MX" w:eastAsia="es-MX"/>
              </w:rPr>
            </w:pPr>
            <w:r w:rsidRPr="008C6785">
              <w:rPr>
                <w:rFonts w:ascii="Calibri" w:hAnsi="Calibri"/>
                <w:b/>
                <w:bCs/>
                <w:color w:val="000000"/>
                <w:sz w:val="22"/>
                <w:szCs w:val="22"/>
                <w:lang w:val="es-MX" w:eastAsia="es-MX"/>
              </w:rPr>
              <w:t> </w:t>
            </w:r>
          </w:p>
        </w:tc>
        <w:tc>
          <w:tcPr>
            <w:tcW w:w="1797" w:type="dxa"/>
            <w:tcBorders>
              <w:top w:val="nil"/>
              <w:left w:val="nil"/>
              <w:bottom w:val="single" w:sz="4" w:space="0" w:color="auto"/>
              <w:right w:val="nil"/>
            </w:tcBorders>
            <w:shd w:val="clear" w:color="auto" w:fill="auto"/>
            <w:noWrap/>
            <w:vAlign w:val="bottom"/>
            <w:hideMark/>
          </w:tcPr>
          <w:p w:rsidR="008C6785" w:rsidRPr="008C6785" w:rsidRDefault="008C6785" w:rsidP="008C6785">
            <w:pPr>
              <w:jc w:val="center"/>
              <w:rPr>
                <w:rFonts w:ascii="Calibri" w:hAnsi="Calibri"/>
                <w:b/>
                <w:bCs/>
                <w:color w:val="000000"/>
                <w:sz w:val="22"/>
                <w:szCs w:val="22"/>
                <w:lang w:val="es-MX" w:eastAsia="es-MX"/>
              </w:rPr>
            </w:pPr>
            <w:r w:rsidRPr="008C6785">
              <w:rPr>
                <w:rFonts w:ascii="Calibri" w:hAnsi="Calibri"/>
                <w:b/>
                <w:bCs/>
                <w:color w:val="000000"/>
                <w:sz w:val="22"/>
                <w:szCs w:val="22"/>
                <w:lang w:val="es-MX" w:eastAsia="es-MX"/>
              </w:rPr>
              <w:t> </w:t>
            </w:r>
          </w:p>
        </w:tc>
        <w:tc>
          <w:tcPr>
            <w:tcW w:w="1807" w:type="dxa"/>
            <w:tcBorders>
              <w:top w:val="nil"/>
              <w:left w:val="nil"/>
              <w:bottom w:val="single" w:sz="4" w:space="0" w:color="auto"/>
              <w:right w:val="nil"/>
            </w:tcBorders>
            <w:shd w:val="clear" w:color="auto" w:fill="auto"/>
            <w:noWrap/>
            <w:vAlign w:val="bottom"/>
            <w:hideMark/>
          </w:tcPr>
          <w:p w:rsidR="008C6785" w:rsidRPr="008C6785" w:rsidRDefault="008C6785" w:rsidP="008C6785">
            <w:pPr>
              <w:jc w:val="center"/>
              <w:rPr>
                <w:rFonts w:ascii="Calibri" w:hAnsi="Calibri"/>
                <w:b/>
                <w:bCs/>
                <w:color w:val="000000"/>
                <w:sz w:val="22"/>
                <w:szCs w:val="22"/>
                <w:lang w:val="es-MX" w:eastAsia="es-MX"/>
              </w:rPr>
            </w:pPr>
            <w:r w:rsidRPr="008C6785">
              <w:rPr>
                <w:rFonts w:ascii="Calibri" w:hAnsi="Calibri"/>
                <w:b/>
                <w:bCs/>
                <w:color w:val="000000"/>
                <w:sz w:val="22"/>
                <w:szCs w:val="22"/>
                <w:lang w:val="es-MX" w:eastAsia="es-MX"/>
              </w:rPr>
              <w:t> </w:t>
            </w:r>
          </w:p>
        </w:tc>
        <w:tc>
          <w:tcPr>
            <w:tcW w:w="1807" w:type="dxa"/>
            <w:tcBorders>
              <w:top w:val="nil"/>
              <w:left w:val="nil"/>
              <w:bottom w:val="single" w:sz="4" w:space="0" w:color="auto"/>
              <w:right w:val="nil"/>
            </w:tcBorders>
            <w:shd w:val="clear" w:color="auto" w:fill="auto"/>
            <w:noWrap/>
            <w:vAlign w:val="bottom"/>
            <w:hideMark/>
          </w:tcPr>
          <w:p w:rsidR="008C6785" w:rsidRPr="008C6785" w:rsidRDefault="008C6785" w:rsidP="008C6785">
            <w:pPr>
              <w:jc w:val="center"/>
              <w:rPr>
                <w:rFonts w:ascii="Calibri" w:hAnsi="Calibri"/>
                <w:b/>
                <w:bCs/>
                <w:color w:val="000000"/>
                <w:sz w:val="22"/>
                <w:szCs w:val="22"/>
                <w:lang w:val="es-MX" w:eastAsia="es-MX"/>
              </w:rPr>
            </w:pPr>
            <w:r w:rsidRPr="008C6785">
              <w:rPr>
                <w:rFonts w:ascii="Calibri" w:hAnsi="Calibri"/>
                <w:b/>
                <w:bCs/>
                <w:color w:val="000000"/>
                <w:sz w:val="22"/>
                <w:szCs w:val="22"/>
                <w:lang w:val="es-MX" w:eastAsia="es-MX"/>
              </w:rPr>
              <w:t> </w:t>
            </w:r>
          </w:p>
        </w:tc>
      </w:tr>
      <w:tr w:rsidR="008C6785" w:rsidRPr="008C6785" w:rsidTr="008C6785">
        <w:trPr>
          <w:trHeight w:val="600"/>
        </w:trPr>
        <w:tc>
          <w:tcPr>
            <w:tcW w:w="31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C6785" w:rsidRPr="008C6785" w:rsidRDefault="008C6785" w:rsidP="008C6785">
            <w:pPr>
              <w:jc w:val="center"/>
              <w:rPr>
                <w:rFonts w:ascii="Calibri" w:hAnsi="Calibri"/>
                <w:color w:val="000000"/>
                <w:sz w:val="22"/>
                <w:szCs w:val="22"/>
                <w:lang w:val="es-MX" w:eastAsia="es-MX"/>
              </w:rPr>
            </w:pPr>
            <w:r w:rsidRPr="008C6785">
              <w:rPr>
                <w:rFonts w:ascii="Calibri" w:hAnsi="Calibri"/>
                <w:color w:val="000000"/>
                <w:sz w:val="22"/>
                <w:szCs w:val="22"/>
                <w:lang w:val="es-MX" w:eastAsia="es-MX"/>
              </w:rPr>
              <w:t>MUNICIPIO</w:t>
            </w:r>
          </w:p>
        </w:tc>
        <w:tc>
          <w:tcPr>
            <w:tcW w:w="17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C6785" w:rsidRPr="008C6785" w:rsidRDefault="008C6785" w:rsidP="008C6785">
            <w:pPr>
              <w:jc w:val="cente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1ER TRIMESTRE </w:t>
            </w:r>
          </w:p>
        </w:tc>
        <w:tc>
          <w:tcPr>
            <w:tcW w:w="18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C6785" w:rsidRPr="008C6785" w:rsidRDefault="008C6785" w:rsidP="008C6785">
            <w:pPr>
              <w:jc w:val="center"/>
              <w:rPr>
                <w:rFonts w:ascii="Calibri" w:hAnsi="Calibri"/>
                <w:color w:val="000000"/>
                <w:sz w:val="22"/>
                <w:szCs w:val="22"/>
                <w:lang w:val="es-MX" w:eastAsia="es-MX"/>
              </w:rPr>
            </w:pPr>
            <w:r w:rsidRPr="008C6785">
              <w:rPr>
                <w:rFonts w:ascii="Calibri" w:hAnsi="Calibri"/>
                <w:color w:val="000000"/>
                <w:sz w:val="22"/>
                <w:szCs w:val="22"/>
                <w:lang w:val="es-MX" w:eastAsia="es-MX"/>
              </w:rPr>
              <w:t>2DO TRIMESTRE</w:t>
            </w:r>
          </w:p>
        </w:tc>
        <w:tc>
          <w:tcPr>
            <w:tcW w:w="18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C6785" w:rsidRPr="008C6785" w:rsidRDefault="008C6785" w:rsidP="008C6785">
            <w:pPr>
              <w:jc w:val="center"/>
              <w:rPr>
                <w:rFonts w:ascii="Calibri" w:hAnsi="Calibri"/>
                <w:color w:val="000000"/>
                <w:sz w:val="22"/>
                <w:szCs w:val="22"/>
                <w:lang w:val="es-MX" w:eastAsia="es-MX"/>
              </w:rPr>
            </w:pPr>
            <w:r w:rsidRPr="008C6785">
              <w:rPr>
                <w:rFonts w:ascii="Calibri" w:hAnsi="Calibri"/>
                <w:color w:val="000000"/>
                <w:sz w:val="22"/>
                <w:szCs w:val="22"/>
                <w:lang w:val="es-MX" w:eastAsia="es-MX"/>
              </w:rPr>
              <w:t>SUMA</w:t>
            </w:r>
          </w:p>
        </w:tc>
      </w:tr>
      <w:tr w:rsidR="008C6785" w:rsidRPr="008C6785" w:rsidTr="008C6785">
        <w:trPr>
          <w:trHeight w:val="300"/>
        </w:trPr>
        <w:tc>
          <w:tcPr>
            <w:tcW w:w="3149" w:type="dxa"/>
            <w:vMerge/>
            <w:tcBorders>
              <w:top w:val="nil"/>
              <w:left w:val="single" w:sz="4" w:space="0" w:color="auto"/>
              <w:bottom w:val="single" w:sz="4" w:space="0" w:color="auto"/>
              <w:right w:val="single" w:sz="4" w:space="0" w:color="auto"/>
            </w:tcBorders>
            <w:vAlign w:val="center"/>
            <w:hideMark/>
          </w:tcPr>
          <w:p w:rsidR="008C6785" w:rsidRPr="008C6785" w:rsidRDefault="008C6785" w:rsidP="008C6785">
            <w:pPr>
              <w:rPr>
                <w:rFonts w:ascii="Calibri" w:hAnsi="Calibri"/>
                <w:color w:val="000000"/>
                <w:sz w:val="22"/>
                <w:szCs w:val="22"/>
                <w:lang w:val="es-MX" w:eastAsia="es-MX"/>
              </w:rPr>
            </w:pPr>
          </w:p>
        </w:tc>
        <w:tc>
          <w:tcPr>
            <w:tcW w:w="1797" w:type="dxa"/>
            <w:vMerge/>
            <w:tcBorders>
              <w:top w:val="nil"/>
              <w:left w:val="single" w:sz="4" w:space="0" w:color="auto"/>
              <w:bottom w:val="single" w:sz="4" w:space="0" w:color="auto"/>
              <w:right w:val="single" w:sz="4" w:space="0" w:color="auto"/>
            </w:tcBorders>
            <w:vAlign w:val="center"/>
            <w:hideMark/>
          </w:tcPr>
          <w:p w:rsidR="008C6785" w:rsidRPr="008C6785" w:rsidRDefault="008C6785" w:rsidP="008C6785">
            <w:pPr>
              <w:rPr>
                <w:rFonts w:ascii="Calibri" w:hAnsi="Calibri"/>
                <w:color w:val="000000"/>
                <w:sz w:val="18"/>
                <w:szCs w:val="18"/>
                <w:lang w:val="es-MX" w:eastAsia="es-MX"/>
              </w:rPr>
            </w:pPr>
          </w:p>
        </w:tc>
        <w:tc>
          <w:tcPr>
            <w:tcW w:w="1807" w:type="dxa"/>
            <w:vMerge/>
            <w:tcBorders>
              <w:top w:val="nil"/>
              <w:left w:val="single" w:sz="4" w:space="0" w:color="auto"/>
              <w:bottom w:val="single" w:sz="4" w:space="0" w:color="auto"/>
              <w:right w:val="single" w:sz="4" w:space="0" w:color="auto"/>
            </w:tcBorders>
            <w:vAlign w:val="center"/>
            <w:hideMark/>
          </w:tcPr>
          <w:p w:rsidR="008C6785" w:rsidRPr="008C6785" w:rsidRDefault="008C6785" w:rsidP="008C6785">
            <w:pPr>
              <w:rPr>
                <w:rFonts w:ascii="Calibri" w:hAnsi="Calibri"/>
                <w:color w:val="000000"/>
                <w:sz w:val="22"/>
                <w:szCs w:val="22"/>
                <w:lang w:val="es-MX" w:eastAsia="es-MX"/>
              </w:rPr>
            </w:pPr>
          </w:p>
        </w:tc>
        <w:tc>
          <w:tcPr>
            <w:tcW w:w="1807" w:type="dxa"/>
            <w:vMerge/>
            <w:tcBorders>
              <w:top w:val="nil"/>
              <w:left w:val="single" w:sz="4" w:space="0" w:color="auto"/>
              <w:bottom w:val="single" w:sz="4" w:space="0" w:color="auto"/>
              <w:right w:val="single" w:sz="4" w:space="0" w:color="auto"/>
            </w:tcBorders>
            <w:vAlign w:val="center"/>
            <w:hideMark/>
          </w:tcPr>
          <w:p w:rsidR="008C6785" w:rsidRPr="008C6785" w:rsidRDefault="008C6785" w:rsidP="008C6785">
            <w:pPr>
              <w:rPr>
                <w:rFonts w:ascii="Calibri" w:hAnsi="Calibri"/>
                <w:color w:val="000000"/>
                <w:sz w:val="22"/>
                <w:szCs w:val="22"/>
                <w:lang w:val="es-MX" w:eastAsia="es-MX"/>
              </w:rPr>
            </w:pPr>
          </w:p>
        </w:tc>
      </w:tr>
      <w:tr w:rsidR="008C6785" w:rsidRPr="008C6785" w:rsidTr="008C6785">
        <w:trPr>
          <w:trHeight w:val="300"/>
        </w:trPr>
        <w:tc>
          <w:tcPr>
            <w:tcW w:w="3149" w:type="dxa"/>
            <w:tcBorders>
              <w:top w:val="nil"/>
              <w:left w:val="nil"/>
              <w:bottom w:val="nil"/>
              <w:right w:val="nil"/>
            </w:tcBorders>
            <w:shd w:val="clear" w:color="auto" w:fill="auto"/>
            <w:noWrap/>
            <w:vAlign w:val="center"/>
            <w:hideMark/>
          </w:tcPr>
          <w:p w:rsidR="008C6785" w:rsidRPr="008C6785" w:rsidRDefault="008C6785" w:rsidP="008C6785">
            <w:pPr>
              <w:jc w:val="center"/>
              <w:rPr>
                <w:rFonts w:ascii="Calibri" w:hAnsi="Calibri"/>
                <w:color w:val="000000"/>
                <w:sz w:val="22"/>
                <w:szCs w:val="22"/>
                <w:lang w:val="es-MX" w:eastAsia="es-MX"/>
              </w:rPr>
            </w:pPr>
          </w:p>
        </w:tc>
        <w:tc>
          <w:tcPr>
            <w:tcW w:w="1797" w:type="dxa"/>
            <w:tcBorders>
              <w:top w:val="nil"/>
              <w:left w:val="nil"/>
              <w:bottom w:val="nil"/>
              <w:right w:val="nil"/>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p>
        </w:tc>
        <w:tc>
          <w:tcPr>
            <w:tcW w:w="1807" w:type="dxa"/>
            <w:tcBorders>
              <w:top w:val="nil"/>
              <w:left w:val="nil"/>
              <w:bottom w:val="nil"/>
              <w:right w:val="nil"/>
            </w:tcBorders>
            <w:shd w:val="clear" w:color="auto" w:fill="auto"/>
            <w:noWrap/>
            <w:vAlign w:val="bottom"/>
            <w:hideMark/>
          </w:tcPr>
          <w:p w:rsidR="008C6785" w:rsidRPr="008C6785" w:rsidRDefault="008C6785" w:rsidP="008C6785">
            <w:pPr>
              <w:rPr>
                <w:rFonts w:ascii="Calibri" w:hAnsi="Calibri"/>
                <w:color w:val="000000"/>
                <w:sz w:val="22"/>
                <w:szCs w:val="22"/>
                <w:lang w:val="es-MX" w:eastAsia="es-MX"/>
              </w:rPr>
            </w:pPr>
          </w:p>
        </w:tc>
        <w:tc>
          <w:tcPr>
            <w:tcW w:w="1807" w:type="dxa"/>
            <w:tcBorders>
              <w:top w:val="nil"/>
              <w:left w:val="nil"/>
              <w:bottom w:val="nil"/>
              <w:right w:val="nil"/>
            </w:tcBorders>
            <w:shd w:val="clear" w:color="auto" w:fill="auto"/>
            <w:noWrap/>
            <w:vAlign w:val="bottom"/>
            <w:hideMark/>
          </w:tcPr>
          <w:p w:rsidR="008C6785" w:rsidRPr="008C6785" w:rsidRDefault="008C6785" w:rsidP="008C6785">
            <w:pPr>
              <w:rPr>
                <w:rFonts w:ascii="Calibri" w:hAnsi="Calibri"/>
                <w:color w:val="000000"/>
                <w:sz w:val="22"/>
                <w:szCs w:val="22"/>
                <w:lang w:val="es-MX" w:eastAsia="es-MX"/>
              </w:rPr>
            </w:pPr>
          </w:p>
        </w:tc>
      </w:tr>
      <w:tr w:rsidR="008C6785" w:rsidRPr="008C6785" w:rsidTr="008C6785">
        <w:trPr>
          <w:trHeight w:val="300"/>
        </w:trPr>
        <w:tc>
          <w:tcPr>
            <w:tcW w:w="3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SANTO DOMINGO INGENIO</w:t>
            </w:r>
          </w:p>
        </w:tc>
        <w:tc>
          <w:tcPr>
            <w:tcW w:w="1797" w:type="dxa"/>
            <w:tcBorders>
              <w:top w:val="single" w:sz="4" w:space="0" w:color="auto"/>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120,002.19 </w:t>
            </w:r>
          </w:p>
        </w:tc>
        <w:tc>
          <w:tcPr>
            <w:tcW w:w="1807" w:type="dxa"/>
            <w:tcBorders>
              <w:top w:val="single" w:sz="4" w:space="0" w:color="auto"/>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118,860.63 </w:t>
            </w:r>
          </w:p>
        </w:tc>
        <w:tc>
          <w:tcPr>
            <w:tcW w:w="1807" w:type="dxa"/>
            <w:tcBorders>
              <w:top w:val="single" w:sz="4" w:space="0" w:color="auto"/>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238,862.82 </w:t>
            </w:r>
          </w:p>
        </w:tc>
      </w:tr>
      <w:tr w:rsidR="008C6785" w:rsidRPr="008C6785" w:rsidTr="008C6785">
        <w:trPr>
          <w:trHeight w:val="300"/>
        </w:trPr>
        <w:tc>
          <w:tcPr>
            <w:tcW w:w="3149"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LOMA BONITA</w:t>
            </w:r>
          </w:p>
        </w:tc>
        <w:tc>
          <w:tcPr>
            <w:tcW w:w="1797"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240,004.37 </w:t>
            </w:r>
          </w:p>
        </w:tc>
        <w:tc>
          <w:tcPr>
            <w:tcW w:w="1807"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237,721.25 </w:t>
            </w:r>
          </w:p>
        </w:tc>
        <w:tc>
          <w:tcPr>
            <w:tcW w:w="1807"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477,725.62 </w:t>
            </w:r>
          </w:p>
        </w:tc>
      </w:tr>
      <w:tr w:rsidR="008C6785" w:rsidRPr="008C6785" w:rsidTr="008C6785">
        <w:trPr>
          <w:trHeight w:val="300"/>
        </w:trPr>
        <w:tc>
          <w:tcPr>
            <w:tcW w:w="3149"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 JUAN BAUTISTA CUICATLAN</w:t>
            </w:r>
          </w:p>
        </w:tc>
        <w:tc>
          <w:tcPr>
            <w:tcW w:w="1797"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74,442.03 </w:t>
            </w:r>
          </w:p>
        </w:tc>
        <w:tc>
          <w:tcPr>
            <w:tcW w:w="1807"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   </w:t>
            </w:r>
          </w:p>
        </w:tc>
        <w:tc>
          <w:tcPr>
            <w:tcW w:w="1807"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74,442.03 </w:t>
            </w:r>
          </w:p>
        </w:tc>
      </w:tr>
      <w:tr w:rsidR="008C6785" w:rsidRPr="008C6785" w:rsidTr="008C6785">
        <w:trPr>
          <w:trHeight w:val="300"/>
        </w:trPr>
        <w:tc>
          <w:tcPr>
            <w:tcW w:w="3149"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OAXACA DE JUAREZ (30)</w:t>
            </w:r>
          </w:p>
        </w:tc>
        <w:tc>
          <w:tcPr>
            <w:tcW w:w="1797"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567,899.91 </w:t>
            </w:r>
          </w:p>
        </w:tc>
        <w:tc>
          <w:tcPr>
            <w:tcW w:w="1807"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560,221.21 </w:t>
            </w:r>
          </w:p>
        </w:tc>
        <w:tc>
          <w:tcPr>
            <w:tcW w:w="1807"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1,128,121.12 </w:t>
            </w:r>
          </w:p>
        </w:tc>
      </w:tr>
      <w:tr w:rsidR="008C6785" w:rsidRPr="008C6785" w:rsidTr="008C6785">
        <w:trPr>
          <w:trHeight w:val="300"/>
        </w:trPr>
        <w:tc>
          <w:tcPr>
            <w:tcW w:w="3149"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ZAACHILA</w:t>
            </w:r>
          </w:p>
        </w:tc>
        <w:tc>
          <w:tcPr>
            <w:tcW w:w="1797"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860.52 </w:t>
            </w:r>
          </w:p>
        </w:tc>
        <w:tc>
          <w:tcPr>
            <w:tcW w:w="1807"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803.48 </w:t>
            </w:r>
          </w:p>
        </w:tc>
        <w:tc>
          <w:tcPr>
            <w:tcW w:w="1807"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1,664.00 </w:t>
            </w:r>
          </w:p>
        </w:tc>
      </w:tr>
      <w:tr w:rsidR="008C6785" w:rsidRPr="008C6785" w:rsidTr="008C6785">
        <w:trPr>
          <w:trHeight w:val="300"/>
        </w:trPr>
        <w:tc>
          <w:tcPr>
            <w:tcW w:w="3149"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ZIMATLAN DE ALVAREZ</w:t>
            </w:r>
          </w:p>
        </w:tc>
        <w:tc>
          <w:tcPr>
            <w:tcW w:w="1797"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685.56 </w:t>
            </w:r>
          </w:p>
        </w:tc>
        <w:tc>
          <w:tcPr>
            <w:tcW w:w="1807"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745.46 </w:t>
            </w:r>
          </w:p>
        </w:tc>
        <w:tc>
          <w:tcPr>
            <w:tcW w:w="1807"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1,431.02 </w:t>
            </w:r>
          </w:p>
        </w:tc>
      </w:tr>
      <w:tr w:rsidR="008C6785" w:rsidRPr="008C6785" w:rsidTr="008C6785">
        <w:trPr>
          <w:trHeight w:val="300"/>
        </w:trPr>
        <w:tc>
          <w:tcPr>
            <w:tcW w:w="3149"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 BARTOLOME QUIALANA</w:t>
            </w:r>
          </w:p>
        </w:tc>
        <w:tc>
          <w:tcPr>
            <w:tcW w:w="1797"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111,242.74 </w:t>
            </w:r>
          </w:p>
        </w:tc>
        <w:tc>
          <w:tcPr>
            <w:tcW w:w="1807"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109,676.16 </w:t>
            </w:r>
          </w:p>
        </w:tc>
        <w:tc>
          <w:tcPr>
            <w:tcW w:w="1807"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220,918.90 </w:t>
            </w:r>
          </w:p>
        </w:tc>
      </w:tr>
      <w:tr w:rsidR="008C6785" w:rsidRPr="008C6785" w:rsidTr="008C6785">
        <w:trPr>
          <w:trHeight w:val="300"/>
        </w:trPr>
        <w:tc>
          <w:tcPr>
            <w:tcW w:w="3149"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OAXACA DE JUAREZ </w:t>
            </w:r>
            <w:r w:rsidRPr="008C6785">
              <w:rPr>
                <w:rFonts w:ascii="Calibri" w:hAnsi="Calibri"/>
                <w:color w:val="000000"/>
                <w:sz w:val="16"/>
                <w:szCs w:val="16"/>
                <w:lang w:val="es-MX" w:eastAsia="es-MX"/>
              </w:rPr>
              <w:t>(INTERACCIONES 50)</w:t>
            </w:r>
          </w:p>
        </w:tc>
        <w:tc>
          <w:tcPr>
            <w:tcW w:w="1797"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4,721,164.84 </w:t>
            </w:r>
          </w:p>
        </w:tc>
        <w:tc>
          <w:tcPr>
            <w:tcW w:w="1807"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14,077,948.80 </w:t>
            </w:r>
          </w:p>
        </w:tc>
        <w:tc>
          <w:tcPr>
            <w:tcW w:w="1807"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18,799,113.64 </w:t>
            </w:r>
          </w:p>
        </w:tc>
      </w:tr>
      <w:tr w:rsidR="008C6785" w:rsidRPr="008C6785" w:rsidTr="008C6785">
        <w:trPr>
          <w:trHeight w:val="300"/>
        </w:trPr>
        <w:tc>
          <w:tcPr>
            <w:tcW w:w="3149"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OAXACA DE JUAREZ </w:t>
            </w:r>
            <w:r w:rsidRPr="008C6785">
              <w:rPr>
                <w:rFonts w:ascii="Calibri" w:hAnsi="Calibri"/>
                <w:color w:val="000000"/>
                <w:sz w:val="16"/>
                <w:szCs w:val="16"/>
                <w:lang w:val="es-MX" w:eastAsia="es-MX"/>
              </w:rPr>
              <w:t>(INTERACCIONES 117)</w:t>
            </w:r>
          </w:p>
        </w:tc>
        <w:tc>
          <w:tcPr>
            <w:tcW w:w="1797"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   </w:t>
            </w:r>
          </w:p>
        </w:tc>
        <w:tc>
          <w:tcPr>
            <w:tcW w:w="1807"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9,815,477.32 </w:t>
            </w:r>
          </w:p>
        </w:tc>
        <w:tc>
          <w:tcPr>
            <w:tcW w:w="1807"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9,815,477.32 </w:t>
            </w:r>
          </w:p>
        </w:tc>
      </w:tr>
    </w:tbl>
    <w:p w:rsidR="00FC5625" w:rsidRDefault="00FC5625">
      <w:pPr>
        <w:rPr>
          <w:rFonts w:ascii="Arial" w:hAnsi="Arial" w:cs="Arial"/>
          <w:b/>
          <w:spacing w:val="20"/>
        </w:rPr>
      </w:pPr>
    </w:p>
    <w:p w:rsidR="008C6785" w:rsidRDefault="008C6785">
      <w:pPr>
        <w:rPr>
          <w:rFonts w:ascii="Arial" w:hAnsi="Arial" w:cs="Arial"/>
          <w:b/>
          <w:spacing w:val="20"/>
        </w:rPr>
      </w:pPr>
    </w:p>
    <w:p w:rsidR="008C6785" w:rsidRDefault="008C6785">
      <w:pPr>
        <w:rPr>
          <w:rFonts w:ascii="Arial" w:hAnsi="Arial" w:cs="Arial"/>
          <w:b/>
          <w:spacing w:val="20"/>
        </w:rPr>
      </w:pPr>
    </w:p>
    <w:p w:rsidR="008C6785" w:rsidRDefault="008C6785">
      <w:pPr>
        <w:rPr>
          <w:rFonts w:ascii="Arial" w:hAnsi="Arial" w:cs="Arial"/>
          <w:b/>
          <w:spacing w:val="20"/>
        </w:rPr>
      </w:pPr>
      <w:r>
        <w:rPr>
          <w:rFonts w:ascii="Arial" w:hAnsi="Arial" w:cs="Arial"/>
          <w:b/>
          <w:spacing w:val="20"/>
        </w:rPr>
        <w:br w:type="page"/>
      </w:r>
    </w:p>
    <w:tbl>
      <w:tblPr>
        <w:tblW w:w="8560" w:type="dxa"/>
        <w:tblInd w:w="51" w:type="dxa"/>
        <w:tblCellMar>
          <w:left w:w="70" w:type="dxa"/>
          <w:right w:w="70" w:type="dxa"/>
        </w:tblCellMar>
        <w:tblLook w:val="04A0"/>
      </w:tblPr>
      <w:tblGrid>
        <w:gridCol w:w="2986"/>
        <w:gridCol w:w="1858"/>
        <w:gridCol w:w="1858"/>
        <w:gridCol w:w="1858"/>
      </w:tblGrid>
      <w:tr w:rsidR="008C6785" w:rsidRPr="008C6785" w:rsidTr="008C6785">
        <w:trPr>
          <w:trHeight w:val="300"/>
        </w:trPr>
        <w:tc>
          <w:tcPr>
            <w:tcW w:w="8560" w:type="dxa"/>
            <w:gridSpan w:val="4"/>
            <w:tcBorders>
              <w:top w:val="nil"/>
              <w:left w:val="nil"/>
              <w:bottom w:val="nil"/>
              <w:right w:val="nil"/>
            </w:tcBorders>
            <w:shd w:val="clear" w:color="auto" w:fill="auto"/>
            <w:noWrap/>
            <w:vAlign w:val="bottom"/>
            <w:hideMark/>
          </w:tcPr>
          <w:p w:rsidR="008C6785" w:rsidRPr="008C6785" w:rsidRDefault="008C6785" w:rsidP="008C6785">
            <w:pPr>
              <w:jc w:val="center"/>
              <w:rPr>
                <w:rFonts w:ascii="Calibri" w:hAnsi="Calibri"/>
                <w:color w:val="000000"/>
                <w:sz w:val="22"/>
                <w:szCs w:val="22"/>
                <w:lang w:val="es-MX" w:eastAsia="es-MX"/>
              </w:rPr>
            </w:pPr>
            <w:r w:rsidRPr="008C6785">
              <w:rPr>
                <w:rFonts w:ascii="Calibri" w:hAnsi="Calibri"/>
                <w:color w:val="000000"/>
                <w:sz w:val="22"/>
                <w:szCs w:val="22"/>
                <w:lang w:val="es-MX" w:eastAsia="es-MX"/>
              </w:rPr>
              <w:lastRenderedPageBreak/>
              <w:t>TESORERÌA</w:t>
            </w:r>
          </w:p>
        </w:tc>
      </w:tr>
      <w:tr w:rsidR="008C6785" w:rsidRPr="008C6785" w:rsidTr="008C6785">
        <w:trPr>
          <w:trHeight w:val="300"/>
        </w:trPr>
        <w:tc>
          <w:tcPr>
            <w:tcW w:w="8560" w:type="dxa"/>
            <w:gridSpan w:val="4"/>
            <w:tcBorders>
              <w:top w:val="nil"/>
              <w:left w:val="nil"/>
              <w:bottom w:val="nil"/>
              <w:right w:val="nil"/>
            </w:tcBorders>
            <w:shd w:val="clear" w:color="auto" w:fill="auto"/>
            <w:noWrap/>
            <w:vAlign w:val="bottom"/>
            <w:hideMark/>
          </w:tcPr>
          <w:p w:rsidR="008C6785" w:rsidRPr="008C6785" w:rsidRDefault="008C6785" w:rsidP="008C6785">
            <w:pPr>
              <w:jc w:val="center"/>
              <w:rPr>
                <w:rFonts w:ascii="Calibri" w:hAnsi="Calibri"/>
                <w:color w:val="000000"/>
                <w:sz w:val="22"/>
                <w:szCs w:val="22"/>
                <w:lang w:val="es-MX" w:eastAsia="es-MX"/>
              </w:rPr>
            </w:pPr>
            <w:r w:rsidRPr="008C6785">
              <w:rPr>
                <w:rFonts w:ascii="Calibri" w:hAnsi="Calibri"/>
                <w:color w:val="000000"/>
                <w:sz w:val="22"/>
                <w:szCs w:val="22"/>
                <w:lang w:val="es-MX" w:eastAsia="es-MX"/>
              </w:rPr>
              <w:t>DEPARTAMENTO DE DEUDA PÚBLICA</w:t>
            </w:r>
          </w:p>
        </w:tc>
      </w:tr>
      <w:tr w:rsidR="008C6785" w:rsidRPr="008C6785" w:rsidTr="008C6785">
        <w:trPr>
          <w:trHeight w:val="300"/>
        </w:trPr>
        <w:tc>
          <w:tcPr>
            <w:tcW w:w="8560" w:type="dxa"/>
            <w:gridSpan w:val="4"/>
            <w:tcBorders>
              <w:top w:val="nil"/>
              <w:left w:val="nil"/>
              <w:bottom w:val="nil"/>
              <w:right w:val="nil"/>
            </w:tcBorders>
            <w:shd w:val="clear" w:color="auto" w:fill="auto"/>
            <w:noWrap/>
            <w:vAlign w:val="bottom"/>
            <w:hideMark/>
          </w:tcPr>
          <w:p w:rsidR="008C6785" w:rsidRPr="008C6785" w:rsidRDefault="008C6785" w:rsidP="008C6785">
            <w:pPr>
              <w:jc w:val="center"/>
              <w:rPr>
                <w:rFonts w:ascii="Calibri" w:hAnsi="Calibri"/>
                <w:color w:val="000000"/>
                <w:sz w:val="22"/>
                <w:szCs w:val="22"/>
                <w:lang w:val="es-MX" w:eastAsia="es-MX"/>
              </w:rPr>
            </w:pPr>
            <w:r w:rsidRPr="008C6785">
              <w:rPr>
                <w:rFonts w:ascii="Calibri" w:hAnsi="Calibri"/>
                <w:color w:val="000000"/>
                <w:sz w:val="22"/>
                <w:szCs w:val="22"/>
                <w:lang w:val="es-MX" w:eastAsia="es-MX"/>
              </w:rPr>
              <w:t xml:space="preserve"> CRÉDITOS MUNICIPALES 2015</w:t>
            </w:r>
          </w:p>
        </w:tc>
      </w:tr>
      <w:tr w:rsidR="008C6785" w:rsidRPr="008C6785" w:rsidTr="008C6785">
        <w:trPr>
          <w:trHeight w:val="300"/>
        </w:trPr>
        <w:tc>
          <w:tcPr>
            <w:tcW w:w="8560" w:type="dxa"/>
            <w:gridSpan w:val="4"/>
            <w:tcBorders>
              <w:top w:val="nil"/>
              <w:left w:val="nil"/>
              <w:bottom w:val="nil"/>
              <w:right w:val="nil"/>
            </w:tcBorders>
            <w:shd w:val="clear" w:color="auto" w:fill="auto"/>
            <w:noWrap/>
            <w:vAlign w:val="bottom"/>
            <w:hideMark/>
          </w:tcPr>
          <w:p w:rsidR="008C6785" w:rsidRPr="008C6785" w:rsidRDefault="008C6785" w:rsidP="008C6785">
            <w:pPr>
              <w:jc w:val="center"/>
              <w:rPr>
                <w:rFonts w:ascii="Calibri" w:hAnsi="Calibri"/>
                <w:b/>
                <w:bCs/>
                <w:color w:val="000000"/>
                <w:sz w:val="22"/>
                <w:szCs w:val="22"/>
                <w:lang w:val="es-MX" w:eastAsia="es-MX"/>
              </w:rPr>
            </w:pPr>
            <w:r w:rsidRPr="008C6785">
              <w:rPr>
                <w:rFonts w:ascii="Calibri" w:hAnsi="Calibri"/>
                <w:b/>
                <w:bCs/>
                <w:color w:val="000000"/>
                <w:sz w:val="22"/>
                <w:szCs w:val="22"/>
                <w:lang w:val="es-MX" w:eastAsia="es-MX"/>
              </w:rPr>
              <w:t>Cantidades en pesos</w:t>
            </w:r>
          </w:p>
        </w:tc>
      </w:tr>
      <w:tr w:rsidR="008C6785" w:rsidRPr="008C6785" w:rsidTr="008C6785">
        <w:trPr>
          <w:trHeight w:val="300"/>
        </w:trPr>
        <w:tc>
          <w:tcPr>
            <w:tcW w:w="8560" w:type="dxa"/>
            <w:gridSpan w:val="4"/>
            <w:tcBorders>
              <w:top w:val="nil"/>
              <w:left w:val="nil"/>
              <w:bottom w:val="nil"/>
              <w:right w:val="nil"/>
            </w:tcBorders>
            <w:shd w:val="clear" w:color="auto" w:fill="auto"/>
            <w:noWrap/>
            <w:vAlign w:val="bottom"/>
            <w:hideMark/>
          </w:tcPr>
          <w:p w:rsidR="008C6785" w:rsidRPr="008C6785" w:rsidRDefault="008C6785" w:rsidP="008C6785">
            <w:pPr>
              <w:jc w:val="center"/>
              <w:rPr>
                <w:rFonts w:ascii="Calibri" w:hAnsi="Calibri"/>
                <w:b/>
                <w:bCs/>
                <w:color w:val="000000"/>
                <w:sz w:val="22"/>
                <w:szCs w:val="22"/>
                <w:lang w:val="es-MX" w:eastAsia="es-MX"/>
              </w:rPr>
            </w:pPr>
            <w:r w:rsidRPr="008C6785">
              <w:rPr>
                <w:rFonts w:ascii="Calibri" w:hAnsi="Calibri"/>
                <w:b/>
                <w:bCs/>
                <w:color w:val="000000"/>
                <w:sz w:val="22"/>
                <w:szCs w:val="22"/>
                <w:lang w:val="es-MX" w:eastAsia="es-MX"/>
              </w:rPr>
              <w:t>RAMO 33</w:t>
            </w:r>
          </w:p>
        </w:tc>
      </w:tr>
      <w:tr w:rsidR="008C6785" w:rsidRPr="008C6785" w:rsidTr="008C6785">
        <w:trPr>
          <w:trHeight w:val="300"/>
        </w:trPr>
        <w:tc>
          <w:tcPr>
            <w:tcW w:w="2986" w:type="dxa"/>
            <w:tcBorders>
              <w:top w:val="nil"/>
              <w:left w:val="nil"/>
              <w:bottom w:val="single" w:sz="4" w:space="0" w:color="auto"/>
              <w:right w:val="nil"/>
            </w:tcBorders>
            <w:shd w:val="clear" w:color="auto" w:fill="auto"/>
            <w:noWrap/>
            <w:vAlign w:val="bottom"/>
            <w:hideMark/>
          </w:tcPr>
          <w:p w:rsidR="008C6785" w:rsidRPr="008C6785" w:rsidRDefault="008C6785" w:rsidP="008C6785">
            <w:pPr>
              <w:jc w:val="center"/>
              <w:rPr>
                <w:rFonts w:ascii="Calibri" w:hAnsi="Calibri"/>
                <w:b/>
                <w:bCs/>
                <w:color w:val="000000"/>
                <w:sz w:val="22"/>
                <w:szCs w:val="22"/>
                <w:lang w:val="es-MX" w:eastAsia="es-MX"/>
              </w:rPr>
            </w:pPr>
            <w:r w:rsidRPr="008C6785">
              <w:rPr>
                <w:rFonts w:ascii="Calibri" w:hAnsi="Calibri"/>
                <w:b/>
                <w:bCs/>
                <w:color w:val="000000"/>
                <w:sz w:val="22"/>
                <w:szCs w:val="22"/>
                <w:lang w:val="es-MX" w:eastAsia="es-MX"/>
              </w:rPr>
              <w:t> </w:t>
            </w:r>
          </w:p>
        </w:tc>
        <w:tc>
          <w:tcPr>
            <w:tcW w:w="1858" w:type="dxa"/>
            <w:tcBorders>
              <w:top w:val="nil"/>
              <w:left w:val="nil"/>
              <w:bottom w:val="single" w:sz="4" w:space="0" w:color="auto"/>
              <w:right w:val="nil"/>
            </w:tcBorders>
            <w:shd w:val="clear" w:color="auto" w:fill="auto"/>
            <w:noWrap/>
            <w:vAlign w:val="bottom"/>
            <w:hideMark/>
          </w:tcPr>
          <w:p w:rsidR="008C6785" w:rsidRPr="008C6785" w:rsidRDefault="008C6785" w:rsidP="008C6785">
            <w:pPr>
              <w:jc w:val="center"/>
              <w:rPr>
                <w:rFonts w:ascii="Calibri" w:hAnsi="Calibri"/>
                <w:b/>
                <w:bCs/>
                <w:color w:val="000000"/>
                <w:sz w:val="22"/>
                <w:szCs w:val="22"/>
                <w:lang w:val="es-MX" w:eastAsia="es-MX"/>
              </w:rPr>
            </w:pPr>
            <w:r w:rsidRPr="008C6785">
              <w:rPr>
                <w:rFonts w:ascii="Calibri" w:hAnsi="Calibri"/>
                <w:b/>
                <w:bCs/>
                <w:color w:val="000000"/>
                <w:sz w:val="22"/>
                <w:szCs w:val="22"/>
                <w:lang w:val="es-MX" w:eastAsia="es-MX"/>
              </w:rPr>
              <w:t> </w:t>
            </w:r>
          </w:p>
        </w:tc>
        <w:tc>
          <w:tcPr>
            <w:tcW w:w="1858" w:type="dxa"/>
            <w:tcBorders>
              <w:top w:val="nil"/>
              <w:left w:val="nil"/>
              <w:bottom w:val="single" w:sz="4" w:space="0" w:color="auto"/>
              <w:right w:val="nil"/>
            </w:tcBorders>
            <w:shd w:val="clear" w:color="auto" w:fill="auto"/>
            <w:noWrap/>
            <w:vAlign w:val="bottom"/>
            <w:hideMark/>
          </w:tcPr>
          <w:p w:rsidR="008C6785" w:rsidRPr="008C6785" w:rsidRDefault="008C6785" w:rsidP="008C6785">
            <w:pPr>
              <w:jc w:val="center"/>
              <w:rPr>
                <w:rFonts w:ascii="Calibri" w:hAnsi="Calibri"/>
                <w:b/>
                <w:bCs/>
                <w:color w:val="000000"/>
                <w:sz w:val="22"/>
                <w:szCs w:val="22"/>
                <w:lang w:val="es-MX" w:eastAsia="es-MX"/>
              </w:rPr>
            </w:pPr>
            <w:r w:rsidRPr="008C6785">
              <w:rPr>
                <w:rFonts w:ascii="Calibri" w:hAnsi="Calibri"/>
                <w:b/>
                <w:bCs/>
                <w:color w:val="000000"/>
                <w:sz w:val="22"/>
                <w:szCs w:val="22"/>
                <w:lang w:val="es-MX" w:eastAsia="es-MX"/>
              </w:rPr>
              <w:t> </w:t>
            </w:r>
          </w:p>
        </w:tc>
        <w:tc>
          <w:tcPr>
            <w:tcW w:w="1858" w:type="dxa"/>
            <w:tcBorders>
              <w:top w:val="nil"/>
              <w:left w:val="nil"/>
              <w:bottom w:val="single" w:sz="4" w:space="0" w:color="auto"/>
              <w:right w:val="nil"/>
            </w:tcBorders>
            <w:shd w:val="clear" w:color="auto" w:fill="auto"/>
            <w:noWrap/>
            <w:vAlign w:val="bottom"/>
            <w:hideMark/>
          </w:tcPr>
          <w:p w:rsidR="008C6785" w:rsidRPr="008C6785" w:rsidRDefault="008C6785" w:rsidP="008C6785">
            <w:pPr>
              <w:jc w:val="center"/>
              <w:rPr>
                <w:rFonts w:ascii="Calibri" w:hAnsi="Calibri"/>
                <w:b/>
                <w:bCs/>
                <w:color w:val="000000"/>
                <w:sz w:val="22"/>
                <w:szCs w:val="22"/>
                <w:lang w:val="es-MX" w:eastAsia="es-MX"/>
              </w:rPr>
            </w:pPr>
            <w:r w:rsidRPr="008C6785">
              <w:rPr>
                <w:rFonts w:ascii="Calibri" w:hAnsi="Calibri"/>
                <w:b/>
                <w:bCs/>
                <w:color w:val="000000"/>
                <w:sz w:val="22"/>
                <w:szCs w:val="22"/>
                <w:lang w:val="es-MX" w:eastAsia="es-MX"/>
              </w:rPr>
              <w:t> </w:t>
            </w:r>
          </w:p>
        </w:tc>
      </w:tr>
      <w:tr w:rsidR="008C6785" w:rsidRPr="008C6785" w:rsidTr="008C6785">
        <w:trPr>
          <w:trHeight w:val="600"/>
        </w:trPr>
        <w:tc>
          <w:tcPr>
            <w:tcW w:w="298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C6785" w:rsidRPr="008C6785" w:rsidRDefault="008C6785" w:rsidP="008C6785">
            <w:pPr>
              <w:jc w:val="center"/>
              <w:rPr>
                <w:rFonts w:ascii="Calibri" w:hAnsi="Calibri"/>
                <w:color w:val="000000"/>
                <w:sz w:val="22"/>
                <w:szCs w:val="22"/>
                <w:lang w:val="es-MX" w:eastAsia="es-MX"/>
              </w:rPr>
            </w:pPr>
            <w:r w:rsidRPr="008C6785">
              <w:rPr>
                <w:rFonts w:ascii="Calibri" w:hAnsi="Calibri"/>
                <w:color w:val="000000"/>
                <w:sz w:val="22"/>
                <w:szCs w:val="22"/>
                <w:lang w:val="es-MX" w:eastAsia="es-MX"/>
              </w:rPr>
              <w:t>MUNICIPIO</w:t>
            </w:r>
          </w:p>
        </w:tc>
        <w:tc>
          <w:tcPr>
            <w:tcW w:w="18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C6785" w:rsidRPr="008C6785" w:rsidRDefault="008C6785" w:rsidP="008C6785">
            <w:pPr>
              <w:jc w:val="cente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1ER TRIMESTRE </w:t>
            </w:r>
          </w:p>
        </w:tc>
        <w:tc>
          <w:tcPr>
            <w:tcW w:w="18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C6785" w:rsidRPr="008C6785" w:rsidRDefault="008C6785" w:rsidP="008C6785">
            <w:pPr>
              <w:jc w:val="center"/>
              <w:rPr>
                <w:rFonts w:ascii="Calibri" w:hAnsi="Calibri"/>
                <w:color w:val="000000"/>
                <w:sz w:val="22"/>
                <w:szCs w:val="22"/>
                <w:lang w:val="es-MX" w:eastAsia="es-MX"/>
              </w:rPr>
            </w:pPr>
            <w:r w:rsidRPr="008C6785">
              <w:rPr>
                <w:rFonts w:ascii="Calibri" w:hAnsi="Calibri"/>
                <w:color w:val="000000"/>
                <w:sz w:val="22"/>
                <w:szCs w:val="22"/>
                <w:lang w:val="es-MX" w:eastAsia="es-MX"/>
              </w:rPr>
              <w:t>2DO TRIMESTRE</w:t>
            </w:r>
          </w:p>
        </w:tc>
        <w:tc>
          <w:tcPr>
            <w:tcW w:w="18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C6785" w:rsidRPr="008C6785" w:rsidRDefault="008C6785" w:rsidP="008C6785">
            <w:pPr>
              <w:jc w:val="center"/>
              <w:rPr>
                <w:rFonts w:ascii="Calibri" w:hAnsi="Calibri"/>
                <w:color w:val="000000"/>
                <w:sz w:val="22"/>
                <w:szCs w:val="22"/>
                <w:lang w:val="es-MX" w:eastAsia="es-MX"/>
              </w:rPr>
            </w:pPr>
            <w:r w:rsidRPr="008C6785">
              <w:rPr>
                <w:rFonts w:ascii="Calibri" w:hAnsi="Calibri"/>
                <w:color w:val="000000"/>
                <w:sz w:val="22"/>
                <w:szCs w:val="22"/>
                <w:lang w:val="es-MX" w:eastAsia="es-MX"/>
              </w:rPr>
              <w:t>SUMA</w:t>
            </w:r>
          </w:p>
        </w:tc>
      </w:tr>
      <w:tr w:rsidR="008C6785" w:rsidRPr="008C6785" w:rsidTr="008C6785">
        <w:trPr>
          <w:trHeight w:val="300"/>
        </w:trPr>
        <w:tc>
          <w:tcPr>
            <w:tcW w:w="2986" w:type="dxa"/>
            <w:vMerge/>
            <w:tcBorders>
              <w:top w:val="nil"/>
              <w:left w:val="single" w:sz="4" w:space="0" w:color="auto"/>
              <w:bottom w:val="single" w:sz="4" w:space="0" w:color="auto"/>
              <w:right w:val="single" w:sz="4" w:space="0" w:color="auto"/>
            </w:tcBorders>
            <w:vAlign w:val="center"/>
            <w:hideMark/>
          </w:tcPr>
          <w:p w:rsidR="008C6785" w:rsidRPr="008C6785" w:rsidRDefault="008C6785" w:rsidP="008C6785">
            <w:pPr>
              <w:rPr>
                <w:rFonts w:ascii="Calibri" w:hAnsi="Calibri"/>
                <w:color w:val="000000"/>
                <w:sz w:val="22"/>
                <w:szCs w:val="22"/>
                <w:lang w:val="es-MX" w:eastAsia="es-MX"/>
              </w:rPr>
            </w:pPr>
          </w:p>
        </w:tc>
        <w:tc>
          <w:tcPr>
            <w:tcW w:w="1858" w:type="dxa"/>
            <w:vMerge/>
            <w:tcBorders>
              <w:top w:val="nil"/>
              <w:left w:val="single" w:sz="4" w:space="0" w:color="auto"/>
              <w:bottom w:val="single" w:sz="4" w:space="0" w:color="auto"/>
              <w:right w:val="single" w:sz="4" w:space="0" w:color="auto"/>
            </w:tcBorders>
            <w:vAlign w:val="center"/>
            <w:hideMark/>
          </w:tcPr>
          <w:p w:rsidR="008C6785" w:rsidRPr="008C6785" w:rsidRDefault="008C6785" w:rsidP="008C6785">
            <w:pPr>
              <w:rPr>
                <w:rFonts w:ascii="Calibri" w:hAnsi="Calibri"/>
                <w:color w:val="000000"/>
                <w:sz w:val="18"/>
                <w:szCs w:val="18"/>
                <w:lang w:val="es-MX" w:eastAsia="es-MX"/>
              </w:rPr>
            </w:pPr>
          </w:p>
        </w:tc>
        <w:tc>
          <w:tcPr>
            <w:tcW w:w="1858" w:type="dxa"/>
            <w:vMerge/>
            <w:tcBorders>
              <w:top w:val="nil"/>
              <w:left w:val="single" w:sz="4" w:space="0" w:color="auto"/>
              <w:bottom w:val="single" w:sz="4" w:space="0" w:color="auto"/>
              <w:right w:val="single" w:sz="4" w:space="0" w:color="auto"/>
            </w:tcBorders>
            <w:vAlign w:val="center"/>
            <w:hideMark/>
          </w:tcPr>
          <w:p w:rsidR="008C6785" w:rsidRPr="008C6785" w:rsidRDefault="008C6785" w:rsidP="008C6785">
            <w:pPr>
              <w:rPr>
                <w:rFonts w:ascii="Calibri" w:hAnsi="Calibri"/>
                <w:color w:val="000000"/>
                <w:sz w:val="22"/>
                <w:szCs w:val="22"/>
                <w:lang w:val="es-MX" w:eastAsia="es-MX"/>
              </w:rPr>
            </w:pPr>
          </w:p>
        </w:tc>
        <w:tc>
          <w:tcPr>
            <w:tcW w:w="1858" w:type="dxa"/>
            <w:vMerge/>
            <w:tcBorders>
              <w:top w:val="nil"/>
              <w:left w:val="single" w:sz="4" w:space="0" w:color="auto"/>
              <w:bottom w:val="single" w:sz="4" w:space="0" w:color="auto"/>
              <w:right w:val="single" w:sz="4" w:space="0" w:color="auto"/>
            </w:tcBorders>
            <w:vAlign w:val="center"/>
            <w:hideMark/>
          </w:tcPr>
          <w:p w:rsidR="008C6785" w:rsidRPr="008C6785" w:rsidRDefault="008C6785" w:rsidP="008C6785">
            <w:pPr>
              <w:rPr>
                <w:rFonts w:ascii="Calibri" w:hAnsi="Calibri"/>
                <w:color w:val="000000"/>
                <w:sz w:val="22"/>
                <w:szCs w:val="22"/>
                <w:lang w:val="es-MX" w:eastAsia="es-MX"/>
              </w:rPr>
            </w:pPr>
          </w:p>
        </w:tc>
      </w:tr>
      <w:tr w:rsidR="008C6785" w:rsidRPr="008C6785" w:rsidTr="008C6785">
        <w:trPr>
          <w:trHeight w:val="300"/>
        </w:trPr>
        <w:tc>
          <w:tcPr>
            <w:tcW w:w="2986" w:type="dxa"/>
            <w:tcBorders>
              <w:top w:val="nil"/>
              <w:left w:val="nil"/>
              <w:bottom w:val="nil"/>
              <w:right w:val="nil"/>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p>
        </w:tc>
        <w:tc>
          <w:tcPr>
            <w:tcW w:w="1858" w:type="dxa"/>
            <w:tcBorders>
              <w:top w:val="nil"/>
              <w:left w:val="nil"/>
              <w:bottom w:val="nil"/>
              <w:right w:val="nil"/>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p>
        </w:tc>
        <w:tc>
          <w:tcPr>
            <w:tcW w:w="1858" w:type="dxa"/>
            <w:tcBorders>
              <w:top w:val="nil"/>
              <w:left w:val="nil"/>
              <w:bottom w:val="nil"/>
              <w:right w:val="nil"/>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p>
        </w:tc>
        <w:tc>
          <w:tcPr>
            <w:tcW w:w="1858" w:type="dxa"/>
            <w:tcBorders>
              <w:top w:val="nil"/>
              <w:left w:val="nil"/>
              <w:bottom w:val="nil"/>
              <w:right w:val="nil"/>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p>
        </w:tc>
      </w:tr>
      <w:tr w:rsidR="008C6785" w:rsidRPr="008C6785" w:rsidTr="008C6785">
        <w:trPr>
          <w:trHeight w:val="300"/>
        </w:trPr>
        <w:tc>
          <w:tcPr>
            <w:tcW w:w="2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SANTA CATARINA JUQUILA</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1,018,185.58 </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1,527,278.37 </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2,545,463.95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 PEDRO MARTIR QUIECHAPA</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59,334.48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89,001.72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148,336.20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 BARTOLOME LOXICHA</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294,507.98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441,761.97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736,269.95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REYES ETLA</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126,414.84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189,622.26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316,037.10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SANTA MARÍA CAMOTLÁN</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104,794.04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157,191.06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261,985.10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SANTO DOMINGO INGENIO</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330,368.84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495,553.26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825,922.10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TEOTITLÁN DE FLORES MAGÓN</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312,128.48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468,192.72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780,321.20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 MIGUEL DEL PUERTO</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350,732.58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526,098.87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876,831.45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SANTA CATARINA QUIANE</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71,059.92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106,589.88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177,649.80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 PABLO COATLÁN</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211,278.30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316,917.45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528,195.75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TLACOLULA DE MATAMOROS</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672,253.34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1,008,380.01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1,680,633.35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 PEDRO HUAMELULA</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542,253.80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813,380.70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1,355,634.50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SANTO DOMINGO YANHUITLÁN</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113,666.14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170,499.21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284,165.35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SANTO DOMINGO TEHUANTEPEC</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2,427,459.70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3,641,189.55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6,068,649.25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SANTA MARIA ZACATEPEC</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864,255.86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1,296,383.79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2,160,639.65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SANTA MARIA TLALIXTAC</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101,944.50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152,916.75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254,861.25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MIAHUATLAN DE PORIFIRIO DIAZ</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2,311,554.52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3,467,331.78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5,778,886.30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CHALCATONGO DE HIDALGO</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623,846.36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935,769.54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1,559,615.90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 JUAN COATZOSPAM</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152,916.78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229,375.17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382,291.95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 GABRIEL MIXTEPEC</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376,246.40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564,369.60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940,616.00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 PEDRO MIXTEPEC</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1,606,527.64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2,409,791.46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4,016,319.10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 PEDRO JICAYAN</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845,134.80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1,267,702.20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2,112,837.00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SANTO TOMAS TAMAZULAPAN</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137,767.56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206,651.34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344,418.90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PLUMA HIDALGO</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353,540.80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530,311.20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883,852.00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 ANDRES HUAXPALTEPEC</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345,895.40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518,843.10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864,738.50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LOMA BONITA</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1,771,743.40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2,657,615.10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4,429,358.50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 MATEO YOLOXOCHITLAN</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267,736.00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401,604.00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669,340.00 </w:t>
            </w:r>
          </w:p>
        </w:tc>
      </w:tr>
    </w:tbl>
    <w:p w:rsidR="008C6785" w:rsidRDefault="008C6785"/>
    <w:tbl>
      <w:tblPr>
        <w:tblW w:w="8560" w:type="dxa"/>
        <w:tblInd w:w="51" w:type="dxa"/>
        <w:tblCellMar>
          <w:left w:w="70" w:type="dxa"/>
          <w:right w:w="70" w:type="dxa"/>
        </w:tblCellMar>
        <w:tblLook w:val="04A0"/>
      </w:tblPr>
      <w:tblGrid>
        <w:gridCol w:w="8560"/>
      </w:tblGrid>
      <w:tr w:rsidR="008C6785" w:rsidRPr="008C6785" w:rsidTr="00B74216">
        <w:trPr>
          <w:trHeight w:val="300"/>
        </w:trPr>
        <w:tc>
          <w:tcPr>
            <w:tcW w:w="8560" w:type="dxa"/>
            <w:tcBorders>
              <w:top w:val="nil"/>
              <w:left w:val="nil"/>
              <w:bottom w:val="nil"/>
              <w:right w:val="nil"/>
            </w:tcBorders>
            <w:shd w:val="clear" w:color="auto" w:fill="auto"/>
            <w:noWrap/>
            <w:vAlign w:val="bottom"/>
            <w:hideMark/>
          </w:tcPr>
          <w:p w:rsidR="008C6785" w:rsidRPr="008C6785" w:rsidRDefault="008C6785" w:rsidP="00B74216">
            <w:pPr>
              <w:jc w:val="center"/>
              <w:rPr>
                <w:rFonts w:ascii="Calibri" w:hAnsi="Calibri"/>
                <w:color w:val="000000"/>
                <w:sz w:val="22"/>
                <w:szCs w:val="22"/>
                <w:lang w:val="es-MX" w:eastAsia="es-MX"/>
              </w:rPr>
            </w:pPr>
            <w:r w:rsidRPr="008C6785">
              <w:rPr>
                <w:rFonts w:ascii="Calibri" w:hAnsi="Calibri"/>
                <w:color w:val="000000"/>
                <w:sz w:val="22"/>
                <w:szCs w:val="22"/>
                <w:lang w:val="es-MX" w:eastAsia="es-MX"/>
              </w:rPr>
              <w:t>TESORERÌA</w:t>
            </w:r>
          </w:p>
        </w:tc>
      </w:tr>
      <w:tr w:rsidR="008C6785" w:rsidRPr="008C6785" w:rsidTr="00B74216">
        <w:trPr>
          <w:trHeight w:val="300"/>
        </w:trPr>
        <w:tc>
          <w:tcPr>
            <w:tcW w:w="8560" w:type="dxa"/>
            <w:tcBorders>
              <w:top w:val="nil"/>
              <w:left w:val="nil"/>
              <w:bottom w:val="nil"/>
              <w:right w:val="nil"/>
            </w:tcBorders>
            <w:shd w:val="clear" w:color="auto" w:fill="auto"/>
            <w:noWrap/>
            <w:vAlign w:val="bottom"/>
            <w:hideMark/>
          </w:tcPr>
          <w:p w:rsidR="008C6785" w:rsidRPr="008C6785" w:rsidRDefault="008C6785" w:rsidP="00B74216">
            <w:pPr>
              <w:jc w:val="center"/>
              <w:rPr>
                <w:rFonts w:ascii="Calibri" w:hAnsi="Calibri"/>
                <w:color w:val="000000"/>
                <w:sz w:val="22"/>
                <w:szCs w:val="22"/>
                <w:lang w:val="es-MX" w:eastAsia="es-MX"/>
              </w:rPr>
            </w:pPr>
            <w:r w:rsidRPr="008C6785">
              <w:rPr>
                <w:rFonts w:ascii="Calibri" w:hAnsi="Calibri"/>
                <w:color w:val="000000"/>
                <w:sz w:val="22"/>
                <w:szCs w:val="22"/>
                <w:lang w:val="es-MX" w:eastAsia="es-MX"/>
              </w:rPr>
              <w:t>DEPARTAMENTO DE DEUDA PÚBLICA</w:t>
            </w:r>
          </w:p>
        </w:tc>
      </w:tr>
      <w:tr w:rsidR="008C6785" w:rsidRPr="008C6785" w:rsidTr="00B74216">
        <w:trPr>
          <w:trHeight w:val="300"/>
        </w:trPr>
        <w:tc>
          <w:tcPr>
            <w:tcW w:w="8560" w:type="dxa"/>
            <w:tcBorders>
              <w:top w:val="nil"/>
              <w:left w:val="nil"/>
              <w:bottom w:val="nil"/>
              <w:right w:val="nil"/>
            </w:tcBorders>
            <w:shd w:val="clear" w:color="auto" w:fill="auto"/>
            <w:noWrap/>
            <w:vAlign w:val="bottom"/>
            <w:hideMark/>
          </w:tcPr>
          <w:p w:rsidR="008C6785" w:rsidRPr="008C6785" w:rsidRDefault="008C6785" w:rsidP="00B74216">
            <w:pPr>
              <w:jc w:val="center"/>
              <w:rPr>
                <w:rFonts w:ascii="Calibri" w:hAnsi="Calibri"/>
                <w:color w:val="000000"/>
                <w:sz w:val="22"/>
                <w:szCs w:val="22"/>
                <w:lang w:val="es-MX" w:eastAsia="es-MX"/>
              </w:rPr>
            </w:pPr>
            <w:r w:rsidRPr="008C6785">
              <w:rPr>
                <w:rFonts w:ascii="Calibri" w:hAnsi="Calibri"/>
                <w:color w:val="000000"/>
                <w:sz w:val="22"/>
                <w:szCs w:val="22"/>
                <w:lang w:val="es-MX" w:eastAsia="es-MX"/>
              </w:rPr>
              <w:t xml:space="preserve"> CRÉDITOS MUNICIPALES 2015</w:t>
            </w:r>
          </w:p>
        </w:tc>
      </w:tr>
      <w:tr w:rsidR="008C6785" w:rsidRPr="008C6785" w:rsidTr="00B74216">
        <w:trPr>
          <w:trHeight w:val="300"/>
        </w:trPr>
        <w:tc>
          <w:tcPr>
            <w:tcW w:w="8560" w:type="dxa"/>
            <w:tcBorders>
              <w:top w:val="nil"/>
              <w:left w:val="nil"/>
              <w:bottom w:val="nil"/>
              <w:right w:val="nil"/>
            </w:tcBorders>
            <w:shd w:val="clear" w:color="auto" w:fill="auto"/>
            <w:noWrap/>
            <w:vAlign w:val="bottom"/>
            <w:hideMark/>
          </w:tcPr>
          <w:p w:rsidR="008C6785" w:rsidRPr="008C6785" w:rsidRDefault="008C6785" w:rsidP="00B74216">
            <w:pPr>
              <w:jc w:val="center"/>
              <w:rPr>
                <w:rFonts w:ascii="Calibri" w:hAnsi="Calibri"/>
                <w:b/>
                <w:bCs/>
                <w:color w:val="000000"/>
                <w:sz w:val="22"/>
                <w:szCs w:val="22"/>
                <w:lang w:val="es-MX" w:eastAsia="es-MX"/>
              </w:rPr>
            </w:pPr>
            <w:r w:rsidRPr="008C6785">
              <w:rPr>
                <w:rFonts w:ascii="Calibri" w:hAnsi="Calibri"/>
                <w:b/>
                <w:bCs/>
                <w:color w:val="000000"/>
                <w:sz w:val="22"/>
                <w:szCs w:val="22"/>
                <w:lang w:val="es-MX" w:eastAsia="es-MX"/>
              </w:rPr>
              <w:t>Cantidades en pesos</w:t>
            </w:r>
          </w:p>
        </w:tc>
      </w:tr>
      <w:tr w:rsidR="008C6785" w:rsidRPr="008C6785" w:rsidTr="00B74216">
        <w:trPr>
          <w:trHeight w:val="300"/>
        </w:trPr>
        <w:tc>
          <w:tcPr>
            <w:tcW w:w="8560" w:type="dxa"/>
            <w:tcBorders>
              <w:top w:val="nil"/>
              <w:left w:val="nil"/>
              <w:bottom w:val="nil"/>
              <w:right w:val="nil"/>
            </w:tcBorders>
            <w:shd w:val="clear" w:color="auto" w:fill="auto"/>
            <w:noWrap/>
            <w:vAlign w:val="bottom"/>
            <w:hideMark/>
          </w:tcPr>
          <w:p w:rsidR="008C6785" w:rsidRPr="008C6785" w:rsidRDefault="008C6785" w:rsidP="00B74216">
            <w:pPr>
              <w:jc w:val="center"/>
              <w:rPr>
                <w:rFonts w:ascii="Calibri" w:hAnsi="Calibri"/>
                <w:b/>
                <w:bCs/>
                <w:color w:val="000000"/>
                <w:sz w:val="22"/>
                <w:szCs w:val="22"/>
                <w:lang w:val="es-MX" w:eastAsia="es-MX"/>
              </w:rPr>
            </w:pPr>
            <w:r w:rsidRPr="008C6785">
              <w:rPr>
                <w:rFonts w:ascii="Calibri" w:hAnsi="Calibri"/>
                <w:b/>
                <w:bCs/>
                <w:color w:val="000000"/>
                <w:sz w:val="22"/>
                <w:szCs w:val="22"/>
                <w:lang w:val="es-MX" w:eastAsia="es-MX"/>
              </w:rPr>
              <w:t>RAMO 33</w:t>
            </w:r>
          </w:p>
        </w:tc>
      </w:tr>
    </w:tbl>
    <w:p w:rsidR="008C6785" w:rsidRDefault="008C6785"/>
    <w:p w:rsidR="008C6785" w:rsidRDefault="008C6785"/>
    <w:tbl>
      <w:tblPr>
        <w:tblW w:w="8560" w:type="dxa"/>
        <w:tblInd w:w="51" w:type="dxa"/>
        <w:tblCellMar>
          <w:left w:w="70" w:type="dxa"/>
          <w:right w:w="70" w:type="dxa"/>
        </w:tblCellMar>
        <w:tblLook w:val="04A0"/>
      </w:tblPr>
      <w:tblGrid>
        <w:gridCol w:w="2986"/>
        <w:gridCol w:w="1858"/>
        <w:gridCol w:w="1858"/>
        <w:gridCol w:w="1858"/>
      </w:tblGrid>
      <w:tr w:rsidR="008C6785" w:rsidRPr="008C6785" w:rsidTr="008C6785">
        <w:trPr>
          <w:trHeight w:val="600"/>
        </w:trPr>
        <w:tc>
          <w:tcPr>
            <w:tcW w:w="2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85" w:rsidRPr="008C6785" w:rsidRDefault="008C6785" w:rsidP="00B74216">
            <w:pPr>
              <w:jc w:val="center"/>
              <w:rPr>
                <w:rFonts w:ascii="Calibri" w:hAnsi="Calibri"/>
                <w:color w:val="000000"/>
                <w:sz w:val="22"/>
                <w:szCs w:val="22"/>
                <w:lang w:val="es-MX" w:eastAsia="es-MX"/>
              </w:rPr>
            </w:pPr>
            <w:r w:rsidRPr="008C6785">
              <w:rPr>
                <w:rFonts w:ascii="Calibri" w:hAnsi="Calibri"/>
                <w:color w:val="000000"/>
                <w:sz w:val="22"/>
                <w:szCs w:val="22"/>
                <w:lang w:val="es-MX" w:eastAsia="es-MX"/>
              </w:rPr>
              <w:t>MUNICIPIO</w:t>
            </w:r>
          </w:p>
        </w:tc>
        <w:tc>
          <w:tcPr>
            <w:tcW w:w="18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85" w:rsidRPr="008C6785" w:rsidRDefault="008C6785" w:rsidP="00B74216">
            <w:pPr>
              <w:jc w:val="cente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1ER TRIMESTRE </w:t>
            </w:r>
          </w:p>
        </w:tc>
        <w:tc>
          <w:tcPr>
            <w:tcW w:w="18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85" w:rsidRPr="008C6785" w:rsidRDefault="008C6785" w:rsidP="00B74216">
            <w:pPr>
              <w:jc w:val="center"/>
              <w:rPr>
                <w:rFonts w:ascii="Calibri" w:hAnsi="Calibri"/>
                <w:color w:val="000000"/>
                <w:sz w:val="22"/>
                <w:szCs w:val="22"/>
                <w:lang w:val="es-MX" w:eastAsia="es-MX"/>
              </w:rPr>
            </w:pPr>
            <w:r w:rsidRPr="008C6785">
              <w:rPr>
                <w:rFonts w:ascii="Calibri" w:hAnsi="Calibri"/>
                <w:color w:val="000000"/>
                <w:sz w:val="22"/>
                <w:szCs w:val="22"/>
                <w:lang w:val="es-MX" w:eastAsia="es-MX"/>
              </w:rPr>
              <w:t>2DO TRIMESTRE</w:t>
            </w:r>
          </w:p>
        </w:tc>
        <w:tc>
          <w:tcPr>
            <w:tcW w:w="18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85" w:rsidRPr="008C6785" w:rsidRDefault="008C6785" w:rsidP="00B74216">
            <w:pPr>
              <w:jc w:val="center"/>
              <w:rPr>
                <w:rFonts w:ascii="Calibri" w:hAnsi="Calibri"/>
                <w:color w:val="000000"/>
                <w:sz w:val="22"/>
                <w:szCs w:val="22"/>
                <w:lang w:val="es-MX" w:eastAsia="es-MX"/>
              </w:rPr>
            </w:pPr>
            <w:r w:rsidRPr="008C6785">
              <w:rPr>
                <w:rFonts w:ascii="Calibri" w:hAnsi="Calibri"/>
                <w:color w:val="000000"/>
                <w:sz w:val="22"/>
                <w:szCs w:val="22"/>
                <w:lang w:val="es-MX" w:eastAsia="es-MX"/>
              </w:rPr>
              <w:t>SUMA</w:t>
            </w:r>
          </w:p>
        </w:tc>
      </w:tr>
      <w:tr w:rsidR="008C6785" w:rsidRPr="008C6785" w:rsidTr="008C6785">
        <w:trPr>
          <w:trHeight w:val="300"/>
        </w:trPr>
        <w:tc>
          <w:tcPr>
            <w:tcW w:w="2986" w:type="dxa"/>
            <w:vMerge/>
            <w:tcBorders>
              <w:top w:val="single" w:sz="4" w:space="0" w:color="auto"/>
              <w:left w:val="single" w:sz="4" w:space="0" w:color="auto"/>
              <w:bottom w:val="single" w:sz="4" w:space="0" w:color="auto"/>
              <w:right w:val="single" w:sz="4" w:space="0" w:color="auto"/>
            </w:tcBorders>
            <w:vAlign w:val="center"/>
            <w:hideMark/>
          </w:tcPr>
          <w:p w:rsidR="008C6785" w:rsidRPr="008C6785" w:rsidRDefault="008C6785" w:rsidP="00B74216">
            <w:pPr>
              <w:rPr>
                <w:rFonts w:ascii="Calibri" w:hAnsi="Calibri"/>
                <w:color w:val="000000"/>
                <w:sz w:val="22"/>
                <w:szCs w:val="22"/>
                <w:lang w:val="es-MX" w:eastAsia="es-MX"/>
              </w:rPr>
            </w:pPr>
          </w:p>
        </w:tc>
        <w:tc>
          <w:tcPr>
            <w:tcW w:w="1858" w:type="dxa"/>
            <w:vMerge/>
            <w:tcBorders>
              <w:top w:val="single" w:sz="4" w:space="0" w:color="auto"/>
              <w:left w:val="single" w:sz="4" w:space="0" w:color="auto"/>
              <w:bottom w:val="single" w:sz="4" w:space="0" w:color="auto"/>
              <w:right w:val="single" w:sz="4" w:space="0" w:color="auto"/>
            </w:tcBorders>
            <w:vAlign w:val="center"/>
            <w:hideMark/>
          </w:tcPr>
          <w:p w:rsidR="008C6785" w:rsidRPr="008C6785" w:rsidRDefault="008C6785" w:rsidP="00B74216">
            <w:pPr>
              <w:rPr>
                <w:rFonts w:ascii="Calibri" w:hAnsi="Calibri"/>
                <w:color w:val="000000"/>
                <w:sz w:val="18"/>
                <w:szCs w:val="18"/>
                <w:lang w:val="es-MX" w:eastAsia="es-MX"/>
              </w:rPr>
            </w:pPr>
          </w:p>
        </w:tc>
        <w:tc>
          <w:tcPr>
            <w:tcW w:w="1858" w:type="dxa"/>
            <w:vMerge/>
            <w:tcBorders>
              <w:top w:val="single" w:sz="4" w:space="0" w:color="auto"/>
              <w:left w:val="single" w:sz="4" w:space="0" w:color="auto"/>
              <w:bottom w:val="single" w:sz="4" w:space="0" w:color="auto"/>
              <w:right w:val="single" w:sz="4" w:space="0" w:color="auto"/>
            </w:tcBorders>
            <w:vAlign w:val="center"/>
            <w:hideMark/>
          </w:tcPr>
          <w:p w:rsidR="008C6785" w:rsidRPr="008C6785" w:rsidRDefault="008C6785" w:rsidP="00B74216">
            <w:pPr>
              <w:rPr>
                <w:rFonts w:ascii="Calibri" w:hAnsi="Calibri"/>
                <w:color w:val="000000"/>
                <w:sz w:val="22"/>
                <w:szCs w:val="22"/>
                <w:lang w:val="es-MX" w:eastAsia="es-MX"/>
              </w:rPr>
            </w:pPr>
          </w:p>
        </w:tc>
        <w:tc>
          <w:tcPr>
            <w:tcW w:w="1858" w:type="dxa"/>
            <w:vMerge/>
            <w:tcBorders>
              <w:top w:val="single" w:sz="4" w:space="0" w:color="auto"/>
              <w:left w:val="single" w:sz="4" w:space="0" w:color="auto"/>
              <w:bottom w:val="single" w:sz="4" w:space="0" w:color="auto"/>
              <w:right w:val="single" w:sz="4" w:space="0" w:color="auto"/>
            </w:tcBorders>
            <w:vAlign w:val="center"/>
            <w:hideMark/>
          </w:tcPr>
          <w:p w:rsidR="008C6785" w:rsidRPr="008C6785" w:rsidRDefault="008C6785" w:rsidP="00B74216">
            <w:pPr>
              <w:rPr>
                <w:rFonts w:ascii="Calibri" w:hAnsi="Calibri"/>
                <w:color w:val="000000"/>
                <w:sz w:val="22"/>
                <w:szCs w:val="22"/>
                <w:lang w:val="es-MX" w:eastAsia="es-MX"/>
              </w:rPr>
            </w:pPr>
          </w:p>
        </w:tc>
      </w:tr>
      <w:tr w:rsidR="008C6785" w:rsidRPr="008C6785" w:rsidTr="008C6785">
        <w:trPr>
          <w:trHeight w:val="300"/>
        </w:trPr>
        <w:tc>
          <w:tcPr>
            <w:tcW w:w="2986" w:type="dxa"/>
            <w:tcBorders>
              <w:top w:val="nil"/>
              <w:left w:val="nil"/>
              <w:bottom w:val="single" w:sz="4" w:space="0" w:color="auto"/>
              <w:right w:val="nil"/>
            </w:tcBorders>
            <w:shd w:val="clear" w:color="auto" w:fill="auto"/>
            <w:noWrap/>
            <w:vAlign w:val="bottom"/>
            <w:hideMark/>
          </w:tcPr>
          <w:p w:rsidR="008C6785" w:rsidRPr="008C6785" w:rsidRDefault="008C6785" w:rsidP="00B74216">
            <w:pPr>
              <w:rPr>
                <w:rFonts w:ascii="Calibri" w:hAnsi="Calibri"/>
                <w:color w:val="000000"/>
                <w:sz w:val="18"/>
                <w:szCs w:val="18"/>
                <w:lang w:val="es-MX" w:eastAsia="es-MX"/>
              </w:rPr>
            </w:pPr>
          </w:p>
        </w:tc>
        <w:tc>
          <w:tcPr>
            <w:tcW w:w="1858" w:type="dxa"/>
            <w:tcBorders>
              <w:top w:val="nil"/>
              <w:left w:val="nil"/>
              <w:bottom w:val="single" w:sz="4" w:space="0" w:color="auto"/>
              <w:right w:val="nil"/>
            </w:tcBorders>
            <w:shd w:val="clear" w:color="auto" w:fill="auto"/>
            <w:noWrap/>
            <w:vAlign w:val="bottom"/>
            <w:hideMark/>
          </w:tcPr>
          <w:p w:rsidR="008C6785" w:rsidRPr="008C6785" w:rsidRDefault="008C6785" w:rsidP="00B74216">
            <w:pPr>
              <w:rPr>
                <w:rFonts w:ascii="Calibri" w:hAnsi="Calibri"/>
                <w:color w:val="000000"/>
                <w:sz w:val="18"/>
                <w:szCs w:val="18"/>
                <w:lang w:val="es-MX" w:eastAsia="es-MX"/>
              </w:rPr>
            </w:pPr>
          </w:p>
        </w:tc>
        <w:tc>
          <w:tcPr>
            <w:tcW w:w="1858" w:type="dxa"/>
            <w:tcBorders>
              <w:top w:val="nil"/>
              <w:left w:val="nil"/>
              <w:bottom w:val="single" w:sz="4" w:space="0" w:color="auto"/>
              <w:right w:val="nil"/>
            </w:tcBorders>
            <w:shd w:val="clear" w:color="auto" w:fill="auto"/>
            <w:noWrap/>
            <w:vAlign w:val="bottom"/>
            <w:hideMark/>
          </w:tcPr>
          <w:p w:rsidR="008C6785" w:rsidRPr="008C6785" w:rsidRDefault="008C6785" w:rsidP="00B74216">
            <w:pPr>
              <w:rPr>
                <w:rFonts w:ascii="Calibri" w:hAnsi="Calibri"/>
                <w:color w:val="000000"/>
                <w:sz w:val="18"/>
                <w:szCs w:val="18"/>
                <w:lang w:val="es-MX" w:eastAsia="es-MX"/>
              </w:rPr>
            </w:pPr>
          </w:p>
        </w:tc>
        <w:tc>
          <w:tcPr>
            <w:tcW w:w="1858" w:type="dxa"/>
            <w:tcBorders>
              <w:top w:val="nil"/>
              <w:left w:val="nil"/>
              <w:bottom w:val="single" w:sz="4" w:space="0" w:color="auto"/>
              <w:right w:val="nil"/>
            </w:tcBorders>
            <w:shd w:val="clear" w:color="auto" w:fill="auto"/>
            <w:noWrap/>
            <w:vAlign w:val="bottom"/>
            <w:hideMark/>
          </w:tcPr>
          <w:p w:rsidR="008C6785" w:rsidRPr="008C6785" w:rsidRDefault="008C6785" w:rsidP="00B74216">
            <w:pPr>
              <w:rPr>
                <w:rFonts w:ascii="Calibri" w:hAnsi="Calibri"/>
                <w:color w:val="000000"/>
                <w:sz w:val="18"/>
                <w:szCs w:val="18"/>
                <w:lang w:val="es-MX" w:eastAsia="es-MX"/>
              </w:rPr>
            </w:pPr>
          </w:p>
        </w:tc>
      </w:tr>
      <w:tr w:rsidR="008C6785" w:rsidRPr="008C6785" w:rsidTr="008C6785">
        <w:trPr>
          <w:trHeight w:val="300"/>
        </w:trPr>
        <w:tc>
          <w:tcPr>
            <w:tcW w:w="2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SANTA MARIA CORTIJO </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53,448.76 </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80,173.14 </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133,621.90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SANTIAGO JOCOTEPEC</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318,424.58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477,636.87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796,061.45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 JUAN CACAHUATEPEC</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222,897.32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334,345.98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557,243.30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SOLEDAD ETLA</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168,646.56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252,969.84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421,616.40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CUILAPAM  DE GUERRERO</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947,188.62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1,420,782.93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2,367,971.55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OCOTLAN DE MORELOS</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1,107,878.74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1,661,818.11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2,769,696.85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SANTIAGO TAPEXTLA</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257,346.90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386,020.35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643,367.25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SANTO DOMINGO ZANATPEC</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506,108.72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759,163.08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1,265,271.80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 JUAN LACHAO</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262,934.28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394,401.42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657,335.70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 PABLO HUIXTEPEC</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124,853.44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187,280.16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312,133.60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HUATLA DE JIMENEZ</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2,939,281.68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4,408,922.52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7,348,204.20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 MIGUEL TLACAMAMA</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207,587.16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311,380.74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518,967.90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H. CD DE JUCHITAN DE ZARGOZA</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3,149,230.40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4,723,845.60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7,873,076.00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SANTIAGO XANICA</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157,760.50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236,640.75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394,401.25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SANTA MARIA TECOMAVACA</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65,298.82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97,948.23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163,247.05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 JUAN YUCUITA</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20,804.52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62,413.56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83,218.08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SANTA CRUZ ITUNDUJIA</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164,916.64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494,749.92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659,666.56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VILLA TEJUPAM DE LA UNION</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55,368.71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166,106.13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221,474.84 </w:t>
            </w:r>
          </w:p>
        </w:tc>
      </w:tr>
      <w:tr w:rsidR="008C6785" w:rsidRPr="008C6785" w:rsidTr="008C6785">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CUYAMECALCO VILLA DE ZARAGOZA</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82,557.69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247,673.07 </w:t>
            </w:r>
          </w:p>
        </w:tc>
        <w:tc>
          <w:tcPr>
            <w:tcW w:w="1858" w:type="dxa"/>
            <w:tcBorders>
              <w:top w:val="nil"/>
              <w:left w:val="nil"/>
              <w:bottom w:val="single" w:sz="4" w:space="0" w:color="auto"/>
              <w:right w:val="single" w:sz="4" w:space="0" w:color="auto"/>
            </w:tcBorders>
            <w:shd w:val="clear" w:color="auto" w:fill="auto"/>
            <w:noWrap/>
            <w:vAlign w:val="bottom"/>
            <w:hideMark/>
          </w:tcPr>
          <w:p w:rsidR="008C6785" w:rsidRPr="008C6785" w:rsidRDefault="008C6785" w:rsidP="008C6785">
            <w:pPr>
              <w:rPr>
                <w:rFonts w:ascii="Calibri" w:hAnsi="Calibri"/>
                <w:color w:val="000000"/>
                <w:sz w:val="18"/>
                <w:szCs w:val="18"/>
                <w:lang w:val="es-MX" w:eastAsia="es-MX"/>
              </w:rPr>
            </w:pPr>
            <w:r w:rsidRPr="008C6785">
              <w:rPr>
                <w:rFonts w:ascii="Calibri" w:hAnsi="Calibri"/>
                <w:color w:val="000000"/>
                <w:sz w:val="18"/>
                <w:szCs w:val="18"/>
                <w:lang w:val="es-MX" w:eastAsia="es-MX"/>
              </w:rPr>
              <w:t xml:space="preserve">                    330,230.76 </w:t>
            </w:r>
          </w:p>
        </w:tc>
      </w:tr>
    </w:tbl>
    <w:p w:rsidR="008C6785" w:rsidRDefault="008C6785">
      <w:pPr>
        <w:rPr>
          <w:rFonts w:ascii="Arial" w:hAnsi="Arial" w:cs="Arial"/>
          <w:b/>
          <w:spacing w:val="20"/>
        </w:rPr>
      </w:pPr>
      <w:r>
        <w:rPr>
          <w:rFonts w:ascii="Arial" w:hAnsi="Arial" w:cs="Arial"/>
          <w:b/>
          <w:spacing w:val="20"/>
        </w:rPr>
        <w:br w:type="page"/>
      </w:r>
    </w:p>
    <w:p w:rsidR="0053424F" w:rsidRDefault="00ED3AD8" w:rsidP="0053424F">
      <w:pPr>
        <w:spacing w:line="22" w:lineRule="atLeast"/>
        <w:jc w:val="both"/>
        <w:rPr>
          <w:rFonts w:ascii="Arial" w:hAnsi="Arial" w:cs="Arial"/>
          <w:b/>
          <w:spacing w:val="20"/>
        </w:rPr>
      </w:pPr>
      <w:r>
        <w:rPr>
          <w:rFonts w:ascii="Arial" w:hAnsi="Arial" w:cs="Arial"/>
          <w:b/>
          <w:spacing w:val="20"/>
        </w:rPr>
        <w:lastRenderedPageBreak/>
        <w:t>6</w:t>
      </w:r>
      <w:r w:rsidR="003D7501">
        <w:rPr>
          <w:rFonts w:ascii="Arial" w:hAnsi="Arial" w:cs="Arial"/>
          <w:b/>
          <w:spacing w:val="20"/>
        </w:rPr>
        <w:t xml:space="preserve">.- </w:t>
      </w:r>
      <w:r w:rsidR="0053424F">
        <w:rPr>
          <w:rFonts w:ascii="Arial" w:hAnsi="Arial" w:cs="Arial"/>
          <w:b/>
          <w:spacing w:val="20"/>
        </w:rPr>
        <w:t xml:space="preserve">RELACION DE CUENTAS BANCARIAS PRODUCTIVAS </w:t>
      </w:r>
      <w:proofErr w:type="gramStart"/>
      <w:r w:rsidR="0053424F">
        <w:rPr>
          <w:rFonts w:ascii="Arial" w:hAnsi="Arial" w:cs="Arial"/>
          <w:b/>
          <w:spacing w:val="20"/>
        </w:rPr>
        <w:t>ESPECIFICAS</w:t>
      </w:r>
      <w:proofErr w:type="gramEnd"/>
      <w:r w:rsidR="0053424F">
        <w:rPr>
          <w:rFonts w:ascii="Arial" w:hAnsi="Arial" w:cs="Arial"/>
          <w:b/>
          <w:spacing w:val="20"/>
        </w:rPr>
        <w:t xml:space="preserve"> PARA LA RECEPCIÓN DE RECURSOS FEDERALES POR EL EJERCICIO 201</w:t>
      </w:r>
      <w:r w:rsidR="00E04DB7">
        <w:rPr>
          <w:rFonts w:ascii="Arial" w:hAnsi="Arial" w:cs="Arial"/>
          <w:b/>
          <w:spacing w:val="20"/>
        </w:rPr>
        <w:t>5</w:t>
      </w:r>
    </w:p>
    <w:p w:rsidR="00E04DB7" w:rsidRDefault="00E04DB7">
      <w:pPr>
        <w:rPr>
          <w:rFonts w:ascii="Arial" w:hAnsi="Arial" w:cs="Arial"/>
          <w:b/>
          <w:spacing w:val="20"/>
        </w:rPr>
      </w:pPr>
    </w:p>
    <w:tbl>
      <w:tblPr>
        <w:tblW w:w="8759" w:type="dxa"/>
        <w:tblInd w:w="65" w:type="dxa"/>
        <w:tblCellMar>
          <w:left w:w="70" w:type="dxa"/>
          <w:right w:w="70" w:type="dxa"/>
        </w:tblCellMar>
        <w:tblLook w:val="04A0"/>
      </w:tblPr>
      <w:tblGrid>
        <w:gridCol w:w="5959"/>
        <w:gridCol w:w="1460"/>
        <w:gridCol w:w="1340"/>
      </w:tblGrid>
      <w:tr w:rsidR="00A00324" w:rsidRPr="00A00324" w:rsidTr="00914BC3">
        <w:trPr>
          <w:trHeight w:val="300"/>
        </w:trPr>
        <w:tc>
          <w:tcPr>
            <w:tcW w:w="5959"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A00324" w:rsidRPr="00A00324" w:rsidRDefault="00A00324" w:rsidP="00A00324">
            <w:pPr>
              <w:jc w:val="center"/>
              <w:rPr>
                <w:rFonts w:ascii="Arial" w:hAnsi="Arial" w:cs="Arial"/>
                <w:b/>
                <w:bCs/>
                <w:sz w:val="16"/>
                <w:szCs w:val="16"/>
                <w:lang w:val="es-MX" w:eastAsia="es-MX"/>
              </w:rPr>
            </w:pPr>
            <w:r w:rsidRPr="00A00324">
              <w:rPr>
                <w:rFonts w:ascii="Arial" w:hAnsi="Arial" w:cs="Arial"/>
                <w:b/>
                <w:bCs/>
                <w:sz w:val="16"/>
                <w:szCs w:val="16"/>
                <w:lang w:val="es-MX" w:eastAsia="es-MX"/>
              </w:rPr>
              <w:t>Fondo, Programa, Convenio</w:t>
            </w:r>
          </w:p>
        </w:tc>
        <w:tc>
          <w:tcPr>
            <w:tcW w:w="2800" w:type="dxa"/>
            <w:gridSpan w:val="2"/>
            <w:tcBorders>
              <w:top w:val="single" w:sz="4" w:space="0" w:color="auto"/>
              <w:left w:val="nil"/>
              <w:bottom w:val="single" w:sz="4" w:space="0" w:color="auto"/>
              <w:right w:val="single" w:sz="4" w:space="0" w:color="auto"/>
            </w:tcBorders>
            <w:shd w:val="clear" w:color="000000" w:fill="BFBFBF"/>
            <w:noWrap/>
            <w:vAlign w:val="center"/>
            <w:hideMark/>
          </w:tcPr>
          <w:p w:rsidR="00A00324" w:rsidRPr="00A00324" w:rsidRDefault="00A00324" w:rsidP="00A00324">
            <w:pPr>
              <w:jc w:val="center"/>
              <w:rPr>
                <w:rFonts w:ascii="Arial" w:hAnsi="Arial" w:cs="Arial"/>
                <w:b/>
                <w:bCs/>
                <w:color w:val="000000"/>
                <w:sz w:val="16"/>
                <w:szCs w:val="16"/>
                <w:lang w:val="es-MX" w:eastAsia="es-MX"/>
              </w:rPr>
            </w:pPr>
            <w:r w:rsidRPr="00A00324">
              <w:rPr>
                <w:rFonts w:ascii="Arial" w:hAnsi="Arial" w:cs="Arial"/>
                <w:b/>
                <w:bCs/>
                <w:color w:val="000000"/>
                <w:sz w:val="16"/>
                <w:szCs w:val="16"/>
                <w:lang w:val="es-MX" w:eastAsia="es-MX"/>
              </w:rPr>
              <w:t>Datos de la Cuenta Bancaria</w:t>
            </w:r>
          </w:p>
        </w:tc>
      </w:tr>
      <w:tr w:rsidR="00A00324" w:rsidRPr="00A00324" w:rsidTr="00914BC3">
        <w:trPr>
          <w:trHeight w:val="450"/>
        </w:trPr>
        <w:tc>
          <w:tcPr>
            <w:tcW w:w="5959" w:type="dxa"/>
            <w:vMerge/>
            <w:tcBorders>
              <w:top w:val="single" w:sz="4" w:space="0" w:color="auto"/>
              <w:left w:val="single" w:sz="4" w:space="0" w:color="auto"/>
              <w:bottom w:val="single" w:sz="4" w:space="0" w:color="auto"/>
              <w:right w:val="single" w:sz="4" w:space="0" w:color="auto"/>
            </w:tcBorders>
            <w:vAlign w:val="center"/>
            <w:hideMark/>
          </w:tcPr>
          <w:p w:rsidR="00A00324" w:rsidRPr="00A00324" w:rsidRDefault="00A00324" w:rsidP="00A00324">
            <w:pPr>
              <w:rPr>
                <w:rFonts w:ascii="Arial" w:hAnsi="Arial" w:cs="Arial"/>
                <w:b/>
                <w:bCs/>
                <w:sz w:val="16"/>
                <w:szCs w:val="16"/>
                <w:lang w:val="es-MX" w:eastAsia="es-MX"/>
              </w:rPr>
            </w:pPr>
          </w:p>
        </w:tc>
        <w:tc>
          <w:tcPr>
            <w:tcW w:w="1460" w:type="dxa"/>
            <w:tcBorders>
              <w:top w:val="nil"/>
              <w:left w:val="nil"/>
              <w:bottom w:val="single" w:sz="4" w:space="0" w:color="auto"/>
              <w:right w:val="single" w:sz="4" w:space="0" w:color="auto"/>
            </w:tcBorders>
            <w:shd w:val="clear" w:color="000000" w:fill="BFBFBF"/>
            <w:vAlign w:val="center"/>
            <w:hideMark/>
          </w:tcPr>
          <w:p w:rsidR="00A00324" w:rsidRPr="00A00324" w:rsidRDefault="00A00324" w:rsidP="00A00324">
            <w:pPr>
              <w:jc w:val="center"/>
              <w:rPr>
                <w:rFonts w:ascii="Arial" w:hAnsi="Arial" w:cs="Arial"/>
                <w:b/>
                <w:bCs/>
                <w:sz w:val="16"/>
                <w:szCs w:val="16"/>
                <w:lang w:val="es-MX" w:eastAsia="es-MX"/>
              </w:rPr>
            </w:pPr>
            <w:r w:rsidRPr="00A00324">
              <w:rPr>
                <w:rFonts w:ascii="Arial" w:hAnsi="Arial" w:cs="Arial"/>
                <w:b/>
                <w:bCs/>
                <w:sz w:val="16"/>
                <w:szCs w:val="16"/>
                <w:lang w:val="es-MX" w:eastAsia="es-MX"/>
              </w:rPr>
              <w:t>Institución Bancaria</w:t>
            </w:r>
          </w:p>
        </w:tc>
        <w:tc>
          <w:tcPr>
            <w:tcW w:w="1340" w:type="dxa"/>
            <w:tcBorders>
              <w:top w:val="nil"/>
              <w:left w:val="nil"/>
              <w:bottom w:val="single" w:sz="4" w:space="0" w:color="auto"/>
              <w:right w:val="single" w:sz="4" w:space="0" w:color="auto"/>
            </w:tcBorders>
            <w:shd w:val="clear" w:color="000000" w:fill="BFBFBF"/>
            <w:vAlign w:val="center"/>
            <w:hideMark/>
          </w:tcPr>
          <w:p w:rsidR="00A00324" w:rsidRPr="00A00324" w:rsidRDefault="00A00324" w:rsidP="00A00324">
            <w:pPr>
              <w:jc w:val="center"/>
              <w:rPr>
                <w:rFonts w:ascii="Arial" w:hAnsi="Arial" w:cs="Arial"/>
                <w:b/>
                <w:bCs/>
                <w:sz w:val="16"/>
                <w:szCs w:val="16"/>
                <w:lang w:val="es-MX" w:eastAsia="es-MX"/>
              </w:rPr>
            </w:pPr>
            <w:r w:rsidRPr="00A00324">
              <w:rPr>
                <w:rFonts w:ascii="Arial" w:hAnsi="Arial" w:cs="Arial"/>
                <w:b/>
                <w:bCs/>
                <w:sz w:val="16"/>
                <w:szCs w:val="16"/>
                <w:lang w:val="es-MX" w:eastAsia="es-MX"/>
              </w:rPr>
              <w:t>Número de Cuenta</w:t>
            </w:r>
          </w:p>
        </w:tc>
      </w:tr>
      <w:tr w:rsidR="00A00324" w:rsidRPr="00A00324" w:rsidTr="00914BC3">
        <w:trPr>
          <w:trHeight w:val="300"/>
        </w:trPr>
        <w:tc>
          <w:tcPr>
            <w:tcW w:w="5959" w:type="dxa"/>
            <w:tcBorders>
              <w:top w:val="nil"/>
              <w:left w:val="nil"/>
              <w:bottom w:val="nil"/>
              <w:right w:val="nil"/>
            </w:tcBorders>
            <w:shd w:val="clear" w:color="auto" w:fill="auto"/>
            <w:vAlign w:val="center"/>
            <w:hideMark/>
          </w:tcPr>
          <w:p w:rsidR="00A00324" w:rsidRPr="00A00324" w:rsidRDefault="00A00324" w:rsidP="00A00324">
            <w:pPr>
              <w:jc w:val="center"/>
              <w:rPr>
                <w:rFonts w:ascii="Arial" w:hAnsi="Arial" w:cs="Arial"/>
                <w:b/>
                <w:bCs/>
                <w:sz w:val="16"/>
                <w:szCs w:val="16"/>
                <w:lang w:val="es-MX" w:eastAsia="es-MX"/>
              </w:rPr>
            </w:pPr>
            <w:r w:rsidRPr="00A00324">
              <w:rPr>
                <w:rFonts w:ascii="Arial" w:hAnsi="Arial" w:cs="Arial"/>
                <w:b/>
                <w:bCs/>
                <w:sz w:val="16"/>
                <w:szCs w:val="16"/>
                <w:lang w:val="es-MX" w:eastAsia="es-MX"/>
              </w:rPr>
              <w:t> </w:t>
            </w:r>
          </w:p>
        </w:tc>
        <w:tc>
          <w:tcPr>
            <w:tcW w:w="1460" w:type="dxa"/>
            <w:tcBorders>
              <w:top w:val="nil"/>
              <w:left w:val="nil"/>
              <w:bottom w:val="nil"/>
              <w:right w:val="nil"/>
            </w:tcBorders>
            <w:shd w:val="clear" w:color="auto" w:fill="auto"/>
            <w:vAlign w:val="center"/>
            <w:hideMark/>
          </w:tcPr>
          <w:p w:rsidR="00A00324" w:rsidRPr="00A00324" w:rsidRDefault="00A00324" w:rsidP="00A00324">
            <w:pPr>
              <w:jc w:val="center"/>
              <w:rPr>
                <w:rFonts w:ascii="Arial" w:hAnsi="Arial" w:cs="Arial"/>
                <w:b/>
                <w:bCs/>
                <w:sz w:val="16"/>
                <w:szCs w:val="16"/>
                <w:lang w:val="es-MX" w:eastAsia="es-MX"/>
              </w:rPr>
            </w:pPr>
            <w:r w:rsidRPr="00A00324">
              <w:rPr>
                <w:rFonts w:ascii="Arial" w:hAnsi="Arial" w:cs="Arial"/>
                <w:b/>
                <w:bCs/>
                <w:sz w:val="16"/>
                <w:szCs w:val="16"/>
                <w:lang w:val="es-MX" w:eastAsia="es-MX"/>
              </w:rPr>
              <w:t> </w:t>
            </w:r>
          </w:p>
        </w:tc>
        <w:tc>
          <w:tcPr>
            <w:tcW w:w="1340" w:type="dxa"/>
            <w:tcBorders>
              <w:top w:val="nil"/>
              <w:left w:val="nil"/>
              <w:bottom w:val="nil"/>
              <w:right w:val="nil"/>
            </w:tcBorders>
            <w:shd w:val="clear" w:color="auto" w:fill="auto"/>
            <w:vAlign w:val="center"/>
            <w:hideMark/>
          </w:tcPr>
          <w:p w:rsidR="00A00324" w:rsidRPr="00A00324" w:rsidRDefault="00A00324" w:rsidP="00A00324">
            <w:pPr>
              <w:jc w:val="center"/>
              <w:rPr>
                <w:rFonts w:ascii="Arial" w:hAnsi="Arial" w:cs="Arial"/>
                <w:b/>
                <w:bCs/>
                <w:sz w:val="16"/>
                <w:szCs w:val="16"/>
                <w:lang w:val="es-MX" w:eastAsia="es-MX"/>
              </w:rPr>
            </w:pPr>
            <w:r w:rsidRPr="00A00324">
              <w:rPr>
                <w:rFonts w:ascii="Arial" w:hAnsi="Arial" w:cs="Arial"/>
                <w:b/>
                <w:bCs/>
                <w:sz w:val="16"/>
                <w:szCs w:val="16"/>
                <w:lang w:val="es-MX" w:eastAsia="es-MX"/>
              </w:rPr>
              <w:t> </w:t>
            </w:r>
          </w:p>
        </w:tc>
      </w:tr>
      <w:tr w:rsidR="00A00324" w:rsidRPr="00A00324" w:rsidTr="00914BC3">
        <w:trPr>
          <w:trHeight w:val="450"/>
        </w:trPr>
        <w:tc>
          <w:tcPr>
            <w:tcW w:w="5959" w:type="dxa"/>
            <w:tcBorders>
              <w:top w:val="single" w:sz="4" w:space="0" w:color="auto"/>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INSTITUTO TECNOLOGICO SUPERIOR DE TEPOSCOLULA 2015</w:t>
            </w:r>
          </w:p>
        </w:tc>
        <w:tc>
          <w:tcPr>
            <w:tcW w:w="1460" w:type="dxa"/>
            <w:tcBorders>
              <w:top w:val="single" w:sz="4" w:space="0" w:color="auto"/>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SANTANDER</w:t>
            </w:r>
          </w:p>
        </w:tc>
        <w:tc>
          <w:tcPr>
            <w:tcW w:w="1340" w:type="dxa"/>
            <w:tcBorders>
              <w:top w:val="single" w:sz="4" w:space="0" w:color="auto"/>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65504944593</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CALIDAD EN LA ATENCION MEDICA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SANTANDER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65504944684</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FASP APORTACION ESTATAL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SCOTIABANK</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9202701359</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CRUZADA NACIONAL CONTRA EL HAMBRE  2015 UTVC</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SANTANDER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65504955425</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DOTACIÓN DE INSTRUMENTOS A LA BANDAS TRADICIONALES DE OAXACA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SANTANDER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65504955490</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TEQUIO A LA RED DE BIBLIOTECAS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SANTANDER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65504955550</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PECDA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SANTANDER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65504955595</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w:t>
            </w:r>
            <w:r w:rsidRPr="00A00324">
              <w:rPr>
                <w:rFonts w:ascii="Times New Roman" w:hAnsi="Times New Roman"/>
                <w:color w:val="000000"/>
                <w:sz w:val="16"/>
                <w:szCs w:val="16"/>
                <w:lang w:val="es-MX" w:eastAsia="es-MX"/>
              </w:rPr>
              <w:t xml:space="preserve"> </w:t>
            </w:r>
            <w:r w:rsidRPr="00A00324">
              <w:rPr>
                <w:rFonts w:ascii="Arial" w:hAnsi="Arial" w:cs="Arial"/>
                <w:color w:val="000000"/>
                <w:sz w:val="16"/>
                <w:szCs w:val="16"/>
                <w:lang w:val="es-MX" w:eastAsia="es-MX"/>
              </w:rPr>
              <w:t>CRÉDITO BANOBRAS POTENCIACIÓN (SISTEMA DE JUSTICIA PENAL)</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HSBC</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4058096728</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FONDO DE PROTECCION CONTRA GASTOS CATASTROFICOS 2015 SSO</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SANTANDER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65504964321</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SEGURO MEDICO SIGLO XXI INTERVENCIONES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SANTANDER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65504964292</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w:t>
            </w:r>
            <w:r w:rsidRPr="00A00324">
              <w:rPr>
                <w:rFonts w:ascii="Times New Roman" w:hAnsi="Times New Roman"/>
                <w:color w:val="000000"/>
                <w:sz w:val="16"/>
                <w:szCs w:val="16"/>
                <w:lang w:val="es-MX" w:eastAsia="es-MX"/>
              </w:rPr>
              <w:t xml:space="preserve"> </w:t>
            </w:r>
            <w:r w:rsidRPr="00A00324">
              <w:rPr>
                <w:rFonts w:ascii="Arial" w:hAnsi="Arial" w:cs="Arial"/>
                <w:color w:val="000000"/>
                <w:sz w:val="16"/>
                <w:szCs w:val="16"/>
                <w:lang w:val="es-MX" w:eastAsia="es-MX"/>
              </w:rPr>
              <w:t>PROSSAPYS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HSBC</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4058096736</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PROTAR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HSBC</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4058096744</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AGUA LIMPIA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INTERACCIONES</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300159859</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APASZU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BBVA BANCOMER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199220364</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SUBSIDIO PARA PROYECTOS CULTURALES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HSBC</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4058096785</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AMSDE CONACYT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BANAMEX</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70093468579</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PROFIS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BANAMEX</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70093535365</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COMUNIDAD DIFERENTE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BBVA BANCOMER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199248323</w:t>
            </w:r>
          </w:p>
        </w:tc>
      </w:tr>
      <w:tr w:rsidR="00A00324" w:rsidRPr="00A00324" w:rsidTr="00914BC3">
        <w:trPr>
          <w:trHeight w:val="675"/>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DISEÑO DE LA PLATAFORMA DIGITAL “CARTOGRAFIA DEL SECTOR ARTESANAL” (2A  FASE) DEL CENTRO DE DISEÑO DE OAXACA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BBVA BANCOMER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199250166</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PROME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SCOTIABANK</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9202704447</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FPP 2014 CENTRO DE SALUD URBANO SAN JUAN BAUTISTA TUXTEPEC (LOMA ALTA)</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HSBC</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4058096884</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 xml:space="preserve">GOB EDO OAX SEFIN  FPP 2014 CENTRO DE SALUD COLONIA ESTRELLA  </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HSBC</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4058096892</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 xml:space="preserve">GOB EDO OAX SEFIN FPP 2014 CENTRO DE SALUD DE SANTIAGO PINOTEPA NACIONAL </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HSBC</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4058096900</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FPP 2014 CENTRO ESTATAL DE ONCOLOGIA Y RADIOTERAPIA DE OAXACA DE JUAREZ</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HSBC</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4058096918</w:t>
            </w:r>
          </w:p>
        </w:tc>
      </w:tr>
      <w:tr w:rsidR="00914BC3" w:rsidRPr="00A00324" w:rsidTr="00B74216">
        <w:trPr>
          <w:trHeight w:val="300"/>
        </w:trPr>
        <w:tc>
          <w:tcPr>
            <w:tcW w:w="5959"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914BC3" w:rsidRPr="00A00324" w:rsidRDefault="00914BC3" w:rsidP="00B74216">
            <w:pPr>
              <w:jc w:val="center"/>
              <w:rPr>
                <w:rFonts w:ascii="Arial" w:hAnsi="Arial" w:cs="Arial"/>
                <w:b/>
                <w:bCs/>
                <w:sz w:val="16"/>
                <w:szCs w:val="16"/>
                <w:lang w:val="es-MX" w:eastAsia="es-MX"/>
              </w:rPr>
            </w:pPr>
            <w:r w:rsidRPr="00A00324">
              <w:rPr>
                <w:rFonts w:ascii="Arial" w:hAnsi="Arial" w:cs="Arial"/>
                <w:b/>
                <w:bCs/>
                <w:sz w:val="16"/>
                <w:szCs w:val="16"/>
                <w:lang w:val="es-MX" w:eastAsia="es-MX"/>
              </w:rPr>
              <w:lastRenderedPageBreak/>
              <w:t>Fondo, Programa, Convenio</w:t>
            </w:r>
          </w:p>
        </w:tc>
        <w:tc>
          <w:tcPr>
            <w:tcW w:w="2800" w:type="dxa"/>
            <w:gridSpan w:val="2"/>
            <w:tcBorders>
              <w:top w:val="single" w:sz="4" w:space="0" w:color="auto"/>
              <w:left w:val="nil"/>
              <w:bottom w:val="single" w:sz="4" w:space="0" w:color="auto"/>
              <w:right w:val="single" w:sz="4" w:space="0" w:color="auto"/>
            </w:tcBorders>
            <w:shd w:val="clear" w:color="000000" w:fill="BFBFBF"/>
            <w:noWrap/>
            <w:vAlign w:val="center"/>
            <w:hideMark/>
          </w:tcPr>
          <w:p w:rsidR="00914BC3" w:rsidRPr="00A00324" w:rsidRDefault="00914BC3" w:rsidP="00B74216">
            <w:pPr>
              <w:jc w:val="center"/>
              <w:rPr>
                <w:rFonts w:ascii="Arial" w:hAnsi="Arial" w:cs="Arial"/>
                <w:b/>
                <w:bCs/>
                <w:color w:val="000000"/>
                <w:sz w:val="16"/>
                <w:szCs w:val="16"/>
                <w:lang w:val="es-MX" w:eastAsia="es-MX"/>
              </w:rPr>
            </w:pPr>
            <w:r w:rsidRPr="00A00324">
              <w:rPr>
                <w:rFonts w:ascii="Arial" w:hAnsi="Arial" w:cs="Arial"/>
                <w:b/>
                <w:bCs/>
                <w:color w:val="000000"/>
                <w:sz w:val="16"/>
                <w:szCs w:val="16"/>
                <w:lang w:val="es-MX" w:eastAsia="es-MX"/>
              </w:rPr>
              <w:t>Datos de la Cuenta Bancaria</w:t>
            </w:r>
          </w:p>
        </w:tc>
      </w:tr>
      <w:tr w:rsidR="00914BC3" w:rsidRPr="00A00324" w:rsidTr="00B74216">
        <w:trPr>
          <w:trHeight w:val="450"/>
        </w:trPr>
        <w:tc>
          <w:tcPr>
            <w:tcW w:w="5959" w:type="dxa"/>
            <w:vMerge/>
            <w:tcBorders>
              <w:top w:val="single" w:sz="4" w:space="0" w:color="auto"/>
              <w:left w:val="single" w:sz="4" w:space="0" w:color="auto"/>
              <w:bottom w:val="single" w:sz="4" w:space="0" w:color="auto"/>
              <w:right w:val="single" w:sz="4" w:space="0" w:color="auto"/>
            </w:tcBorders>
            <w:vAlign w:val="center"/>
            <w:hideMark/>
          </w:tcPr>
          <w:p w:rsidR="00914BC3" w:rsidRPr="00A00324" w:rsidRDefault="00914BC3" w:rsidP="00B74216">
            <w:pPr>
              <w:rPr>
                <w:rFonts w:ascii="Arial" w:hAnsi="Arial" w:cs="Arial"/>
                <w:b/>
                <w:bCs/>
                <w:sz w:val="16"/>
                <w:szCs w:val="16"/>
                <w:lang w:val="es-MX" w:eastAsia="es-MX"/>
              </w:rPr>
            </w:pPr>
          </w:p>
        </w:tc>
        <w:tc>
          <w:tcPr>
            <w:tcW w:w="1460" w:type="dxa"/>
            <w:tcBorders>
              <w:top w:val="nil"/>
              <w:left w:val="nil"/>
              <w:bottom w:val="single" w:sz="4" w:space="0" w:color="auto"/>
              <w:right w:val="single" w:sz="4" w:space="0" w:color="auto"/>
            </w:tcBorders>
            <w:shd w:val="clear" w:color="000000" w:fill="BFBFBF"/>
            <w:vAlign w:val="center"/>
            <w:hideMark/>
          </w:tcPr>
          <w:p w:rsidR="00914BC3" w:rsidRPr="00A00324" w:rsidRDefault="00914BC3" w:rsidP="00B74216">
            <w:pPr>
              <w:jc w:val="center"/>
              <w:rPr>
                <w:rFonts w:ascii="Arial" w:hAnsi="Arial" w:cs="Arial"/>
                <w:b/>
                <w:bCs/>
                <w:sz w:val="16"/>
                <w:szCs w:val="16"/>
                <w:lang w:val="es-MX" w:eastAsia="es-MX"/>
              </w:rPr>
            </w:pPr>
            <w:r w:rsidRPr="00A00324">
              <w:rPr>
                <w:rFonts w:ascii="Arial" w:hAnsi="Arial" w:cs="Arial"/>
                <w:b/>
                <w:bCs/>
                <w:sz w:val="16"/>
                <w:szCs w:val="16"/>
                <w:lang w:val="es-MX" w:eastAsia="es-MX"/>
              </w:rPr>
              <w:t>Institución Bancaria</w:t>
            </w:r>
          </w:p>
        </w:tc>
        <w:tc>
          <w:tcPr>
            <w:tcW w:w="1340" w:type="dxa"/>
            <w:tcBorders>
              <w:top w:val="nil"/>
              <w:left w:val="nil"/>
              <w:bottom w:val="single" w:sz="4" w:space="0" w:color="auto"/>
              <w:right w:val="single" w:sz="4" w:space="0" w:color="auto"/>
            </w:tcBorders>
            <w:shd w:val="clear" w:color="000000" w:fill="BFBFBF"/>
            <w:vAlign w:val="center"/>
            <w:hideMark/>
          </w:tcPr>
          <w:p w:rsidR="00914BC3" w:rsidRPr="00A00324" w:rsidRDefault="00914BC3" w:rsidP="00B74216">
            <w:pPr>
              <w:jc w:val="center"/>
              <w:rPr>
                <w:rFonts w:ascii="Arial" w:hAnsi="Arial" w:cs="Arial"/>
                <w:b/>
                <w:bCs/>
                <w:sz w:val="16"/>
                <w:szCs w:val="16"/>
                <w:lang w:val="es-MX" w:eastAsia="es-MX"/>
              </w:rPr>
            </w:pPr>
            <w:r w:rsidRPr="00A00324">
              <w:rPr>
                <w:rFonts w:ascii="Arial" w:hAnsi="Arial" w:cs="Arial"/>
                <w:b/>
                <w:bCs/>
                <w:sz w:val="16"/>
                <w:szCs w:val="16"/>
                <w:lang w:val="es-MX" w:eastAsia="es-MX"/>
              </w:rPr>
              <w:t>Número de Cuenta</w:t>
            </w:r>
          </w:p>
        </w:tc>
      </w:tr>
    </w:tbl>
    <w:p w:rsidR="00914BC3" w:rsidRDefault="00914BC3"/>
    <w:tbl>
      <w:tblPr>
        <w:tblW w:w="8759" w:type="dxa"/>
        <w:tblInd w:w="65" w:type="dxa"/>
        <w:tblCellMar>
          <w:left w:w="70" w:type="dxa"/>
          <w:right w:w="70" w:type="dxa"/>
        </w:tblCellMar>
        <w:tblLook w:val="04A0"/>
      </w:tblPr>
      <w:tblGrid>
        <w:gridCol w:w="5959"/>
        <w:gridCol w:w="1460"/>
        <w:gridCol w:w="1340"/>
      </w:tblGrid>
      <w:tr w:rsidR="00A00324" w:rsidRPr="00A00324" w:rsidTr="00914BC3">
        <w:trPr>
          <w:trHeight w:val="300"/>
        </w:trPr>
        <w:tc>
          <w:tcPr>
            <w:tcW w:w="5959" w:type="dxa"/>
            <w:tcBorders>
              <w:top w:val="single" w:sz="4" w:space="0" w:color="auto"/>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CONADE 2015</w:t>
            </w:r>
          </w:p>
        </w:tc>
        <w:tc>
          <w:tcPr>
            <w:tcW w:w="1460" w:type="dxa"/>
            <w:tcBorders>
              <w:top w:val="single" w:sz="4" w:space="0" w:color="auto"/>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BANAMEX</w:t>
            </w:r>
          </w:p>
        </w:tc>
        <w:tc>
          <w:tcPr>
            <w:tcW w:w="1340" w:type="dxa"/>
            <w:tcBorders>
              <w:top w:val="single" w:sz="4" w:space="0" w:color="auto"/>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70094174447</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FORTALECIMIENTO DE LA POLITICA DE IGUALDAD DE GENERO EN EL SECTOR EDUCATIVO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SANTANDER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65504984446</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SEGURO AGRICOLA CATASTROFICO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INTERACCIONES</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300160385</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SEGURO PARAMETRICO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INTERACCIONES</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300160393</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CONTINGENCIAS ECONOMICAS  2015 CUENTA DOS</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INTERACCIONES</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300160423</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CLUB ESCOLAR DE CIENCIAS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HSBC</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4058097072</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ESTANCIAS DE INVESTIGACIÓN CIENTIFICA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HSBC</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4058097080</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TERCER ENCUENTRO DE JÓVENES INVESTIGADORES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HSBC</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4058097098</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ALDEA CIENTIFICA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HSBC</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4058097106</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POR OAXACA MAS INVESTIGADORES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HSBC</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4058097114</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ADQUISICION DE VEHICULOS RECOLECTORES PARA MUNICIPIOS DEL ESTADO DE OAXACA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HSBC</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4058097122</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ADQUISICION DE CAMIONES RECOLECTORES EN EL MUNICIPIO DE TEOTITLAN DE FLORES MAGON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HSBC</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4058097130</w:t>
            </w:r>
          </w:p>
        </w:tc>
      </w:tr>
      <w:tr w:rsidR="00A00324" w:rsidRPr="00A00324" w:rsidTr="00914BC3">
        <w:trPr>
          <w:trHeight w:val="675"/>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ASESORIA ESTRATEGICA PARA EL MANEJO INTEGRAL DE RESIDUOS ZONA CONURBADA DE OAXACA DE JUAREZ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HSBC</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4058097148</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ESTUDIOS DE FACTIBILIDAD AMBIENTAL PARA CINCO MUNICIPIOS DEL ISTMO DE TEHUANTEPEC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HSBC</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4058097155</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COMITÉ DE CUENCA DE LOS RIOS COPALITA Y TONAMECA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HSBC</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4057191033</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COMITÉ DE PLAYAS LIMPIAS DEL MUNICIPIO DE SANTA MARIA HUATULCO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HSBC</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4057191041</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COMITÉ DE PLAYAS LIMPIAS DEL MUNICIPIO DE SANTA MARIA COLOTEPEC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HSBC</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4057191058</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COMITÉ DE PLAYAS LIMPIAS DEL MUNICIPIO DE SAN PEDRO MIXTEPEC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HSBC</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4057191066</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COMITÉ DE CUENCA DEL RIO TEHUANTEPEC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HSBC</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4057191074</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CONTINGENCIAS ECONOMICAS PARA INVERSION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HSBC</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4057191082</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COMITÉ TECNICO DE AGUA SUBTERRANEAS DE LOS VALLES CENTRALES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HSBC</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4058097171</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CONSEJO DE LA CUENCA DE LA COSTA DE OAXACA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HSBC</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4058097189</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COMISION DE CUENCA DE LOS RIOS ATOYAC Y SALADO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HSBC</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4058097197</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CRUZADA NACIONAL CONTRA EL HAMBRE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BBVA BANCOMER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199444742</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APOYO EXTRAORDINARIO 1 - 2015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BBVA BANCOMER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199463453</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APOYO EXTRAORDINARIO 48 MDP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BBVA BANCOMER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199471189</w:t>
            </w:r>
          </w:p>
        </w:tc>
      </w:tr>
      <w:tr w:rsidR="00914BC3" w:rsidRPr="00A00324" w:rsidTr="00B74216">
        <w:trPr>
          <w:trHeight w:val="300"/>
        </w:trPr>
        <w:tc>
          <w:tcPr>
            <w:tcW w:w="5959"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914BC3" w:rsidRPr="00A00324" w:rsidRDefault="00914BC3" w:rsidP="00B74216">
            <w:pPr>
              <w:jc w:val="center"/>
              <w:rPr>
                <w:rFonts w:ascii="Arial" w:hAnsi="Arial" w:cs="Arial"/>
                <w:b/>
                <w:bCs/>
                <w:sz w:val="16"/>
                <w:szCs w:val="16"/>
                <w:lang w:val="es-MX" w:eastAsia="es-MX"/>
              </w:rPr>
            </w:pPr>
            <w:r w:rsidRPr="00A00324">
              <w:rPr>
                <w:rFonts w:ascii="Arial" w:hAnsi="Arial" w:cs="Arial"/>
                <w:b/>
                <w:bCs/>
                <w:sz w:val="16"/>
                <w:szCs w:val="16"/>
                <w:lang w:val="es-MX" w:eastAsia="es-MX"/>
              </w:rPr>
              <w:lastRenderedPageBreak/>
              <w:t>Fondo, Programa, Convenio</w:t>
            </w:r>
          </w:p>
        </w:tc>
        <w:tc>
          <w:tcPr>
            <w:tcW w:w="2800" w:type="dxa"/>
            <w:gridSpan w:val="2"/>
            <w:tcBorders>
              <w:top w:val="single" w:sz="4" w:space="0" w:color="auto"/>
              <w:left w:val="nil"/>
              <w:bottom w:val="single" w:sz="4" w:space="0" w:color="auto"/>
              <w:right w:val="single" w:sz="4" w:space="0" w:color="auto"/>
            </w:tcBorders>
            <w:shd w:val="clear" w:color="000000" w:fill="BFBFBF"/>
            <w:noWrap/>
            <w:vAlign w:val="center"/>
            <w:hideMark/>
          </w:tcPr>
          <w:p w:rsidR="00914BC3" w:rsidRPr="00A00324" w:rsidRDefault="00914BC3" w:rsidP="00B74216">
            <w:pPr>
              <w:jc w:val="center"/>
              <w:rPr>
                <w:rFonts w:ascii="Arial" w:hAnsi="Arial" w:cs="Arial"/>
                <w:b/>
                <w:bCs/>
                <w:color w:val="000000"/>
                <w:sz w:val="16"/>
                <w:szCs w:val="16"/>
                <w:lang w:val="es-MX" w:eastAsia="es-MX"/>
              </w:rPr>
            </w:pPr>
            <w:r w:rsidRPr="00A00324">
              <w:rPr>
                <w:rFonts w:ascii="Arial" w:hAnsi="Arial" w:cs="Arial"/>
                <w:b/>
                <w:bCs/>
                <w:color w:val="000000"/>
                <w:sz w:val="16"/>
                <w:szCs w:val="16"/>
                <w:lang w:val="es-MX" w:eastAsia="es-MX"/>
              </w:rPr>
              <w:t>Datos de la Cuenta Bancaria</w:t>
            </w:r>
          </w:p>
        </w:tc>
      </w:tr>
      <w:tr w:rsidR="00914BC3" w:rsidRPr="00A00324" w:rsidTr="00B74216">
        <w:trPr>
          <w:trHeight w:val="450"/>
        </w:trPr>
        <w:tc>
          <w:tcPr>
            <w:tcW w:w="5959" w:type="dxa"/>
            <w:vMerge/>
            <w:tcBorders>
              <w:top w:val="single" w:sz="4" w:space="0" w:color="auto"/>
              <w:left w:val="single" w:sz="4" w:space="0" w:color="auto"/>
              <w:bottom w:val="single" w:sz="4" w:space="0" w:color="auto"/>
              <w:right w:val="single" w:sz="4" w:space="0" w:color="auto"/>
            </w:tcBorders>
            <w:vAlign w:val="center"/>
            <w:hideMark/>
          </w:tcPr>
          <w:p w:rsidR="00914BC3" w:rsidRPr="00A00324" w:rsidRDefault="00914BC3" w:rsidP="00B74216">
            <w:pPr>
              <w:rPr>
                <w:rFonts w:ascii="Arial" w:hAnsi="Arial" w:cs="Arial"/>
                <w:b/>
                <w:bCs/>
                <w:sz w:val="16"/>
                <w:szCs w:val="16"/>
                <w:lang w:val="es-MX" w:eastAsia="es-MX"/>
              </w:rPr>
            </w:pPr>
          </w:p>
        </w:tc>
        <w:tc>
          <w:tcPr>
            <w:tcW w:w="1460" w:type="dxa"/>
            <w:tcBorders>
              <w:top w:val="nil"/>
              <w:left w:val="nil"/>
              <w:bottom w:val="single" w:sz="4" w:space="0" w:color="auto"/>
              <w:right w:val="single" w:sz="4" w:space="0" w:color="auto"/>
            </w:tcBorders>
            <w:shd w:val="clear" w:color="000000" w:fill="BFBFBF"/>
            <w:vAlign w:val="center"/>
            <w:hideMark/>
          </w:tcPr>
          <w:p w:rsidR="00914BC3" w:rsidRPr="00A00324" w:rsidRDefault="00914BC3" w:rsidP="00B74216">
            <w:pPr>
              <w:jc w:val="center"/>
              <w:rPr>
                <w:rFonts w:ascii="Arial" w:hAnsi="Arial" w:cs="Arial"/>
                <w:b/>
                <w:bCs/>
                <w:sz w:val="16"/>
                <w:szCs w:val="16"/>
                <w:lang w:val="es-MX" w:eastAsia="es-MX"/>
              </w:rPr>
            </w:pPr>
            <w:r w:rsidRPr="00A00324">
              <w:rPr>
                <w:rFonts w:ascii="Arial" w:hAnsi="Arial" w:cs="Arial"/>
                <w:b/>
                <w:bCs/>
                <w:sz w:val="16"/>
                <w:szCs w:val="16"/>
                <w:lang w:val="es-MX" w:eastAsia="es-MX"/>
              </w:rPr>
              <w:t>Institución Bancaria</w:t>
            </w:r>
          </w:p>
        </w:tc>
        <w:tc>
          <w:tcPr>
            <w:tcW w:w="1340" w:type="dxa"/>
            <w:tcBorders>
              <w:top w:val="nil"/>
              <w:left w:val="nil"/>
              <w:bottom w:val="single" w:sz="4" w:space="0" w:color="auto"/>
              <w:right w:val="single" w:sz="4" w:space="0" w:color="auto"/>
            </w:tcBorders>
            <w:shd w:val="clear" w:color="000000" w:fill="BFBFBF"/>
            <w:vAlign w:val="center"/>
            <w:hideMark/>
          </w:tcPr>
          <w:p w:rsidR="00914BC3" w:rsidRPr="00A00324" w:rsidRDefault="00914BC3" w:rsidP="00B74216">
            <w:pPr>
              <w:jc w:val="center"/>
              <w:rPr>
                <w:rFonts w:ascii="Arial" w:hAnsi="Arial" w:cs="Arial"/>
                <w:b/>
                <w:bCs/>
                <w:sz w:val="16"/>
                <w:szCs w:val="16"/>
                <w:lang w:val="es-MX" w:eastAsia="es-MX"/>
              </w:rPr>
            </w:pPr>
            <w:r w:rsidRPr="00A00324">
              <w:rPr>
                <w:rFonts w:ascii="Arial" w:hAnsi="Arial" w:cs="Arial"/>
                <w:b/>
                <w:bCs/>
                <w:sz w:val="16"/>
                <w:szCs w:val="16"/>
                <w:lang w:val="es-MX" w:eastAsia="es-MX"/>
              </w:rPr>
              <w:t>Número de Cuenta</w:t>
            </w:r>
          </w:p>
        </w:tc>
      </w:tr>
      <w:tr w:rsidR="00914BC3" w:rsidRPr="00A00324" w:rsidTr="00914BC3">
        <w:trPr>
          <w:trHeight w:val="300"/>
        </w:trPr>
        <w:tc>
          <w:tcPr>
            <w:tcW w:w="5959" w:type="dxa"/>
            <w:tcBorders>
              <w:top w:val="nil"/>
              <w:left w:val="nil"/>
              <w:bottom w:val="single" w:sz="4" w:space="0" w:color="auto"/>
              <w:right w:val="nil"/>
            </w:tcBorders>
            <w:shd w:val="clear" w:color="auto" w:fill="auto"/>
            <w:vAlign w:val="center"/>
            <w:hideMark/>
          </w:tcPr>
          <w:p w:rsidR="00914BC3" w:rsidRPr="00A00324" w:rsidRDefault="00914BC3" w:rsidP="00B74216">
            <w:pPr>
              <w:jc w:val="center"/>
              <w:rPr>
                <w:rFonts w:ascii="Arial" w:hAnsi="Arial" w:cs="Arial"/>
                <w:b/>
                <w:bCs/>
                <w:sz w:val="16"/>
                <w:szCs w:val="16"/>
                <w:lang w:val="es-MX" w:eastAsia="es-MX"/>
              </w:rPr>
            </w:pPr>
            <w:r w:rsidRPr="00A00324">
              <w:rPr>
                <w:rFonts w:ascii="Arial" w:hAnsi="Arial" w:cs="Arial"/>
                <w:b/>
                <w:bCs/>
                <w:sz w:val="16"/>
                <w:szCs w:val="16"/>
                <w:lang w:val="es-MX" w:eastAsia="es-MX"/>
              </w:rPr>
              <w:t> </w:t>
            </w:r>
          </w:p>
        </w:tc>
        <w:tc>
          <w:tcPr>
            <w:tcW w:w="1460" w:type="dxa"/>
            <w:tcBorders>
              <w:top w:val="nil"/>
              <w:left w:val="nil"/>
              <w:bottom w:val="single" w:sz="4" w:space="0" w:color="auto"/>
              <w:right w:val="nil"/>
            </w:tcBorders>
            <w:shd w:val="clear" w:color="auto" w:fill="auto"/>
            <w:vAlign w:val="center"/>
            <w:hideMark/>
          </w:tcPr>
          <w:p w:rsidR="00914BC3" w:rsidRPr="00A00324" w:rsidRDefault="00914BC3" w:rsidP="00B74216">
            <w:pPr>
              <w:jc w:val="center"/>
              <w:rPr>
                <w:rFonts w:ascii="Arial" w:hAnsi="Arial" w:cs="Arial"/>
                <w:b/>
                <w:bCs/>
                <w:sz w:val="16"/>
                <w:szCs w:val="16"/>
                <w:lang w:val="es-MX" w:eastAsia="es-MX"/>
              </w:rPr>
            </w:pPr>
            <w:r w:rsidRPr="00A00324">
              <w:rPr>
                <w:rFonts w:ascii="Arial" w:hAnsi="Arial" w:cs="Arial"/>
                <w:b/>
                <w:bCs/>
                <w:sz w:val="16"/>
                <w:szCs w:val="16"/>
                <w:lang w:val="es-MX" w:eastAsia="es-MX"/>
              </w:rPr>
              <w:t> </w:t>
            </w:r>
          </w:p>
        </w:tc>
        <w:tc>
          <w:tcPr>
            <w:tcW w:w="1340" w:type="dxa"/>
            <w:tcBorders>
              <w:top w:val="nil"/>
              <w:left w:val="nil"/>
              <w:bottom w:val="single" w:sz="4" w:space="0" w:color="auto"/>
              <w:right w:val="nil"/>
            </w:tcBorders>
            <w:shd w:val="clear" w:color="auto" w:fill="auto"/>
            <w:vAlign w:val="center"/>
            <w:hideMark/>
          </w:tcPr>
          <w:p w:rsidR="00914BC3" w:rsidRPr="00A00324" w:rsidRDefault="00914BC3" w:rsidP="00B74216">
            <w:pPr>
              <w:jc w:val="center"/>
              <w:rPr>
                <w:rFonts w:ascii="Arial" w:hAnsi="Arial" w:cs="Arial"/>
                <w:b/>
                <w:bCs/>
                <w:sz w:val="16"/>
                <w:szCs w:val="16"/>
                <w:lang w:val="es-MX" w:eastAsia="es-MX"/>
              </w:rPr>
            </w:pPr>
            <w:r w:rsidRPr="00A00324">
              <w:rPr>
                <w:rFonts w:ascii="Arial" w:hAnsi="Arial" w:cs="Arial"/>
                <w:b/>
                <w:bCs/>
                <w:sz w:val="16"/>
                <w:szCs w:val="16"/>
                <w:lang w:val="es-MX" w:eastAsia="es-MX"/>
              </w:rPr>
              <w:t> </w:t>
            </w:r>
          </w:p>
        </w:tc>
      </w:tr>
      <w:tr w:rsidR="00A00324" w:rsidRPr="00A00324" w:rsidTr="00914BC3">
        <w:trPr>
          <w:trHeight w:val="675"/>
        </w:trPr>
        <w:tc>
          <w:tcPr>
            <w:tcW w:w="5959" w:type="dxa"/>
            <w:tcBorders>
              <w:top w:val="single" w:sz="4" w:space="0" w:color="auto"/>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FORTALECIMIENTO DE LAS POLITICAS PUBLICAS PARA LA IGUALDAD EN LOS AMBITOS ESTATAL Y MUNICIPAL EN EL ESTADO DE OAXACA 2015</w:t>
            </w:r>
          </w:p>
        </w:tc>
        <w:tc>
          <w:tcPr>
            <w:tcW w:w="1460" w:type="dxa"/>
            <w:tcBorders>
              <w:top w:val="single" w:sz="4" w:space="0" w:color="auto"/>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HSBC</w:t>
            </w:r>
          </w:p>
        </w:tc>
        <w:tc>
          <w:tcPr>
            <w:tcW w:w="1340" w:type="dxa"/>
            <w:tcBorders>
              <w:top w:val="single" w:sz="4" w:space="0" w:color="auto"/>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4058097239</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FORTALECIMIENTO DE TALENTOS MATEMATICOS 2015 CONACYT-UNPA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SANTANDER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65505019088</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COINBIO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SANTANDER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65505025952</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RELLENO SANITARIO EN SAN CRISTOBAL AMATLAN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SANTANDER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65505026026</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PRUEBAS DE FUNCIONAMIENTO DE UN HORNO LADRILLERO ECOLOGICO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SANTANDER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65505026060</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PLANTA PILOTO UNPA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SANTANDER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65505026117</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PIFIT 2010 ITVO</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SANTANDER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65505026151</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ADQUISICION DE UN TOMOGRAFO PARA EL DIAGNOSTICO ARBOREO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HSBC</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4058097437</w:t>
            </w:r>
          </w:p>
        </w:tc>
      </w:tr>
      <w:tr w:rsidR="00A00324" w:rsidRPr="00A00324" w:rsidTr="00914BC3">
        <w:trPr>
          <w:trHeight w:val="675"/>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PROGRAMA DE INCORPORACION DE MUJERES INDIGENAS EN POSGRADO PARA EL FORTALECIMIENTO REGIONAL DEL ESTADO DE OAXACA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BBVA BANCOMER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199701745</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FORTALECIMIENTO A LAS PROCURADURIAS DE LA DEFENSA DEL MENOR Y LA FAMILIA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BBVA BANCOMER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199677941</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APOYO AL FORTALECIMIENTO CONACYT-UMAR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BBVA BANCOMER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199701966</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CENTROS DE JUSTICIA PARA LAS MUJERES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BBVA BANCOMER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199677909</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PRODEP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BBVA BANCOMER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199677828</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APOYO EXTRAORDINARIO NO REGULARIZABLE ESCUELA NORMAL RURAL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SANTANDER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65505055692</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PEFEN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SANTANDER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65505055735</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FORTALECIMIENTO DE LA INFRAESTRUCTURA CONACYT- UNPA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SANTANDER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65505055812</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ADQUISICION DE EQUIPO CONACYT-UNPA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SANTANDER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65505056164</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ADQUISICION DE ESPECTROMETRO CONACYT UNPA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SANTANDER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65505056272</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EQUIPAMIENTO PARA FORTALECER LA INVESTIGACION CONACYT UNPA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SANTANDER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65505056332</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INTEGRACION DE UN EQUIPO DE NUTRICION ANIMAL CONACYT UNPA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SANTANDER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65505056363</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ADQUISICION DE EQUIPO CIENTIFICO CONACYT UNPA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SANTANDER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65505056377</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FONDO METROPOLITANO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SANTANDER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65505061422</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CONTINGENCIAS ECONOMICAS PARA INVERSION 2015 CUENTA TRES</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SANTANDER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65505064571</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COMUNIDADES SALUDABLES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SANTANDER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65505068710</w:t>
            </w:r>
          </w:p>
        </w:tc>
      </w:tr>
      <w:tr w:rsidR="00A00324" w:rsidRPr="00A00324" w:rsidTr="00914BC3">
        <w:trPr>
          <w:trHeight w:val="30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PRODUCTORES DE HIDROCARBUROS</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SANTANDER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65505070761</w:t>
            </w:r>
          </w:p>
        </w:tc>
      </w:tr>
      <w:tr w:rsidR="00914BC3" w:rsidRPr="00A00324" w:rsidTr="00B74216">
        <w:trPr>
          <w:trHeight w:val="300"/>
        </w:trPr>
        <w:tc>
          <w:tcPr>
            <w:tcW w:w="5959"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914BC3" w:rsidRPr="00A00324" w:rsidRDefault="00914BC3" w:rsidP="00B74216">
            <w:pPr>
              <w:jc w:val="center"/>
              <w:rPr>
                <w:rFonts w:ascii="Arial" w:hAnsi="Arial" w:cs="Arial"/>
                <w:b/>
                <w:bCs/>
                <w:sz w:val="16"/>
                <w:szCs w:val="16"/>
                <w:lang w:val="es-MX" w:eastAsia="es-MX"/>
              </w:rPr>
            </w:pPr>
            <w:r w:rsidRPr="00A00324">
              <w:rPr>
                <w:rFonts w:ascii="Arial" w:hAnsi="Arial" w:cs="Arial"/>
                <w:b/>
                <w:bCs/>
                <w:sz w:val="16"/>
                <w:szCs w:val="16"/>
                <w:lang w:val="es-MX" w:eastAsia="es-MX"/>
              </w:rPr>
              <w:lastRenderedPageBreak/>
              <w:t>Fondo, Programa, Convenio</w:t>
            </w:r>
          </w:p>
        </w:tc>
        <w:tc>
          <w:tcPr>
            <w:tcW w:w="2800" w:type="dxa"/>
            <w:gridSpan w:val="2"/>
            <w:tcBorders>
              <w:top w:val="single" w:sz="4" w:space="0" w:color="auto"/>
              <w:left w:val="nil"/>
              <w:bottom w:val="single" w:sz="4" w:space="0" w:color="auto"/>
              <w:right w:val="single" w:sz="4" w:space="0" w:color="auto"/>
            </w:tcBorders>
            <w:shd w:val="clear" w:color="000000" w:fill="BFBFBF"/>
            <w:noWrap/>
            <w:vAlign w:val="center"/>
            <w:hideMark/>
          </w:tcPr>
          <w:p w:rsidR="00914BC3" w:rsidRPr="00A00324" w:rsidRDefault="00914BC3" w:rsidP="00B74216">
            <w:pPr>
              <w:jc w:val="center"/>
              <w:rPr>
                <w:rFonts w:ascii="Arial" w:hAnsi="Arial" w:cs="Arial"/>
                <w:b/>
                <w:bCs/>
                <w:color w:val="000000"/>
                <w:sz w:val="16"/>
                <w:szCs w:val="16"/>
                <w:lang w:val="es-MX" w:eastAsia="es-MX"/>
              </w:rPr>
            </w:pPr>
            <w:r w:rsidRPr="00A00324">
              <w:rPr>
                <w:rFonts w:ascii="Arial" w:hAnsi="Arial" w:cs="Arial"/>
                <w:b/>
                <w:bCs/>
                <w:color w:val="000000"/>
                <w:sz w:val="16"/>
                <w:szCs w:val="16"/>
                <w:lang w:val="es-MX" w:eastAsia="es-MX"/>
              </w:rPr>
              <w:t>Datos de la Cuenta Bancaria</w:t>
            </w:r>
          </w:p>
        </w:tc>
      </w:tr>
      <w:tr w:rsidR="00914BC3" w:rsidRPr="00A00324" w:rsidTr="00B74216">
        <w:trPr>
          <w:trHeight w:val="450"/>
        </w:trPr>
        <w:tc>
          <w:tcPr>
            <w:tcW w:w="5959" w:type="dxa"/>
            <w:vMerge/>
            <w:tcBorders>
              <w:top w:val="single" w:sz="4" w:space="0" w:color="auto"/>
              <w:left w:val="single" w:sz="4" w:space="0" w:color="auto"/>
              <w:bottom w:val="single" w:sz="4" w:space="0" w:color="auto"/>
              <w:right w:val="single" w:sz="4" w:space="0" w:color="auto"/>
            </w:tcBorders>
            <w:vAlign w:val="center"/>
            <w:hideMark/>
          </w:tcPr>
          <w:p w:rsidR="00914BC3" w:rsidRPr="00A00324" w:rsidRDefault="00914BC3" w:rsidP="00B74216">
            <w:pPr>
              <w:rPr>
                <w:rFonts w:ascii="Arial" w:hAnsi="Arial" w:cs="Arial"/>
                <w:b/>
                <w:bCs/>
                <w:sz w:val="16"/>
                <w:szCs w:val="16"/>
                <w:lang w:val="es-MX" w:eastAsia="es-MX"/>
              </w:rPr>
            </w:pPr>
          </w:p>
        </w:tc>
        <w:tc>
          <w:tcPr>
            <w:tcW w:w="1460" w:type="dxa"/>
            <w:tcBorders>
              <w:top w:val="nil"/>
              <w:left w:val="nil"/>
              <w:bottom w:val="single" w:sz="4" w:space="0" w:color="auto"/>
              <w:right w:val="single" w:sz="4" w:space="0" w:color="auto"/>
            </w:tcBorders>
            <w:shd w:val="clear" w:color="000000" w:fill="BFBFBF"/>
            <w:vAlign w:val="center"/>
            <w:hideMark/>
          </w:tcPr>
          <w:p w:rsidR="00914BC3" w:rsidRPr="00A00324" w:rsidRDefault="00914BC3" w:rsidP="00B74216">
            <w:pPr>
              <w:jc w:val="center"/>
              <w:rPr>
                <w:rFonts w:ascii="Arial" w:hAnsi="Arial" w:cs="Arial"/>
                <w:b/>
                <w:bCs/>
                <w:sz w:val="16"/>
                <w:szCs w:val="16"/>
                <w:lang w:val="es-MX" w:eastAsia="es-MX"/>
              </w:rPr>
            </w:pPr>
            <w:r w:rsidRPr="00A00324">
              <w:rPr>
                <w:rFonts w:ascii="Arial" w:hAnsi="Arial" w:cs="Arial"/>
                <w:b/>
                <w:bCs/>
                <w:sz w:val="16"/>
                <w:szCs w:val="16"/>
                <w:lang w:val="es-MX" w:eastAsia="es-MX"/>
              </w:rPr>
              <w:t>Institución Bancaria</w:t>
            </w:r>
          </w:p>
        </w:tc>
        <w:tc>
          <w:tcPr>
            <w:tcW w:w="1340" w:type="dxa"/>
            <w:tcBorders>
              <w:top w:val="nil"/>
              <w:left w:val="nil"/>
              <w:bottom w:val="single" w:sz="4" w:space="0" w:color="auto"/>
              <w:right w:val="single" w:sz="4" w:space="0" w:color="auto"/>
            </w:tcBorders>
            <w:shd w:val="clear" w:color="000000" w:fill="BFBFBF"/>
            <w:vAlign w:val="center"/>
            <w:hideMark/>
          </w:tcPr>
          <w:p w:rsidR="00914BC3" w:rsidRPr="00A00324" w:rsidRDefault="00914BC3" w:rsidP="00B74216">
            <w:pPr>
              <w:jc w:val="center"/>
              <w:rPr>
                <w:rFonts w:ascii="Arial" w:hAnsi="Arial" w:cs="Arial"/>
                <w:b/>
                <w:bCs/>
                <w:sz w:val="16"/>
                <w:szCs w:val="16"/>
                <w:lang w:val="es-MX" w:eastAsia="es-MX"/>
              </w:rPr>
            </w:pPr>
            <w:r w:rsidRPr="00A00324">
              <w:rPr>
                <w:rFonts w:ascii="Arial" w:hAnsi="Arial" w:cs="Arial"/>
                <w:b/>
                <w:bCs/>
                <w:sz w:val="16"/>
                <w:szCs w:val="16"/>
                <w:lang w:val="es-MX" w:eastAsia="es-MX"/>
              </w:rPr>
              <w:t>Número de Cuenta</w:t>
            </w:r>
          </w:p>
        </w:tc>
      </w:tr>
      <w:tr w:rsidR="00914BC3" w:rsidRPr="00A00324" w:rsidTr="00914BC3">
        <w:trPr>
          <w:trHeight w:val="300"/>
        </w:trPr>
        <w:tc>
          <w:tcPr>
            <w:tcW w:w="5959" w:type="dxa"/>
            <w:tcBorders>
              <w:top w:val="nil"/>
              <w:left w:val="nil"/>
              <w:bottom w:val="single" w:sz="4" w:space="0" w:color="auto"/>
              <w:right w:val="nil"/>
            </w:tcBorders>
            <w:shd w:val="clear" w:color="auto" w:fill="auto"/>
            <w:vAlign w:val="center"/>
            <w:hideMark/>
          </w:tcPr>
          <w:p w:rsidR="00914BC3" w:rsidRPr="00A00324" w:rsidRDefault="00914BC3" w:rsidP="00B74216">
            <w:pPr>
              <w:jc w:val="center"/>
              <w:rPr>
                <w:rFonts w:ascii="Arial" w:hAnsi="Arial" w:cs="Arial"/>
                <w:b/>
                <w:bCs/>
                <w:sz w:val="16"/>
                <w:szCs w:val="16"/>
                <w:lang w:val="es-MX" w:eastAsia="es-MX"/>
              </w:rPr>
            </w:pPr>
            <w:r w:rsidRPr="00A00324">
              <w:rPr>
                <w:rFonts w:ascii="Arial" w:hAnsi="Arial" w:cs="Arial"/>
                <w:b/>
                <w:bCs/>
                <w:sz w:val="16"/>
                <w:szCs w:val="16"/>
                <w:lang w:val="es-MX" w:eastAsia="es-MX"/>
              </w:rPr>
              <w:t> </w:t>
            </w:r>
          </w:p>
        </w:tc>
        <w:tc>
          <w:tcPr>
            <w:tcW w:w="1460" w:type="dxa"/>
            <w:tcBorders>
              <w:top w:val="nil"/>
              <w:left w:val="nil"/>
              <w:bottom w:val="single" w:sz="4" w:space="0" w:color="auto"/>
              <w:right w:val="nil"/>
            </w:tcBorders>
            <w:shd w:val="clear" w:color="auto" w:fill="auto"/>
            <w:vAlign w:val="center"/>
            <w:hideMark/>
          </w:tcPr>
          <w:p w:rsidR="00914BC3" w:rsidRPr="00A00324" w:rsidRDefault="00914BC3" w:rsidP="00B74216">
            <w:pPr>
              <w:jc w:val="center"/>
              <w:rPr>
                <w:rFonts w:ascii="Arial" w:hAnsi="Arial" w:cs="Arial"/>
                <w:b/>
                <w:bCs/>
                <w:sz w:val="16"/>
                <w:szCs w:val="16"/>
                <w:lang w:val="es-MX" w:eastAsia="es-MX"/>
              </w:rPr>
            </w:pPr>
            <w:r w:rsidRPr="00A00324">
              <w:rPr>
                <w:rFonts w:ascii="Arial" w:hAnsi="Arial" w:cs="Arial"/>
                <w:b/>
                <w:bCs/>
                <w:sz w:val="16"/>
                <w:szCs w:val="16"/>
                <w:lang w:val="es-MX" w:eastAsia="es-MX"/>
              </w:rPr>
              <w:t> </w:t>
            </w:r>
          </w:p>
        </w:tc>
        <w:tc>
          <w:tcPr>
            <w:tcW w:w="1340" w:type="dxa"/>
            <w:tcBorders>
              <w:top w:val="nil"/>
              <w:left w:val="nil"/>
              <w:bottom w:val="single" w:sz="4" w:space="0" w:color="auto"/>
              <w:right w:val="nil"/>
            </w:tcBorders>
            <w:shd w:val="clear" w:color="auto" w:fill="auto"/>
            <w:vAlign w:val="center"/>
            <w:hideMark/>
          </w:tcPr>
          <w:p w:rsidR="00914BC3" w:rsidRPr="00A00324" w:rsidRDefault="00914BC3" w:rsidP="00B74216">
            <w:pPr>
              <w:jc w:val="center"/>
              <w:rPr>
                <w:rFonts w:ascii="Arial" w:hAnsi="Arial" w:cs="Arial"/>
                <w:b/>
                <w:bCs/>
                <w:sz w:val="16"/>
                <w:szCs w:val="16"/>
                <w:lang w:val="es-MX" w:eastAsia="es-MX"/>
              </w:rPr>
            </w:pPr>
            <w:r w:rsidRPr="00A00324">
              <w:rPr>
                <w:rFonts w:ascii="Arial" w:hAnsi="Arial" w:cs="Arial"/>
                <w:b/>
                <w:bCs/>
                <w:sz w:val="16"/>
                <w:szCs w:val="16"/>
                <w:lang w:val="es-MX" w:eastAsia="es-MX"/>
              </w:rPr>
              <w:t> </w:t>
            </w:r>
          </w:p>
        </w:tc>
      </w:tr>
      <w:tr w:rsidR="00A00324" w:rsidRPr="00A00324" w:rsidTr="00914BC3">
        <w:trPr>
          <w:trHeight w:val="450"/>
        </w:trPr>
        <w:tc>
          <w:tcPr>
            <w:tcW w:w="5959" w:type="dxa"/>
            <w:tcBorders>
              <w:top w:val="single" w:sz="4" w:space="0" w:color="auto"/>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FONDO CONCURSABLE DE INVERSION EN INFRAESTRUCTURA PARA  EDUCACION MEDIA SUPERIOR 2015</w:t>
            </w:r>
          </w:p>
        </w:tc>
        <w:tc>
          <w:tcPr>
            <w:tcW w:w="1460" w:type="dxa"/>
            <w:tcBorders>
              <w:top w:val="single" w:sz="4" w:space="0" w:color="auto"/>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SANTANDER</w:t>
            </w:r>
          </w:p>
        </w:tc>
        <w:tc>
          <w:tcPr>
            <w:tcW w:w="1340" w:type="dxa"/>
            <w:tcBorders>
              <w:top w:val="single" w:sz="4" w:space="0" w:color="auto"/>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65505086774</w:t>
            </w:r>
          </w:p>
        </w:tc>
      </w:tr>
      <w:tr w:rsidR="00A00324" w:rsidRPr="00A00324" w:rsidTr="00914BC3">
        <w:trPr>
          <w:trHeight w:val="675"/>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FONDO CONCURSABLE DE INVERSION EN INFRAESTRUCTURA PARA CENTROS, UNIDADES DE FORMACION O CAPACITACION PARA EL TRABAJO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SANTANDER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65505086803</w:t>
            </w:r>
          </w:p>
        </w:tc>
      </w:tr>
      <w:tr w:rsidR="00A00324" w:rsidRPr="00A00324" w:rsidTr="00914BC3">
        <w:trPr>
          <w:trHeight w:val="450"/>
        </w:trPr>
        <w:tc>
          <w:tcPr>
            <w:tcW w:w="5959" w:type="dxa"/>
            <w:tcBorders>
              <w:top w:val="nil"/>
              <w:left w:val="single" w:sz="4" w:space="0" w:color="auto"/>
              <w:bottom w:val="single" w:sz="4" w:space="0" w:color="auto"/>
              <w:right w:val="single" w:sz="4" w:space="0" w:color="auto"/>
            </w:tcBorders>
            <w:shd w:val="clear" w:color="auto" w:fill="auto"/>
            <w:hideMark/>
          </w:tcPr>
          <w:p w:rsidR="00A00324" w:rsidRPr="00A00324" w:rsidRDefault="00A00324" w:rsidP="00A00324">
            <w:pPr>
              <w:jc w:val="both"/>
              <w:rPr>
                <w:rFonts w:ascii="Arial" w:hAnsi="Arial" w:cs="Arial"/>
                <w:color w:val="000000"/>
                <w:sz w:val="16"/>
                <w:szCs w:val="16"/>
                <w:lang w:val="es-MX" w:eastAsia="es-MX"/>
              </w:rPr>
            </w:pPr>
            <w:r w:rsidRPr="00A00324">
              <w:rPr>
                <w:rFonts w:ascii="Arial" w:hAnsi="Arial" w:cs="Arial"/>
                <w:color w:val="000000"/>
                <w:sz w:val="16"/>
                <w:szCs w:val="16"/>
                <w:lang w:val="es-MX" w:eastAsia="es-MX"/>
              </w:rPr>
              <w:t>GOB EDO OAX SEFIN FORTALECIMIENTO DE LA INFRAESTRUCTURA CONACYT UTM 2015</w:t>
            </w:r>
          </w:p>
        </w:tc>
        <w:tc>
          <w:tcPr>
            <w:tcW w:w="146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Calibri" w:hAnsi="Calibri"/>
                <w:color w:val="000000"/>
                <w:sz w:val="16"/>
                <w:szCs w:val="16"/>
                <w:lang w:val="es-MX" w:eastAsia="es-MX"/>
              </w:rPr>
            </w:pPr>
            <w:r w:rsidRPr="00A00324">
              <w:rPr>
                <w:rFonts w:ascii="Calibri" w:hAnsi="Calibri"/>
                <w:color w:val="000000"/>
                <w:sz w:val="16"/>
                <w:szCs w:val="16"/>
                <w:lang w:val="es-MX" w:eastAsia="es-MX"/>
              </w:rPr>
              <w:t>SANTANDER</w:t>
            </w:r>
          </w:p>
        </w:tc>
        <w:tc>
          <w:tcPr>
            <w:tcW w:w="1340" w:type="dxa"/>
            <w:tcBorders>
              <w:top w:val="nil"/>
              <w:left w:val="nil"/>
              <w:bottom w:val="single" w:sz="4" w:space="0" w:color="auto"/>
              <w:right w:val="single" w:sz="4" w:space="0" w:color="auto"/>
            </w:tcBorders>
            <w:shd w:val="clear" w:color="auto" w:fill="auto"/>
            <w:hideMark/>
          </w:tcPr>
          <w:p w:rsidR="00A00324" w:rsidRPr="00A00324" w:rsidRDefault="00A00324" w:rsidP="00A00324">
            <w:pPr>
              <w:jc w:val="center"/>
              <w:rPr>
                <w:rFonts w:ascii="Arial" w:hAnsi="Arial" w:cs="Arial"/>
                <w:color w:val="000000"/>
                <w:sz w:val="16"/>
                <w:szCs w:val="16"/>
                <w:lang w:val="es-MX" w:eastAsia="es-MX"/>
              </w:rPr>
            </w:pPr>
            <w:r w:rsidRPr="00A00324">
              <w:rPr>
                <w:rFonts w:ascii="Arial" w:hAnsi="Arial" w:cs="Arial"/>
                <w:color w:val="000000"/>
                <w:sz w:val="16"/>
                <w:szCs w:val="16"/>
                <w:lang w:val="es-MX" w:eastAsia="es-MX"/>
              </w:rPr>
              <w:t>65505086712</w:t>
            </w:r>
          </w:p>
        </w:tc>
      </w:tr>
    </w:tbl>
    <w:p w:rsidR="00A00324" w:rsidRDefault="00A00324">
      <w:pPr>
        <w:rPr>
          <w:rFonts w:ascii="Arial" w:hAnsi="Arial" w:cs="Arial"/>
          <w:b/>
          <w:spacing w:val="20"/>
        </w:rPr>
      </w:pPr>
      <w:r>
        <w:rPr>
          <w:rFonts w:ascii="Arial" w:hAnsi="Arial" w:cs="Arial"/>
          <w:b/>
          <w:spacing w:val="20"/>
        </w:rPr>
        <w:br w:type="page"/>
      </w:r>
    </w:p>
    <w:p w:rsidR="006B0E03" w:rsidRDefault="00ED3AD8">
      <w:pPr>
        <w:rPr>
          <w:rFonts w:ascii="Arial" w:hAnsi="Arial" w:cs="Arial"/>
          <w:b/>
          <w:spacing w:val="20"/>
        </w:rPr>
      </w:pPr>
      <w:r>
        <w:rPr>
          <w:rFonts w:ascii="Arial" w:hAnsi="Arial" w:cs="Arial"/>
          <w:b/>
          <w:spacing w:val="20"/>
        </w:rPr>
        <w:lastRenderedPageBreak/>
        <w:t>7</w:t>
      </w:r>
      <w:r w:rsidR="003D7501">
        <w:rPr>
          <w:rFonts w:ascii="Arial" w:hAnsi="Arial" w:cs="Arial"/>
          <w:b/>
          <w:spacing w:val="20"/>
        </w:rPr>
        <w:t xml:space="preserve">.- </w:t>
      </w:r>
      <w:r w:rsidR="006B0E03">
        <w:rPr>
          <w:rFonts w:ascii="Arial" w:hAnsi="Arial" w:cs="Arial"/>
          <w:b/>
          <w:spacing w:val="20"/>
        </w:rPr>
        <w:t>COMPORTAMIENTO DEL EGRESO</w:t>
      </w:r>
    </w:p>
    <w:p w:rsidR="006B0E03" w:rsidRDefault="006B0E03">
      <w:pPr>
        <w:rPr>
          <w:rFonts w:ascii="Arial" w:hAnsi="Arial" w:cs="Arial"/>
          <w:b/>
          <w:spacing w:val="20"/>
        </w:rPr>
      </w:pPr>
    </w:p>
    <w:p w:rsidR="006B0E03" w:rsidRDefault="00ED3AD8">
      <w:pPr>
        <w:rPr>
          <w:rFonts w:ascii="Arial" w:hAnsi="Arial" w:cs="Arial"/>
          <w:b/>
          <w:spacing w:val="20"/>
        </w:rPr>
      </w:pPr>
      <w:r>
        <w:rPr>
          <w:rFonts w:ascii="Arial" w:hAnsi="Arial" w:cs="Arial"/>
          <w:b/>
          <w:spacing w:val="20"/>
        </w:rPr>
        <w:t>7</w:t>
      </w:r>
      <w:r w:rsidR="003D7501">
        <w:rPr>
          <w:rFonts w:ascii="Arial" w:hAnsi="Arial" w:cs="Arial"/>
          <w:b/>
          <w:spacing w:val="20"/>
        </w:rPr>
        <w:t xml:space="preserve">.1.- </w:t>
      </w:r>
      <w:r w:rsidR="006B0E03">
        <w:rPr>
          <w:rFonts w:ascii="Arial" w:hAnsi="Arial" w:cs="Arial"/>
          <w:b/>
          <w:spacing w:val="20"/>
        </w:rPr>
        <w:t>CAPITULO DEL GASTO</w:t>
      </w:r>
    </w:p>
    <w:p w:rsidR="006B0E03" w:rsidRDefault="006B0E03">
      <w:pPr>
        <w:rPr>
          <w:rFonts w:ascii="Arial" w:hAnsi="Arial" w:cs="Arial"/>
          <w:b/>
          <w:spacing w:val="20"/>
        </w:rPr>
      </w:pPr>
    </w:p>
    <w:p w:rsidR="006B0E03" w:rsidRDefault="006B0E03">
      <w:pPr>
        <w:rPr>
          <w:rFonts w:ascii="Arial" w:hAnsi="Arial" w:cs="Arial"/>
          <w:b/>
          <w:spacing w:val="20"/>
        </w:rPr>
      </w:pPr>
    </w:p>
    <w:p w:rsidR="006B0E03" w:rsidRDefault="006B0E03">
      <w:pPr>
        <w:rPr>
          <w:rFonts w:ascii="Arial" w:hAnsi="Arial" w:cs="Arial"/>
          <w:b/>
          <w:spacing w:val="20"/>
        </w:rPr>
      </w:pPr>
    </w:p>
    <w:p w:rsidR="006B0E03" w:rsidRDefault="00B74216" w:rsidP="00612A54">
      <w:pPr>
        <w:spacing w:line="22" w:lineRule="atLeast"/>
        <w:jc w:val="center"/>
        <w:rPr>
          <w:rFonts w:ascii="Arial" w:hAnsi="Arial" w:cs="Arial"/>
          <w:b/>
          <w:spacing w:val="20"/>
        </w:rPr>
      </w:pPr>
      <w:r w:rsidRPr="00B74216">
        <w:rPr>
          <w:noProof/>
          <w:lang w:val="es-MX" w:eastAsia="es-MX"/>
        </w:rPr>
        <w:drawing>
          <wp:inline distT="0" distB="0" distL="0" distR="0">
            <wp:extent cx="5671185" cy="3061784"/>
            <wp:effectExtent l="19050" t="0" r="5715"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671185" cy="3061784"/>
                    </a:xfrm>
                    <a:prstGeom prst="rect">
                      <a:avLst/>
                    </a:prstGeom>
                    <a:noFill/>
                    <a:ln w="9525">
                      <a:noFill/>
                      <a:miter lim="800000"/>
                      <a:headEnd/>
                      <a:tailEnd/>
                    </a:ln>
                  </pic:spPr>
                </pic:pic>
              </a:graphicData>
            </a:graphic>
          </wp:inline>
        </w:drawing>
      </w:r>
    </w:p>
    <w:p w:rsidR="000D513F" w:rsidRDefault="00BE613B" w:rsidP="000D513F">
      <w:pPr>
        <w:rPr>
          <w:rFonts w:ascii="Arial" w:hAnsi="Arial" w:cs="Arial"/>
          <w:b/>
          <w:spacing w:val="20"/>
        </w:rPr>
      </w:pPr>
      <w:r>
        <w:rPr>
          <w:rFonts w:ascii="Arial" w:hAnsi="Arial" w:cs="Arial"/>
          <w:b/>
          <w:spacing w:val="20"/>
        </w:rPr>
        <w:br w:type="page"/>
      </w:r>
    </w:p>
    <w:p w:rsidR="00606D78" w:rsidRDefault="00606D78" w:rsidP="000D513F">
      <w:pPr>
        <w:rPr>
          <w:rFonts w:ascii="Arial" w:hAnsi="Arial" w:cs="Arial"/>
          <w:b/>
          <w:spacing w:val="20"/>
        </w:rPr>
      </w:pPr>
    </w:p>
    <w:p w:rsidR="00606D78" w:rsidRDefault="00606D78" w:rsidP="000D513F">
      <w:pPr>
        <w:rPr>
          <w:rFonts w:ascii="Arial" w:hAnsi="Arial" w:cs="Arial"/>
          <w:b/>
          <w:spacing w:val="20"/>
        </w:rPr>
      </w:pPr>
    </w:p>
    <w:p w:rsidR="000D513F" w:rsidRDefault="00B74216">
      <w:pPr>
        <w:rPr>
          <w:rFonts w:ascii="Arial" w:hAnsi="Arial" w:cs="Arial"/>
          <w:b/>
          <w:spacing w:val="20"/>
        </w:rPr>
      </w:pPr>
      <w:r w:rsidRPr="00B74216">
        <w:rPr>
          <w:noProof/>
          <w:lang w:val="es-MX" w:eastAsia="es-MX"/>
        </w:rPr>
        <w:drawing>
          <wp:inline distT="0" distB="0" distL="0" distR="0">
            <wp:extent cx="5671185" cy="6154329"/>
            <wp:effectExtent l="19050" t="0" r="5715"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671185" cy="6154329"/>
                    </a:xfrm>
                    <a:prstGeom prst="rect">
                      <a:avLst/>
                    </a:prstGeom>
                    <a:noFill/>
                    <a:ln w="9525">
                      <a:noFill/>
                      <a:miter lim="800000"/>
                      <a:headEnd/>
                      <a:tailEnd/>
                    </a:ln>
                  </pic:spPr>
                </pic:pic>
              </a:graphicData>
            </a:graphic>
          </wp:inline>
        </w:drawing>
      </w:r>
      <w:r w:rsidR="000D513F">
        <w:rPr>
          <w:rFonts w:ascii="Arial" w:hAnsi="Arial" w:cs="Arial"/>
          <w:b/>
          <w:spacing w:val="20"/>
        </w:rPr>
        <w:br w:type="page"/>
      </w:r>
    </w:p>
    <w:p w:rsidR="006B0E03" w:rsidRDefault="00ED3AD8" w:rsidP="006B0E03">
      <w:pPr>
        <w:spacing w:line="22" w:lineRule="atLeast"/>
        <w:jc w:val="both"/>
        <w:rPr>
          <w:rFonts w:ascii="Arial" w:hAnsi="Arial" w:cs="Arial"/>
          <w:b/>
          <w:spacing w:val="20"/>
        </w:rPr>
      </w:pPr>
      <w:r>
        <w:rPr>
          <w:rFonts w:ascii="Arial" w:hAnsi="Arial" w:cs="Arial"/>
          <w:b/>
          <w:spacing w:val="20"/>
        </w:rPr>
        <w:lastRenderedPageBreak/>
        <w:t>7</w:t>
      </w:r>
      <w:r w:rsidR="003D7501">
        <w:rPr>
          <w:rFonts w:ascii="Arial" w:hAnsi="Arial" w:cs="Arial"/>
          <w:b/>
          <w:spacing w:val="20"/>
        </w:rPr>
        <w:t xml:space="preserve">.2.- </w:t>
      </w:r>
      <w:r w:rsidR="006B0E03">
        <w:rPr>
          <w:rFonts w:ascii="Arial" w:hAnsi="Arial" w:cs="Arial"/>
          <w:b/>
          <w:spacing w:val="20"/>
        </w:rPr>
        <w:t>CLASIFICACION FUNCIONAL</w:t>
      </w:r>
    </w:p>
    <w:p w:rsidR="006B0E03" w:rsidRDefault="006B0E03" w:rsidP="006B0E03">
      <w:pPr>
        <w:spacing w:line="22" w:lineRule="atLeast"/>
        <w:jc w:val="both"/>
        <w:rPr>
          <w:rFonts w:ascii="Arial" w:hAnsi="Arial" w:cs="Arial"/>
          <w:b/>
          <w:spacing w:val="20"/>
        </w:rPr>
      </w:pPr>
    </w:p>
    <w:p w:rsidR="006B0E03" w:rsidRDefault="006B0E03" w:rsidP="006B0E03">
      <w:pPr>
        <w:spacing w:line="22" w:lineRule="atLeast"/>
        <w:jc w:val="both"/>
        <w:rPr>
          <w:rFonts w:ascii="Arial" w:hAnsi="Arial" w:cs="Arial"/>
          <w:b/>
          <w:spacing w:val="20"/>
        </w:rPr>
      </w:pPr>
    </w:p>
    <w:p w:rsidR="00ED3AD8" w:rsidRDefault="00ED3AD8" w:rsidP="006B0E03">
      <w:pPr>
        <w:spacing w:line="22" w:lineRule="atLeast"/>
        <w:jc w:val="both"/>
        <w:rPr>
          <w:rFonts w:ascii="Arial" w:hAnsi="Arial" w:cs="Arial"/>
          <w:b/>
          <w:spacing w:val="20"/>
        </w:rPr>
      </w:pPr>
    </w:p>
    <w:p w:rsidR="000D513F" w:rsidRDefault="000D513F" w:rsidP="006B0E03">
      <w:pPr>
        <w:spacing w:line="22" w:lineRule="atLeast"/>
        <w:jc w:val="both"/>
        <w:rPr>
          <w:rFonts w:ascii="Arial" w:hAnsi="Arial" w:cs="Arial"/>
          <w:b/>
          <w:spacing w:val="20"/>
        </w:rPr>
      </w:pPr>
    </w:p>
    <w:p w:rsidR="00ED3AD8" w:rsidRDefault="00B74216" w:rsidP="006B0E03">
      <w:pPr>
        <w:spacing w:line="22" w:lineRule="atLeast"/>
        <w:jc w:val="both"/>
        <w:rPr>
          <w:rFonts w:ascii="Arial" w:hAnsi="Arial" w:cs="Arial"/>
          <w:b/>
          <w:spacing w:val="20"/>
        </w:rPr>
      </w:pPr>
      <w:r w:rsidRPr="00B74216">
        <w:rPr>
          <w:noProof/>
          <w:lang w:val="es-MX" w:eastAsia="es-MX"/>
        </w:rPr>
        <w:drawing>
          <wp:inline distT="0" distB="0" distL="0" distR="0">
            <wp:extent cx="5671185" cy="2272544"/>
            <wp:effectExtent l="19050" t="0" r="5715"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5671185" cy="2272544"/>
                    </a:xfrm>
                    <a:prstGeom prst="rect">
                      <a:avLst/>
                    </a:prstGeom>
                    <a:noFill/>
                    <a:ln w="9525">
                      <a:noFill/>
                      <a:miter lim="800000"/>
                      <a:headEnd/>
                      <a:tailEnd/>
                    </a:ln>
                  </pic:spPr>
                </pic:pic>
              </a:graphicData>
            </a:graphic>
          </wp:inline>
        </w:drawing>
      </w:r>
    </w:p>
    <w:p w:rsidR="00ED3AD8" w:rsidRDefault="00ED3AD8" w:rsidP="006B0E03">
      <w:pPr>
        <w:spacing w:line="22" w:lineRule="atLeast"/>
        <w:jc w:val="both"/>
        <w:rPr>
          <w:rFonts w:ascii="Arial" w:hAnsi="Arial" w:cs="Arial"/>
          <w:b/>
          <w:spacing w:val="20"/>
        </w:rPr>
      </w:pPr>
    </w:p>
    <w:p w:rsidR="006B0E03" w:rsidRDefault="006B0E03" w:rsidP="006B0E03">
      <w:pPr>
        <w:spacing w:line="22" w:lineRule="atLeast"/>
        <w:jc w:val="both"/>
        <w:rPr>
          <w:rFonts w:ascii="Arial" w:hAnsi="Arial" w:cs="Arial"/>
          <w:b/>
          <w:spacing w:val="20"/>
        </w:rPr>
      </w:pPr>
    </w:p>
    <w:p w:rsidR="006B0E03" w:rsidRDefault="006B0E03" w:rsidP="006B0E03">
      <w:pPr>
        <w:spacing w:line="22" w:lineRule="atLeast"/>
        <w:jc w:val="both"/>
        <w:rPr>
          <w:rFonts w:ascii="Arial" w:hAnsi="Arial" w:cs="Arial"/>
          <w:b/>
          <w:spacing w:val="20"/>
        </w:rPr>
      </w:pPr>
    </w:p>
    <w:p w:rsidR="006B0E03" w:rsidRDefault="006B0E03">
      <w:pPr>
        <w:rPr>
          <w:rFonts w:ascii="Arial" w:hAnsi="Arial" w:cs="Arial"/>
          <w:b/>
          <w:spacing w:val="20"/>
        </w:rPr>
      </w:pPr>
      <w:r>
        <w:rPr>
          <w:rFonts w:ascii="Arial" w:hAnsi="Arial" w:cs="Arial"/>
          <w:b/>
          <w:spacing w:val="20"/>
        </w:rPr>
        <w:br w:type="page"/>
      </w:r>
    </w:p>
    <w:p w:rsidR="006B0E03" w:rsidRDefault="00ED3AD8" w:rsidP="006B0E03">
      <w:pPr>
        <w:spacing w:line="22" w:lineRule="atLeast"/>
        <w:jc w:val="both"/>
        <w:rPr>
          <w:rFonts w:ascii="Arial" w:hAnsi="Arial" w:cs="Arial"/>
          <w:b/>
          <w:spacing w:val="20"/>
        </w:rPr>
      </w:pPr>
      <w:r>
        <w:rPr>
          <w:rFonts w:ascii="Arial" w:hAnsi="Arial" w:cs="Arial"/>
          <w:b/>
          <w:spacing w:val="20"/>
        </w:rPr>
        <w:lastRenderedPageBreak/>
        <w:t>7</w:t>
      </w:r>
      <w:r w:rsidR="003D7501">
        <w:rPr>
          <w:rFonts w:ascii="Arial" w:hAnsi="Arial" w:cs="Arial"/>
          <w:b/>
          <w:spacing w:val="20"/>
        </w:rPr>
        <w:t xml:space="preserve">.3.- </w:t>
      </w:r>
      <w:r w:rsidR="006B0E03">
        <w:rPr>
          <w:rFonts w:ascii="Arial" w:hAnsi="Arial" w:cs="Arial"/>
          <w:b/>
          <w:spacing w:val="20"/>
        </w:rPr>
        <w:t>CLASIFICACIÓN PROGRAMÁTICA</w:t>
      </w:r>
    </w:p>
    <w:p w:rsidR="006B0E03" w:rsidRDefault="006B0E03" w:rsidP="006B0E03">
      <w:pPr>
        <w:spacing w:line="22" w:lineRule="atLeast"/>
        <w:jc w:val="both"/>
        <w:rPr>
          <w:rFonts w:ascii="Arial" w:hAnsi="Arial" w:cs="Arial"/>
          <w:b/>
          <w:spacing w:val="20"/>
        </w:rPr>
      </w:pPr>
    </w:p>
    <w:p w:rsidR="006B0E03" w:rsidRDefault="006B0E03" w:rsidP="006B0E03">
      <w:pPr>
        <w:spacing w:line="22" w:lineRule="atLeast"/>
        <w:jc w:val="both"/>
        <w:rPr>
          <w:noProof/>
          <w:lang w:val="es-MX" w:eastAsia="es-MX"/>
        </w:rPr>
      </w:pPr>
    </w:p>
    <w:p w:rsidR="00606D78" w:rsidRDefault="00606D78" w:rsidP="006B0E03">
      <w:pPr>
        <w:spacing w:line="22" w:lineRule="atLeast"/>
        <w:jc w:val="both"/>
        <w:rPr>
          <w:noProof/>
          <w:lang w:val="es-MX" w:eastAsia="es-MX"/>
        </w:rPr>
      </w:pPr>
    </w:p>
    <w:p w:rsidR="00606D78" w:rsidRDefault="00606D78" w:rsidP="006B0E03">
      <w:pPr>
        <w:spacing w:line="22" w:lineRule="atLeast"/>
        <w:jc w:val="both"/>
        <w:rPr>
          <w:noProof/>
          <w:lang w:val="es-MX" w:eastAsia="es-MX"/>
        </w:rPr>
      </w:pPr>
    </w:p>
    <w:p w:rsidR="00ED3AD8" w:rsidRDefault="00ED3AD8" w:rsidP="006B0E03">
      <w:pPr>
        <w:spacing w:line="22" w:lineRule="atLeast"/>
        <w:jc w:val="both"/>
        <w:rPr>
          <w:noProof/>
          <w:lang w:val="es-MX" w:eastAsia="es-MX"/>
        </w:rPr>
      </w:pPr>
    </w:p>
    <w:p w:rsidR="00776CD9" w:rsidRDefault="00B74216" w:rsidP="006B0E03">
      <w:pPr>
        <w:spacing w:line="22" w:lineRule="atLeast"/>
        <w:jc w:val="both"/>
        <w:rPr>
          <w:noProof/>
          <w:lang w:val="es-MX" w:eastAsia="es-MX"/>
        </w:rPr>
      </w:pPr>
      <w:r w:rsidRPr="00B74216">
        <w:rPr>
          <w:noProof/>
          <w:lang w:val="es-MX" w:eastAsia="es-MX"/>
        </w:rPr>
        <w:drawing>
          <wp:inline distT="0" distB="0" distL="0" distR="0">
            <wp:extent cx="5671185" cy="1768791"/>
            <wp:effectExtent l="19050" t="0" r="5715"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5671185" cy="1768791"/>
                    </a:xfrm>
                    <a:prstGeom prst="rect">
                      <a:avLst/>
                    </a:prstGeom>
                    <a:noFill/>
                    <a:ln w="9525">
                      <a:noFill/>
                      <a:miter lim="800000"/>
                      <a:headEnd/>
                      <a:tailEnd/>
                    </a:ln>
                  </pic:spPr>
                </pic:pic>
              </a:graphicData>
            </a:graphic>
          </wp:inline>
        </w:drawing>
      </w:r>
    </w:p>
    <w:p w:rsidR="00776CD9" w:rsidRDefault="00776CD9" w:rsidP="006B0E03">
      <w:pPr>
        <w:spacing w:line="22" w:lineRule="atLeast"/>
        <w:jc w:val="both"/>
        <w:rPr>
          <w:noProof/>
          <w:lang w:val="es-MX" w:eastAsia="es-MX"/>
        </w:rPr>
      </w:pPr>
    </w:p>
    <w:p w:rsidR="000D513F" w:rsidRDefault="000D513F" w:rsidP="006B0E03">
      <w:pPr>
        <w:spacing w:line="22" w:lineRule="atLeast"/>
        <w:jc w:val="both"/>
        <w:rPr>
          <w:noProof/>
          <w:lang w:val="es-MX" w:eastAsia="es-MX"/>
        </w:rPr>
      </w:pPr>
    </w:p>
    <w:p w:rsidR="000D513F" w:rsidRDefault="000D513F" w:rsidP="006B0E03">
      <w:pPr>
        <w:spacing w:line="22" w:lineRule="atLeast"/>
        <w:jc w:val="both"/>
        <w:rPr>
          <w:noProof/>
          <w:lang w:val="es-MX" w:eastAsia="es-MX"/>
        </w:rPr>
      </w:pPr>
    </w:p>
    <w:p w:rsidR="000D513F" w:rsidRDefault="000D513F" w:rsidP="006B0E03">
      <w:pPr>
        <w:spacing w:line="22" w:lineRule="atLeast"/>
        <w:jc w:val="both"/>
        <w:rPr>
          <w:noProof/>
          <w:lang w:val="es-MX" w:eastAsia="es-MX"/>
        </w:rPr>
      </w:pPr>
    </w:p>
    <w:p w:rsidR="00ED3AD8" w:rsidRDefault="00ED3AD8" w:rsidP="006B0E03">
      <w:pPr>
        <w:spacing w:line="22" w:lineRule="atLeast"/>
        <w:jc w:val="both"/>
        <w:rPr>
          <w:noProof/>
          <w:lang w:val="es-MX" w:eastAsia="es-MX"/>
        </w:rPr>
      </w:pPr>
    </w:p>
    <w:p w:rsidR="00ED3AD8" w:rsidRDefault="00ED3AD8" w:rsidP="006B0E03">
      <w:pPr>
        <w:spacing w:line="22" w:lineRule="atLeast"/>
        <w:jc w:val="both"/>
        <w:rPr>
          <w:noProof/>
          <w:lang w:val="es-MX" w:eastAsia="es-MX"/>
        </w:rPr>
      </w:pPr>
    </w:p>
    <w:p w:rsidR="00BE613B" w:rsidRDefault="00BE613B" w:rsidP="006B0E03">
      <w:pPr>
        <w:spacing w:line="22" w:lineRule="atLeast"/>
        <w:jc w:val="both"/>
        <w:rPr>
          <w:rFonts w:ascii="Arial" w:hAnsi="Arial" w:cs="Arial"/>
          <w:b/>
          <w:spacing w:val="20"/>
        </w:rPr>
      </w:pPr>
    </w:p>
    <w:p w:rsidR="006B0E03" w:rsidRDefault="006B0E03">
      <w:pPr>
        <w:rPr>
          <w:rFonts w:ascii="Arial" w:hAnsi="Arial" w:cs="Arial"/>
          <w:b/>
          <w:spacing w:val="20"/>
        </w:rPr>
      </w:pPr>
      <w:r>
        <w:rPr>
          <w:rFonts w:ascii="Arial" w:hAnsi="Arial" w:cs="Arial"/>
          <w:b/>
          <w:spacing w:val="20"/>
        </w:rPr>
        <w:br w:type="page"/>
      </w:r>
    </w:p>
    <w:p w:rsidR="006B0E03" w:rsidRDefault="00ED3AD8" w:rsidP="006B0E03">
      <w:pPr>
        <w:spacing w:line="22" w:lineRule="atLeast"/>
        <w:jc w:val="both"/>
        <w:rPr>
          <w:rFonts w:ascii="Arial" w:hAnsi="Arial" w:cs="Arial"/>
          <w:b/>
          <w:spacing w:val="20"/>
        </w:rPr>
      </w:pPr>
      <w:r>
        <w:rPr>
          <w:rFonts w:ascii="Arial" w:hAnsi="Arial" w:cs="Arial"/>
          <w:b/>
          <w:spacing w:val="20"/>
        </w:rPr>
        <w:lastRenderedPageBreak/>
        <w:t>7</w:t>
      </w:r>
      <w:r w:rsidR="003D7501">
        <w:rPr>
          <w:rFonts w:ascii="Arial" w:hAnsi="Arial" w:cs="Arial"/>
          <w:b/>
          <w:spacing w:val="20"/>
        </w:rPr>
        <w:t xml:space="preserve">.4.- </w:t>
      </w:r>
      <w:r w:rsidR="006B0E03">
        <w:rPr>
          <w:rFonts w:ascii="Arial" w:hAnsi="Arial" w:cs="Arial"/>
          <w:b/>
          <w:spacing w:val="20"/>
        </w:rPr>
        <w:t>CLASIFICACIÓN ADMINISTRATIVA</w:t>
      </w:r>
    </w:p>
    <w:p w:rsidR="006B0E03" w:rsidRDefault="006B0E03" w:rsidP="006B0E03">
      <w:pPr>
        <w:spacing w:line="22" w:lineRule="atLeast"/>
        <w:jc w:val="both"/>
        <w:rPr>
          <w:rFonts w:ascii="Arial" w:hAnsi="Arial" w:cs="Arial"/>
          <w:b/>
          <w:spacing w:val="20"/>
        </w:rPr>
      </w:pPr>
    </w:p>
    <w:p w:rsidR="006B0E03" w:rsidRDefault="006B0E03" w:rsidP="006B0E03">
      <w:pPr>
        <w:spacing w:line="22" w:lineRule="atLeast"/>
        <w:jc w:val="both"/>
        <w:rPr>
          <w:rFonts w:ascii="Arial" w:hAnsi="Arial" w:cs="Arial"/>
          <w:b/>
          <w:spacing w:val="20"/>
        </w:rPr>
      </w:pPr>
    </w:p>
    <w:p w:rsidR="00776CD9" w:rsidRDefault="00776CD9" w:rsidP="006B0E03">
      <w:pPr>
        <w:spacing w:line="22" w:lineRule="atLeast"/>
        <w:jc w:val="both"/>
        <w:rPr>
          <w:rFonts w:ascii="Arial" w:hAnsi="Arial" w:cs="Arial"/>
          <w:b/>
          <w:spacing w:val="20"/>
        </w:rPr>
      </w:pPr>
    </w:p>
    <w:p w:rsidR="00606D78" w:rsidRDefault="00606D78" w:rsidP="006B0E03">
      <w:pPr>
        <w:spacing w:line="22" w:lineRule="atLeast"/>
        <w:jc w:val="both"/>
        <w:rPr>
          <w:rFonts w:ascii="Arial" w:hAnsi="Arial" w:cs="Arial"/>
          <w:b/>
          <w:spacing w:val="20"/>
        </w:rPr>
      </w:pPr>
    </w:p>
    <w:p w:rsidR="00606D78" w:rsidRDefault="00606D78" w:rsidP="006B0E03">
      <w:pPr>
        <w:spacing w:line="22" w:lineRule="atLeast"/>
        <w:jc w:val="both"/>
        <w:rPr>
          <w:rFonts w:ascii="Arial" w:hAnsi="Arial" w:cs="Arial"/>
          <w:b/>
          <w:spacing w:val="20"/>
        </w:rPr>
      </w:pPr>
    </w:p>
    <w:p w:rsidR="00776CD9" w:rsidRDefault="00B74216" w:rsidP="006B0E03">
      <w:pPr>
        <w:spacing w:line="22" w:lineRule="atLeast"/>
        <w:jc w:val="both"/>
        <w:rPr>
          <w:rFonts w:ascii="Arial" w:hAnsi="Arial" w:cs="Arial"/>
          <w:b/>
          <w:spacing w:val="20"/>
        </w:rPr>
      </w:pPr>
      <w:r w:rsidRPr="00B74216">
        <w:rPr>
          <w:noProof/>
          <w:lang w:val="es-MX" w:eastAsia="es-MX"/>
        </w:rPr>
        <w:drawing>
          <wp:inline distT="0" distB="0" distL="0" distR="0">
            <wp:extent cx="5671185" cy="2492627"/>
            <wp:effectExtent l="19050" t="0" r="5715"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5671185" cy="2492627"/>
                    </a:xfrm>
                    <a:prstGeom prst="rect">
                      <a:avLst/>
                    </a:prstGeom>
                    <a:noFill/>
                    <a:ln w="9525">
                      <a:noFill/>
                      <a:miter lim="800000"/>
                      <a:headEnd/>
                      <a:tailEnd/>
                    </a:ln>
                  </pic:spPr>
                </pic:pic>
              </a:graphicData>
            </a:graphic>
          </wp:inline>
        </w:drawing>
      </w:r>
    </w:p>
    <w:p w:rsidR="00ED3AD8" w:rsidRDefault="00ED3AD8" w:rsidP="006B0E03">
      <w:pPr>
        <w:spacing w:line="22" w:lineRule="atLeast"/>
        <w:jc w:val="both"/>
        <w:rPr>
          <w:rFonts w:ascii="Arial" w:hAnsi="Arial" w:cs="Arial"/>
          <w:b/>
          <w:spacing w:val="20"/>
        </w:rPr>
      </w:pPr>
    </w:p>
    <w:p w:rsidR="006C650B" w:rsidRDefault="006C650B" w:rsidP="006B0E03">
      <w:pPr>
        <w:spacing w:line="22" w:lineRule="atLeast"/>
        <w:jc w:val="both"/>
        <w:rPr>
          <w:rFonts w:ascii="Arial" w:hAnsi="Arial" w:cs="Arial"/>
          <w:b/>
          <w:spacing w:val="20"/>
        </w:rPr>
      </w:pPr>
    </w:p>
    <w:p w:rsidR="006C650B" w:rsidRDefault="006C650B" w:rsidP="006B0E03">
      <w:pPr>
        <w:spacing w:line="22" w:lineRule="atLeast"/>
        <w:jc w:val="both"/>
        <w:rPr>
          <w:rFonts w:ascii="Arial" w:hAnsi="Arial" w:cs="Arial"/>
          <w:b/>
          <w:spacing w:val="20"/>
        </w:rPr>
      </w:pPr>
    </w:p>
    <w:p w:rsidR="006C650B" w:rsidRDefault="006C650B" w:rsidP="006B0E03">
      <w:pPr>
        <w:spacing w:line="22" w:lineRule="atLeast"/>
        <w:jc w:val="both"/>
        <w:rPr>
          <w:rFonts w:ascii="Arial" w:hAnsi="Arial" w:cs="Arial"/>
          <w:b/>
          <w:spacing w:val="20"/>
        </w:rPr>
      </w:pPr>
    </w:p>
    <w:p w:rsidR="00ED3AD8" w:rsidRDefault="00ED3AD8" w:rsidP="006B0E03">
      <w:pPr>
        <w:spacing w:line="22" w:lineRule="atLeast"/>
        <w:jc w:val="both"/>
        <w:rPr>
          <w:rFonts w:ascii="Arial" w:hAnsi="Arial" w:cs="Arial"/>
          <w:b/>
          <w:spacing w:val="20"/>
        </w:rPr>
      </w:pPr>
    </w:p>
    <w:p w:rsidR="006B0E03" w:rsidRDefault="006B0E03" w:rsidP="006B0E03">
      <w:pPr>
        <w:spacing w:line="22" w:lineRule="atLeast"/>
        <w:jc w:val="both"/>
        <w:rPr>
          <w:rFonts w:ascii="Arial" w:hAnsi="Arial" w:cs="Arial"/>
          <w:b/>
          <w:spacing w:val="20"/>
        </w:rPr>
      </w:pPr>
    </w:p>
    <w:p w:rsidR="006B0E03" w:rsidRDefault="006B0E03" w:rsidP="006B0E03">
      <w:pPr>
        <w:spacing w:line="22" w:lineRule="atLeast"/>
        <w:jc w:val="both"/>
        <w:rPr>
          <w:rFonts w:ascii="Arial" w:hAnsi="Arial" w:cs="Arial"/>
          <w:b/>
          <w:spacing w:val="20"/>
        </w:rPr>
      </w:pPr>
    </w:p>
    <w:p w:rsidR="006B0E03" w:rsidRDefault="006B0E03" w:rsidP="006B0E03">
      <w:pPr>
        <w:spacing w:line="22" w:lineRule="atLeast"/>
        <w:jc w:val="both"/>
        <w:rPr>
          <w:rFonts w:ascii="Arial" w:hAnsi="Arial" w:cs="Arial"/>
          <w:b/>
          <w:spacing w:val="20"/>
        </w:rPr>
      </w:pPr>
    </w:p>
    <w:p w:rsidR="00EF0A17" w:rsidRDefault="006B0E03">
      <w:pPr>
        <w:rPr>
          <w:rFonts w:ascii="Arial" w:hAnsi="Arial" w:cs="Arial"/>
          <w:b/>
          <w:spacing w:val="20"/>
        </w:rPr>
      </w:pPr>
      <w:r>
        <w:rPr>
          <w:rFonts w:ascii="Arial" w:hAnsi="Arial" w:cs="Arial"/>
          <w:b/>
          <w:spacing w:val="20"/>
        </w:rPr>
        <w:br w:type="page"/>
      </w:r>
    </w:p>
    <w:tbl>
      <w:tblPr>
        <w:tblW w:w="9395" w:type="dxa"/>
        <w:tblInd w:w="70" w:type="dxa"/>
        <w:tblCellMar>
          <w:left w:w="70" w:type="dxa"/>
          <w:right w:w="70" w:type="dxa"/>
        </w:tblCellMar>
        <w:tblLook w:val="04A0"/>
      </w:tblPr>
      <w:tblGrid>
        <w:gridCol w:w="3402"/>
        <w:gridCol w:w="1560"/>
        <w:gridCol w:w="1086"/>
        <w:gridCol w:w="389"/>
        <w:gridCol w:w="1475"/>
        <w:gridCol w:w="1224"/>
        <w:gridCol w:w="259"/>
      </w:tblGrid>
      <w:tr w:rsidR="00EF0A17" w:rsidRPr="00EF0A17" w:rsidTr="00EF0A17">
        <w:trPr>
          <w:trHeight w:val="225"/>
        </w:trPr>
        <w:tc>
          <w:tcPr>
            <w:tcW w:w="9395" w:type="dxa"/>
            <w:gridSpan w:val="7"/>
            <w:tcBorders>
              <w:top w:val="nil"/>
              <w:left w:val="nil"/>
              <w:bottom w:val="nil"/>
              <w:right w:val="nil"/>
            </w:tcBorders>
            <w:shd w:val="clear" w:color="auto" w:fill="auto"/>
            <w:vAlign w:val="center"/>
            <w:hideMark/>
          </w:tcPr>
          <w:p w:rsidR="00EF0A17" w:rsidRPr="00EF0A17" w:rsidRDefault="00EF0A17" w:rsidP="00EF0A17">
            <w:pPr>
              <w:jc w:val="center"/>
              <w:rPr>
                <w:rFonts w:ascii="Arial" w:hAnsi="Arial" w:cs="Arial"/>
                <w:color w:val="000000"/>
                <w:sz w:val="16"/>
                <w:szCs w:val="16"/>
                <w:lang w:val="es-MX" w:eastAsia="es-MX"/>
              </w:rPr>
            </w:pPr>
            <w:bookmarkStart w:id="1" w:name="RANGE!A1:E111"/>
            <w:r w:rsidRPr="00EF0A17">
              <w:rPr>
                <w:rFonts w:ascii="Arial" w:hAnsi="Arial" w:cs="Arial"/>
                <w:color w:val="000000"/>
                <w:sz w:val="16"/>
                <w:szCs w:val="16"/>
                <w:lang w:val="es-MX" w:eastAsia="es-MX"/>
              </w:rPr>
              <w:lastRenderedPageBreak/>
              <w:t xml:space="preserve">GOBIERNO DEL ESTADO DE OAXACA </w:t>
            </w:r>
            <w:bookmarkEnd w:id="1"/>
          </w:p>
        </w:tc>
      </w:tr>
      <w:tr w:rsidR="00EF0A17" w:rsidRPr="00EF0A17" w:rsidTr="00EF0A17">
        <w:trPr>
          <w:trHeight w:val="225"/>
        </w:trPr>
        <w:tc>
          <w:tcPr>
            <w:tcW w:w="9395" w:type="dxa"/>
            <w:gridSpan w:val="7"/>
            <w:tcBorders>
              <w:top w:val="nil"/>
              <w:left w:val="nil"/>
              <w:bottom w:val="nil"/>
              <w:right w:val="nil"/>
            </w:tcBorders>
            <w:shd w:val="clear" w:color="auto" w:fill="auto"/>
            <w:vAlign w:val="center"/>
            <w:hideMark/>
          </w:tcPr>
          <w:p w:rsidR="00EF0A17" w:rsidRPr="00EF0A17" w:rsidRDefault="00EF0A17" w:rsidP="00EF0A17">
            <w:pPr>
              <w:jc w:val="center"/>
              <w:rPr>
                <w:rFonts w:ascii="Arial" w:hAnsi="Arial" w:cs="Arial"/>
                <w:color w:val="000000"/>
                <w:sz w:val="16"/>
                <w:szCs w:val="16"/>
                <w:lang w:val="es-MX" w:eastAsia="es-MX"/>
              </w:rPr>
            </w:pPr>
            <w:r w:rsidRPr="00EF0A17">
              <w:rPr>
                <w:rFonts w:ascii="Arial" w:hAnsi="Arial" w:cs="Arial"/>
                <w:color w:val="000000"/>
                <w:sz w:val="16"/>
                <w:szCs w:val="16"/>
                <w:lang w:val="es-MX" w:eastAsia="es-MX"/>
              </w:rPr>
              <w:t>PRESUPUESTO DE EGRESOS 2015</w:t>
            </w:r>
          </w:p>
        </w:tc>
      </w:tr>
      <w:tr w:rsidR="00EF0A17" w:rsidRPr="00EF0A17" w:rsidTr="00EF0A17">
        <w:trPr>
          <w:trHeight w:val="225"/>
        </w:trPr>
        <w:tc>
          <w:tcPr>
            <w:tcW w:w="9395" w:type="dxa"/>
            <w:gridSpan w:val="7"/>
            <w:tcBorders>
              <w:top w:val="nil"/>
              <w:left w:val="nil"/>
              <w:bottom w:val="nil"/>
              <w:right w:val="nil"/>
            </w:tcBorders>
            <w:shd w:val="clear" w:color="auto" w:fill="auto"/>
            <w:vAlign w:val="center"/>
            <w:hideMark/>
          </w:tcPr>
          <w:p w:rsidR="00EF0A17" w:rsidRPr="00EF0A17" w:rsidRDefault="00EF0A17" w:rsidP="00EF0A17">
            <w:pPr>
              <w:jc w:val="center"/>
              <w:rPr>
                <w:rFonts w:ascii="Arial" w:hAnsi="Arial" w:cs="Arial"/>
                <w:color w:val="000000"/>
                <w:sz w:val="16"/>
                <w:szCs w:val="16"/>
                <w:lang w:val="es-MX" w:eastAsia="es-MX"/>
              </w:rPr>
            </w:pPr>
            <w:r w:rsidRPr="00EF0A17">
              <w:rPr>
                <w:rFonts w:ascii="Arial" w:hAnsi="Arial" w:cs="Arial"/>
                <w:color w:val="000000"/>
                <w:sz w:val="16"/>
                <w:szCs w:val="16"/>
                <w:lang w:val="es-MX" w:eastAsia="es-MX"/>
              </w:rPr>
              <w:t>CLASIFICACIÓN ADMINISTRATIVA</w:t>
            </w:r>
          </w:p>
        </w:tc>
      </w:tr>
      <w:tr w:rsidR="00EF0A17" w:rsidRPr="00EF0A17" w:rsidTr="00EF0A17">
        <w:trPr>
          <w:trHeight w:val="225"/>
        </w:trPr>
        <w:tc>
          <w:tcPr>
            <w:tcW w:w="9395" w:type="dxa"/>
            <w:gridSpan w:val="7"/>
            <w:tcBorders>
              <w:top w:val="nil"/>
              <w:left w:val="nil"/>
              <w:bottom w:val="nil"/>
              <w:right w:val="nil"/>
            </w:tcBorders>
            <w:shd w:val="clear" w:color="auto" w:fill="auto"/>
            <w:vAlign w:val="center"/>
            <w:hideMark/>
          </w:tcPr>
          <w:p w:rsidR="00EF0A17" w:rsidRPr="00EF0A17" w:rsidRDefault="00EF0A17" w:rsidP="00EF0A17">
            <w:pPr>
              <w:jc w:val="center"/>
              <w:rPr>
                <w:rFonts w:ascii="Arial" w:hAnsi="Arial" w:cs="Arial"/>
                <w:b/>
                <w:bCs/>
                <w:color w:val="000000"/>
                <w:sz w:val="16"/>
                <w:szCs w:val="16"/>
                <w:lang w:val="es-MX" w:eastAsia="es-MX"/>
              </w:rPr>
            </w:pPr>
            <w:r w:rsidRPr="00EF0A17">
              <w:rPr>
                <w:rFonts w:ascii="Arial" w:hAnsi="Arial" w:cs="Arial"/>
                <w:b/>
                <w:bCs/>
                <w:color w:val="000000"/>
                <w:sz w:val="16"/>
                <w:szCs w:val="16"/>
                <w:lang w:val="es-MX" w:eastAsia="es-MX"/>
              </w:rPr>
              <w:t>CIFRAS A JUNIO</w:t>
            </w:r>
          </w:p>
        </w:tc>
      </w:tr>
      <w:tr w:rsidR="00EF0A17" w:rsidRPr="00EF0A17" w:rsidTr="00EF0A17">
        <w:trPr>
          <w:trHeight w:val="225"/>
        </w:trPr>
        <w:tc>
          <w:tcPr>
            <w:tcW w:w="9395" w:type="dxa"/>
            <w:gridSpan w:val="7"/>
            <w:tcBorders>
              <w:top w:val="nil"/>
              <w:left w:val="nil"/>
              <w:bottom w:val="nil"/>
              <w:right w:val="nil"/>
            </w:tcBorders>
            <w:shd w:val="clear" w:color="auto" w:fill="auto"/>
            <w:noWrap/>
            <w:vAlign w:val="bottom"/>
            <w:hideMark/>
          </w:tcPr>
          <w:p w:rsidR="00EF0A17" w:rsidRPr="00EF0A17" w:rsidRDefault="00EF0A17" w:rsidP="00EF0A17">
            <w:pPr>
              <w:jc w:val="center"/>
              <w:rPr>
                <w:rFonts w:ascii="Arial" w:hAnsi="Arial" w:cs="Arial"/>
                <w:color w:val="000000"/>
                <w:sz w:val="16"/>
                <w:szCs w:val="16"/>
                <w:lang w:val="es-MX" w:eastAsia="es-MX"/>
              </w:rPr>
            </w:pPr>
            <w:r w:rsidRPr="00EF0A17">
              <w:rPr>
                <w:rFonts w:ascii="Arial" w:hAnsi="Arial" w:cs="Arial"/>
                <w:color w:val="000000"/>
                <w:sz w:val="16"/>
                <w:szCs w:val="16"/>
                <w:lang w:val="es-MX" w:eastAsia="es-MX"/>
              </w:rPr>
              <w:t>PESOS</w:t>
            </w:r>
          </w:p>
        </w:tc>
      </w:tr>
      <w:tr w:rsidR="00EF0A17" w:rsidRPr="00EF0A17" w:rsidTr="00EF0A17">
        <w:trPr>
          <w:trHeight w:val="225"/>
        </w:trPr>
        <w:tc>
          <w:tcPr>
            <w:tcW w:w="3402" w:type="dxa"/>
            <w:tcBorders>
              <w:top w:val="nil"/>
              <w:left w:val="nil"/>
              <w:bottom w:val="nil"/>
              <w:right w:val="nil"/>
            </w:tcBorders>
            <w:shd w:val="clear" w:color="auto" w:fill="auto"/>
            <w:noWrap/>
            <w:vAlign w:val="bottom"/>
            <w:hideMark/>
          </w:tcPr>
          <w:p w:rsidR="00EF0A17" w:rsidRPr="00EF0A17" w:rsidRDefault="00EF0A17" w:rsidP="00EF0A17">
            <w:pPr>
              <w:rPr>
                <w:rFonts w:ascii="Arial" w:hAnsi="Arial" w:cs="Arial"/>
                <w:color w:val="000000"/>
                <w:sz w:val="16"/>
                <w:szCs w:val="16"/>
                <w:lang w:val="es-MX" w:eastAsia="es-MX"/>
              </w:rPr>
            </w:pPr>
          </w:p>
        </w:tc>
        <w:tc>
          <w:tcPr>
            <w:tcW w:w="2646" w:type="dxa"/>
            <w:gridSpan w:val="2"/>
            <w:tcBorders>
              <w:top w:val="nil"/>
              <w:left w:val="nil"/>
              <w:bottom w:val="nil"/>
              <w:right w:val="nil"/>
            </w:tcBorders>
            <w:shd w:val="clear" w:color="auto" w:fill="auto"/>
            <w:noWrap/>
            <w:vAlign w:val="bottom"/>
            <w:hideMark/>
          </w:tcPr>
          <w:p w:rsidR="00EF0A17" w:rsidRPr="00EF0A17" w:rsidRDefault="00EF0A17" w:rsidP="00EF0A17">
            <w:pPr>
              <w:rPr>
                <w:rFonts w:ascii="Arial" w:hAnsi="Arial" w:cs="Arial"/>
                <w:color w:val="000000"/>
                <w:sz w:val="16"/>
                <w:szCs w:val="16"/>
                <w:lang w:val="es-MX" w:eastAsia="es-MX"/>
              </w:rPr>
            </w:pPr>
          </w:p>
        </w:tc>
        <w:tc>
          <w:tcPr>
            <w:tcW w:w="389" w:type="dxa"/>
            <w:tcBorders>
              <w:top w:val="nil"/>
              <w:left w:val="nil"/>
              <w:bottom w:val="nil"/>
              <w:right w:val="nil"/>
            </w:tcBorders>
            <w:shd w:val="clear" w:color="auto" w:fill="auto"/>
            <w:noWrap/>
            <w:vAlign w:val="bottom"/>
            <w:hideMark/>
          </w:tcPr>
          <w:p w:rsidR="00EF0A17" w:rsidRPr="00EF0A17" w:rsidRDefault="00EF0A17" w:rsidP="00EF0A17">
            <w:pPr>
              <w:rPr>
                <w:rFonts w:ascii="Arial" w:hAnsi="Arial" w:cs="Arial"/>
                <w:color w:val="000000"/>
                <w:sz w:val="16"/>
                <w:szCs w:val="16"/>
                <w:lang w:val="es-MX" w:eastAsia="es-MX"/>
              </w:rPr>
            </w:pPr>
          </w:p>
        </w:tc>
        <w:tc>
          <w:tcPr>
            <w:tcW w:w="2699" w:type="dxa"/>
            <w:gridSpan w:val="2"/>
            <w:tcBorders>
              <w:top w:val="nil"/>
              <w:left w:val="nil"/>
              <w:bottom w:val="nil"/>
              <w:right w:val="nil"/>
            </w:tcBorders>
            <w:shd w:val="clear" w:color="auto" w:fill="auto"/>
            <w:noWrap/>
            <w:vAlign w:val="bottom"/>
            <w:hideMark/>
          </w:tcPr>
          <w:p w:rsidR="00EF0A17" w:rsidRPr="00EF0A17" w:rsidRDefault="00EF0A17" w:rsidP="00EF0A17">
            <w:pPr>
              <w:rPr>
                <w:rFonts w:ascii="Arial" w:hAnsi="Arial" w:cs="Arial"/>
                <w:color w:val="000000"/>
                <w:sz w:val="16"/>
                <w:szCs w:val="16"/>
                <w:lang w:val="es-MX" w:eastAsia="es-MX"/>
              </w:rPr>
            </w:pPr>
          </w:p>
        </w:tc>
        <w:tc>
          <w:tcPr>
            <w:tcW w:w="259" w:type="dxa"/>
            <w:tcBorders>
              <w:top w:val="nil"/>
              <w:left w:val="nil"/>
              <w:bottom w:val="nil"/>
              <w:right w:val="nil"/>
            </w:tcBorders>
            <w:shd w:val="clear" w:color="auto" w:fill="auto"/>
            <w:noWrap/>
            <w:vAlign w:val="bottom"/>
            <w:hideMark/>
          </w:tcPr>
          <w:p w:rsidR="00EF0A17" w:rsidRPr="00EF0A17" w:rsidRDefault="00EF0A17" w:rsidP="00EF0A17">
            <w:pPr>
              <w:rPr>
                <w:rFonts w:ascii="Arial" w:hAnsi="Arial" w:cs="Arial"/>
                <w:color w:val="000000"/>
                <w:sz w:val="16"/>
                <w:szCs w:val="16"/>
                <w:lang w:val="es-MX" w:eastAsia="es-MX"/>
              </w:rPr>
            </w:pPr>
          </w:p>
        </w:tc>
      </w:tr>
      <w:tr w:rsidR="00EF0A17" w:rsidRPr="00EF0A17" w:rsidTr="00EF0A17">
        <w:trPr>
          <w:trHeight w:val="225"/>
        </w:trPr>
        <w:tc>
          <w:tcPr>
            <w:tcW w:w="3402" w:type="dxa"/>
            <w:vMerge w:val="restart"/>
            <w:tcBorders>
              <w:top w:val="single" w:sz="4" w:space="0" w:color="FFFFFF"/>
              <w:left w:val="single" w:sz="4" w:space="0" w:color="FFFFFF"/>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 xml:space="preserve">Clasificación </w:t>
            </w:r>
            <w:proofErr w:type="spellStart"/>
            <w:r w:rsidRPr="00EF0A17">
              <w:rPr>
                <w:rFonts w:ascii="Arial" w:hAnsi="Arial" w:cs="Arial"/>
                <w:b/>
                <w:bCs/>
                <w:color w:val="FFFFFF"/>
                <w:sz w:val="16"/>
                <w:szCs w:val="16"/>
                <w:lang w:val="es-MX" w:eastAsia="es-MX"/>
              </w:rPr>
              <w:t>Admistrativa</w:t>
            </w:r>
            <w:proofErr w:type="spellEnd"/>
          </w:p>
        </w:tc>
        <w:tc>
          <w:tcPr>
            <w:tcW w:w="3035" w:type="dxa"/>
            <w:gridSpan w:val="3"/>
            <w:tcBorders>
              <w:top w:val="single" w:sz="4" w:space="0" w:color="FFFFFF"/>
              <w:left w:val="nil"/>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2014</w:t>
            </w:r>
          </w:p>
        </w:tc>
        <w:tc>
          <w:tcPr>
            <w:tcW w:w="2958" w:type="dxa"/>
            <w:gridSpan w:val="3"/>
            <w:tcBorders>
              <w:top w:val="single" w:sz="4" w:space="0" w:color="FFFFFF"/>
              <w:left w:val="nil"/>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2015</w:t>
            </w:r>
          </w:p>
        </w:tc>
      </w:tr>
      <w:tr w:rsidR="00EF0A17" w:rsidRPr="00EF0A17" w:rsidTr="00EF0A17">
        <w:trPr>
          <w:trHeight w:val="345"/>
        </w:trPr>
        <w:tc>
          <w:tcPr>
            <w:tcW w:w="3402" w:type="dxa"/>
            <w:vMerge/>
            <w:tcBorders>
              <w:top w:val="single" w:sz="4" w:space="0" w:color="FFFFFF"/>
              <w:left w:val="single" w:sz="4" w:space="0" w:color="FFFFFF"/>
              <w:bottom w:val="single" w:sz="4" w:space="0" w:color="FFFFFF"/>
              <w:right w:val="single" w:sz="4" w:space="0" w:color="FFFFFF"/>
            </w:tcBorders>
            <w:vAlign w:val="center"/>
            <w:hideMark/>
          </w:tcPr>
          <w:p w:rsidR="00EF0A17" w:rsidRPr="00EF0A17" w:rsidRDefault="00EF0A17" w:rsidP="00EF0A17">
            <w:pPr>
              <w:rPr>
                <w:rFonts w:ascii="Arial" w:hAnsi="Arial" w:cs="Arial"/>
                <w:b/>
                <w:bCs/>
                <w:color w:val="FFFFFF"/>
                <w:sz w:val="16"/>
                <w:szCs w:val="16"/>
                <w:lang w:val="es-MX" w:eastAsia="es-MX"/>
              </w:rPr>
            </w:pPr>
          </w:p>
        </w:tc>
        <w:tc>
          <w:tcPr>
            <w:tcW w:w="1560" w:type="dxa"/>
            <w:tcBorders>
              <w:top w:val="nil"/>
              <w:left w:val="nil"/>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Aprobado</w:t>
            </w:r>
          </w:p>
        </w:tc>
        <w:tc>
          <w:tcPr>
            <w:tcW w:w="1475" w:type="dxa"/>
            <w:gridSpan w:val="2"/>
            <w:tcBorders>
              <w:top w:val="single" w:sz="4" w:space="0" w:color="FFFFFF"/>
              <w:left w:val="single" w:sz="4" w:space="0" w:color="FFFFFF"/>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Ejercido junio</w:t>
            </w:r>
          </w:p>
        </w:tc>
        <w:tc>
          <w:tcPr>
            <w:tcW w:w="1475" w:type="dxa"/>
            <w:tcBorders>
              <w:top w:val="nil"/>
              <w:left w:val="single" w:sz="4" w:space="0" w:color="FFFFFF"/>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Aprobado</w:t>
            </w:r>
          </w:p>
        </w:tc>
        <w:tc>
          <w:tcPr>
            <w:tcW w:w="1483" w:type="dxa"/>
            <w:gridSpan w:val="2"/>
            <w:tcBorders>
              <w:top w:val="single" w:sz="4" w:space="0" w:color="FFFFFF"/>
              <w:left w:val="single" w:sz="4" w:space="0" w:color="FFFFFF"/>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Ejercido junio</w:t>
            </w:r>
          </w:p>
        </w:tc>
      </w:tr>
      <w:tr w:rsidR="00EF0A17" w:rsidRPr="00EF0A17" w:rsidTr="00EF0A17">
        <w:trPr>
          <w:trHeight w:val="375"/>
        </w:trPr>
        <w:tc>
          <w:tcPr>
            <w:tcW w:w="3402" w:type="dxa"/>
            <w:tcBorders>
              <w:top w:val="nil"/>
              <w:left w:val="single" w:sz="4" w:space="0" w:color="FFFFFF"/>
              <w:bottom w:val="nil"/>
              <w:right w:val="single" w:sz="4" w:space="0" w:color="FFFFFF"/>
            </w:tcBorders>
            <w:shd w:val="clear" w:color="000000" w:fill="808000"/>
            <w:noWrap/>
            <w:vAlign w:val="center"/>
            <w:hideMark/>
          </w:tcPr>
          <w:p w:rsidR="00EF0A17" w:rsidRPr="00EF0A17" w:rsidRDefault="00EF0A17" w:rsidP="00EF0A17">
            <w:pPr>
              <w:jc w:val="right"/>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 xml:space="preserve">TOTAL GENERAL </w:t>
            </w:r>
          </w:p>
        </w:tc>
        <w:tc>
          <w:tcPr>
            <w:tcW w:w="1560" w:type="dxa"/>
            <w:tcBorders>
              <w:top w:val="nil"/>
              <w:left w:val="nil"/>
              <w:bottom w:val="nil"/>
              <w:right w:val="single" w:sz="4" w:space="0" w:color="FFFFFF"/>
            </w:tcBorders>
            <w:shd w:val="clear" w:color="000000" w:fill="808000"/>
            <w:noWrap/>
            <w:vAlign w:val="center"/>
            <w:hideMark/>
          </w:tcPr>
          <w:p w:rsidR="00EF0A17" w:rsidRPr="00EF0A17" w:rsidRDefault="00EF0A17" w:rsidP="00EF0A17">
            <w:pPr>
              <w:jc w:val="right"/>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 xml:space="preserve">51,730,870,669.00 </w:t>
            </w:r>
          </w:p>
        </w:tc>
        <w:tc>
          <w:tcPr>
            <w:tcW w:w="1475" w:type="dxa"/>
            <w:gridSpan w:val="2"/>
            <w:tcBorders>
              <w:top w:val="single" w:sz="4" w:space="0" w:color="FFFFFF"/>
              <w:left w:val="nil"/>
              <w:bottom w:val="nil"/>
              <w:right w:val="single" w:sz="4" w:space="0" w:color="FFFFFF"/>
            </w:tcBorders>
            <w:shd w:val="clear" w:color="000000" w:fill="808000"/>
            <w:noWrap/>
            <w:vAlign w:val="center"/>
            <w:hideMark/>
          </w:tcPr>
          <w:p w:rsidR="00EF0A17" w:rsidRPr="00EF0A17" w:rsidRDefault="00EF0A17" w:rsidP="00EF0A17">
            <w:pPr>
              <w:jc w:val="right"/>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 xml:space="preserve">30,238,217,289.62 </w:t>
            </w:r>
          </w:p>
        </w:tc>
        <w:tc>
          <w:tcPr>
            <w:tcW w:w="1475" w:type="dxa"/>
            <w:tcBorders>
              <w:top w:val="nil"/>
              <w:left w:val="nil"/>
              <w:bottom w:val="nil"/>
              <w:right w:val="single" w:sz="4" w:space="0" w:color="FFFFFF"/>
            </w:tcBorders>
            <w:shd w:val="clear" w:color="000000" w:fill="808000"/>
            <w:noWrap/>
            <w:vAlign w:val="center"/>
            <w:hideMark/>
          </w:tcPr>
          <w:p w:rsidR="00EF0A17" w:rsidRPr="00EF0A17" w:rsidRDefault="00EF0A17" w:rsidP="00EF0A17">
            <w:pPr>
              <w:jc w:val="right"/>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 xml:space="preserve">57,182,209,034.00 </w:t>
            </w:r>
          </w:p>
        </w:tc>
        <w:tc>
          <w:tcPr>
            <w:tcW w:w="1483" w:type="dxa"/>
            <w:gridSpan w:val="2"/>
            <w:tcBorders>
              <w:top w:val="single" w:sz="4" w:space="0" w:color="FFFFFF"/>
              <w:left w:val="nil"/>
              <w:bottom w:val="nil"/>
              <w:right w:val="single" w:sz="4" w:space="0" w:color="FFFFFF"/>
            </w:tcBorders>
            <w:shd w:val="clear" w:color="000000" w:fill="808000"/>
            <w:noWrap/>
            <w:vAlign w:val="center"/>
            <w:hideMark/>
          </w:tcPr>
          <w:p w:rsidR="00EF0A17" w:rsidRPr="00EF0A17" w:rsidRDefault="00EF0A17" w:rsidP="00EF0A17">
            <w:pPr>
              <w:jc w:val="right"/>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 xml:space="preserve">20,404,140,961.68 </w:t>
            </w:r>
          </w:p>
        </w:tc>
      </w:tr>
      <w:tr w:rsidR="00EF0A17" w:rsidRPr="00EF0A17" w:rsidTr="00EF0A17">
        <w:trPr>
          <w:trHeight w:val="522"/>
        </w:trPr>
        <w:tc>
          <w:tcPr>
            <w:tcW w:w="3402" w:type="dxa"/>
            <w:tcBorders>
              <w:top w:val="single" w:sz="4" w:space="0" w:color="auto"/>
              <w:left w:val="single" w:sz="4" w:space="0" w:color="auto"/>
              <w:bottom w:val="single" w:sz="4" w:space="0" w:color="auto"/>
              <w:right w:val="single" w:sz="4" w:space="0" w:color="auto"/>
            </w:tcBorders>
            <w:shd w:val="clear" w:color="000000" w:fill="FFDA65"/>
            <w:noWrap/>
            <w:vAlign w:val="center"/>
            <w:hideMark/>
          </w:tcPr>
          <w:p w:rsidR="00EF0A17" w:rsidRPr="00EF0A17" w:rsidRDefault="00EF0A17" w:rsidP="00EF0A17">
            <w:pPr>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PODER LEGISLATIVO</w:t>
            </w:r>
          </w:p>
        </w:tc>
        <w:tc>
          <w:tcPr>
            <w:tcW w:w="1560" w:type="dxa"/>
            <w:tcBorders>
              <w:top w:val="single" w:sz="4" w:space="0" w:color="auto"/>
              <w:left w:val="nil"/>
              <w:bottom w:val="single" w:sz="4" w:space="0" w:color="auto"/>
              <w:right w:val="single" w:sz="4" w:space="0" w:color="auto"/>
            </w:tcBorders>
            <w:shd w:val="clear" w:color="000000" w:fill="FFDA65"/>
            <w:noWrap/>
            <w:vAlign w:val="center"/>
            <w:hideMark/>
          </w:tcPr>
          <w:p w:rsidR="00EF0A17" w:rsidRPr="00EF0A17" w:rsidRDefault="00EF0A17" w:rsidP="00EF0A17">
            <w:pPr>
              <w:jc w:val="right"/>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 xml:space="preserve">389,077,072.24 </w:t>
            </w:r>
          </w:p>
        </w:tc>
        <w:tc>
          <w:tcPr>
            <w:tcW w:w="1475" w:type="dxa"/>
            <w:gridSpan w:val="2"/>
            <w:tcBorders>
              <w:top w:val="single" w:sz="4" w:space="0" w:color="auto"/>
              <w:left w:val="nil"/>
              <w:bottom w:val="single" w:sz="4" w:space="0" w:color="auto"/>
              <w:right w:val="single" w:sz="4" w:space="0" w:color="auto"/>
            </w:tcBorders>
            <w:shd w:val="clear" w:color="000000" w:fill="FFDA65"/>
            <w:noWrap/>
            <w:vAlign w:val="center"/>
            <w:hideMark/>
          </w:tcPr>
          <w:p w:rsidR="00EF0A17" w:rsidRPr="00EF0A17" w:rsidRDefault="00EF0A17" w:rsidP="00EF0A17">
            <w:pPr>
              <w:jc w:val="right"/>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 xml:space="preserve">371,329,683.30 </w:t>
            </w:r>
          </w:p>
        </w:tc>
        <w:tc>
          <w:tcPr>
            <w:tcW w:w="1475" w:type="dxa"/>
            <w:tcBorders>
              <w:top w:val="single" w:sz="4" w:space="0" w:color="auto"/>
              <w:left w:val="nil"/>
              <w:bottom w:val="single" w:sz="4" w:space="0" w:color="auto"/>
              <w:right w:val="single" w:sz="4" w:space="0" w:color="auto"/>
            </w:tcBorders>
            <w:shd w:val="clear" w:color="000000" w:fill="FFDA65"/>
            <w:noWrap/>
            <w:vAlign w:val="center"/>
            <w:hideMark/>
          </w:tcPr>
          <w:p w:rsidR="00EF0A17" w:rsidRPr="00EF0A17" w:rsidRDefault="00EF0A17" w:rsidP="00EF0A17">
            <w:pPr>
              <w:jc w:val="right"/>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 xml:space="preserve">678,000,000.00 </w:t>
            </w:r>
          </w:p>
        </w:tc>
        <w:tc>
          <w:tcPr>
            <w:tcW w:w="1483" w:type="dxa"/>
            <w:gridSpan w:val="2"/>
            <w:tcBorders>
              <w:top w:val="single" w:sz="4" w:space="0" w:color="auto"/>
              <w:left w:val="nil"/>
              <w:bottom w:val="single" w:sz="4" w:space="0" w:color="auto"/>
              <w:right w:val="single" w:sz="4" w:space="0" w:color="auto"/>
            </w:tcBorders>
            <w:shd w:val="clear" w:color="000000" w:fill="FFDA65"/>
            <w:noWrap/>
            <w:vAlign w:val="center"/>
            <w:hideMark/>
          </w:tcPr>
          <w:p w:rsidR="00EF0A17" w:rsidRPr="00EF0A17" w:rsidRDefault="00EF0A17" w:rsidP="00EF0A17">
            <w:pPr>
              <w:jc w:val="right"/>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 xml:space="preserve">383,567,400.11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CONGRESO DEL ESTADO</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329,990,255.71 </w:t>
            </w:r>
          </w:p>
        </w:tc>
        <w:tc>
          <w:tcPr>
            <w:tcW w:w="1475" w:type="dxa"/>
            <w:gridSpan w:val="2"/>
            <w:tcBorders>
              <w:top w:val="single" w:sz="4" w:space="0" w:color="auto"/>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338,981,174.10 </w:t>
            </w:r>
          </w:p>
        </w:tc>
        <w:tc>
          <w:tcPr>
            <w:tcW w:w="1475" w:type="dxa"/>
            <w:tcBorders>
              <w:top w:val="single" w:sz="4" w:space="0" w:color="auto"/>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605,000,000.00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343,835,376.44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AUDITORIA SUPERIOR DEL ESTADO DE OAXACA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59,086,816.53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32,348,509.20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73,000,000.00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39,732,023.67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000000" w:fill="FFDA65"/>
            <w:noWrap/>
            <w:vAlign w:val="center"/>
            <w:hideMark/>
          </w:tcPr>
          <w:p w:rsidR="00EF0A17" w:rsidRPr="00EF0A17" w:rsidRDefault="00EF0A17" w:rsidP="00EF0A17">
            <w:pPr>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PODER JUDICIAL</w:t>
            </w:r>
          </w:p>
        </w:tc>
        <w:tc>
          <w:tcPr>
            <w:tcW w:w="1560" w:type="dxa"/>
            <w:tcBorders>
              <w:top w:val="nil"/>
              <w:left w:val="single" w:sz="4" w:space="0" w:color="auto"/>
              <w:bottom w:val="single" w:sz="4" w:space="0" w:color="auto"/>
              <w:right w:val="single" w:sz="4" w:space="0" w:color="auto"/>
            </w:tcBorders>
            <w:shd w:val="clear" w:color="000000" w:fill="FFDA65"/>
            <w:noWrap/>
            <w:vAlign w:val="center"/>
            <w:hideMark/>
          </w:tcPr>
          <w:p w:rsidR="00EF0A17" w:rsidRPr="00EF0A17" w:rsidRDefault="00EF0A17" w:rsidP="00EF0A17">
            <w:pPr>
              <w:jc w:val="right"/>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670,150,109.67</w:t>
            </w:r>
          </w:p>
        </w:tc>
        <w:tc>
          <w:tcPr>
            <w:tcW w:w="1475" w:type="dxa"/>
            <w:gridSpan w:val="2"/>
            <w:tcBorders>
              <w:top w:val="nil"/>
              <w:left w:val="nil"/>
              <w:bottom w:val="single" w:sz="4" w:space="0" w:color="auto"/>
              <w:right w:val="single" w:sz="4" w:space="0" w:color="auto"/>
            </w:tcBorders>
            <w:shd w:val="clear" w:color="000000" w:fill="FFDA65"/>
            <w:noWrap/>
            <w:vAlign w:val="center"/>
            <w:hideMark/>
          </w:tcPr>
          <w:p w:rsidR="00EF0A17" w:rsidRPr="00EF0A17" w:rsidRDefault="00EF0A17" w:rsidP="00EF0A17">
            <w:pPr>
              <w:jc w:val="right"/>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335,556,586.86</w:t>
            </w:r>
          </w:p>
        </w:tc>
        <w:tc>
          <w:tcPr>
            <w:tcW w:w="1475" w:type="dxa"/>
            <w:tcBorders>
              <w:top w:val="nil"/>
              <w:left w:val="nil"/>
              <w:bottom w:val="single" w:sz="4" w:space="0" w:color="auto"/>
              <w:right w:val="single" w:sz="4" w:space="0" w:color="auto"/>
            </w:tcBorders>
            <w:shd w:val="clear" w:color="000000" w:fill="FFDA65"/>
            <w:noWrap/>
            <w:vAlign w:val="center"/>
            <w:hideMark/>
          </w:tcPr>
          <w:p w:rsidR="00EF0A17" w:rsidRPr="00EF0A17" w:rsidRDefault="00EF0A17" w:rsidP="00EF0A17">
            <w:pPr>
              <w:jc w:val="right"/>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 xml:space="preserve">687,421,913.00 </w:t>
            </w:r>
          </w:p>
        </w:tc>
        <w:tc>
          <w:tcPr>
            <w:tcW w:w="1483" w:type="dxa"/>
            <w:gridSpan w:val="2"/>
            <w:tcBorders>
              <w:top w:val="nil"/>
              <w:left w:val="single" w:sz="4" w:space="0" w:color="auto"/>
              <w:bottom w:val="single" w:sz="4" w:space="0" w:color="auto"/>
              <w:right w:val="single" w:sz="4" w:space="0" w:color="auto"/>
            </w:tcBorders>
            <w:shd w:val="clear" w:color="000000" w:fill="FFDA65"/>
            <w:noWrap/>
            <w:vAlign w:val="center"/>
            <w:hideMark/>
          </w:tcPr>
          <w:p w:rsidR="00EF0A17" w:rsidRPr="00EF0A17" w:rsidRDefault="00EF0A17" w:rsidP="00EF0A17">
            <w:pPr>
              <w:jc w:val="right"/>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365,301,548.62</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TRIBUNAL SUPERIOR DE JUSTICIA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151,835,327.70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67,080,168.89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154,260,265.00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74,138,787.10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CONSEJO DE LA JUDICATURA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518,314,781.97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268,476,417.97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533,161,648.00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291,162,761.52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000000" w:fill="FFDA65"/>
            <w:noWrap/>
            <w:vAlign w:val="center"/>
            <w:hideMark/>
          </w:tcPr>
          <w:p w:rsidR="00EF0A17" w:rsidRPr="00EF0A17" w:rsidRDefault="00EF0A17" w:rsidP="00EF0A17">
            <w:pPr>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ADMINISTRACIÓN PUBLICA CENTRALIZADA</w:t>
            </w:r>
          </w:p>
        </w:tc>
        <w:tc>
          <w:tcPr>
            <w:tcW w:w="1560" w:type="dxa"/>
            <w:tcBorders>
              <w:top w:val="nil"/>
              <w:left w:val="single" w:sz="4" w:space="0" w:color="auto"/>
              <w:bottom w:val="single" w:sz="4" w:space="0" w:color="auto"/>
              <w:right w:val="single" w:sz="4" w:space="0" w:color="auto"/>
            </w:tcBorders>
            <w:shd w:val="clear" w:color="000000" w:fill="FFDA65"/>
            <w:noWrap/>
            <w:vAlign w:val="center"/>
            <w:hideMark/>
          </w:tcPr>
          <w:p w:rsidR="00EF0A17" w:rsidRPr="00EF0A17" w:rsidRDefault="00EF0A17" w:rsidP="00EF0A17">
            <w:pPr>
              <w:jc w:val="right"/>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17,259,552,942.86</w:t>
            </w:r>
          </w:p>
        </w:tc>
        <w:tc>
          <w:tcPr>
            <w:tcW w:w="1475" w:type="dxa"/>
            <w:gridSpan w:val="2"/>
            <w:tcBorders>
              <w:top w:val="nil"/>
              <w:left w:val="nil"/>
              <w:bottom w:val="single" w:sz="4" w:space="0" w:color="auto"/>
              <w:right w:val="single" w:sz="4" w:space="0" w:color="auto"/>
            </w:tcBorders>
            <w:shd w:val="clear" w:color="000000" w:fill="FFDA65"/>
            <w:noWrap/>
            <w:vAlign w:val="center"/>
            <w:hideMark/>
          </w:tcPr>
          <w:p w:rsidR="00EF0A17" w:rsidRPr="00EF0A17" w:rsidRDefault="00EF0A17" w:rsidP="00EF0A17">
            <w:pPr>
              <w:jc w:val="right"/>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5,739,887,595.43</w:t>
            </w:r>
          </w:p>
        </w:tc>
        <w:tc>
          <w:tcPr>
            <w:tcW w:w="1475" w:type="dxa"/>
            <w:tcBorders>
              <w:top w:val="nil"/>
              <w:left w:val="nil"/>
              <w:bottom w:val="single" w:sz="4" w:space="0" w:color="auto"/>
              <w:right w:val="single" w:sz="4" w:space="0" w:color="auto"/>
            </w:tcBorders>
            <w:shd w:val="clear" w:color="000000" w:fill="FFDA65"/>
            <w:noWrap/>
            <w:vAlign w:val="center"/>
            <w:hideMark/>
          </w:tcPr>
          <w:p w:rsidR="00EF0A17" w:rsidRPr="00EF0A17" w:rsidRDefault="00EF0A17" w:rsidP="00EF0A17">
            <w:pPr>
              <w:jc w:val="right"/>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 xml:space="preserve">18,501,050,950.07 </w:t>
            </w:r>
          </w:p>
        </w:tc>
        <w:tc>
          <w:tcPr>
            <w:tcW w:w="1483" w:type="dxa"/>
            <w:gridSpan w:val="2"/>
            <w:tcBorders>
              <w:top w:val="nil"/>
              <w:left w:val="single" w:sz="4" w:space="0" w:color="auto"/>
              <w:bottom w:val="single" w:sz="4" w:space="0" w:color="auto"/>
              <w:right w:val="single" w:sz="4" w:space="0" w:color="auto"/>
            </w:tcBorders>
            <w:shd w:val="clear" w:color="000000" w:fill="FFDA65"/>
            <w:noWrap/>
            <w:vAlign w:val="center"/>
            <w:hideMark/>
          </w:tcPr>
          <w:p w:rsidR="00EF0A17" w:rsidRPr="00EF0A17" w:rsidRDefault="00EF0A17" w:rsidP="00EF0A17">
            <w:pPr>
              <w:jc w:val="right"/>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6,459,932,949.60</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GUBERNATURA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155,970,374.37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69,377,820.90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135,550,815.50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66,495,415.24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SECRETARIA GENERAL DE GOBIERNO</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340,096,356.72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231,912,773.23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410,228,822.00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259,206,666.65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PROCURADURÍA GENERAL DE JUSTICIA  DEL ESTADO</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595,331,119.45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312,616,514.32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606,236,674.00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323,568,343.76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SECRETARIA DE SEGURIDAD PUBLICA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1,258,694,487.84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725,893,357.84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1,210,074,794.00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720,216,013.04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SECRETARIA DE SALUD</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1,884,917,053.00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1,504,248,873.59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2,180,000,000.00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1,016,373,612.86 </w:t>
            </w:r>
          </w:p>
        </w:tc>
      </w:tr>
      <w:tr w:rsidR="00EF0A17" w:rsidRPr="00EF0A17" w:rsidTr="00EF0A17">
        <w:trPr>
          <w:trHeight w:val="64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SECRETARIA DE LAS INFRAESTRUCTURAS Y EL ORDENAMIENTO TERRITORIAL SUSTENTABLE</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186,296,238.65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546,683,624.20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202,963,362.00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850,093,993.27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SECRETARIA DE TURISMO Y DESARROLLO ECONÓMICO</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158,318,171.11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127,947,906.70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151,881,767.00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148,317,725.53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SECRETARIA DEL TRABAJO</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68,981,034.37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52,173,764.28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94,416,164.00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63,828,790.82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SECRETARIA DE LAS CULTURAS Y ARTES DE OAXACA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126,934,468.64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70,250,303.16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124,706,766.00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90,099,112.38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SECRETARIA DE DESARROLLO SOCIAL Y HUMANO</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146,781,829.84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68,737,065.18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80,912,322.00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23,914,018.23 </w:t>
            </w:r>
          </w:p>
        </w:tc>
      </w:tr>
      <w:tr w:rsidR="00EF0A17" w:rsidRPr="00EF0A17" w:rsidTr="00EF0A17">
        <w:trPr>
          <w:trHeight w:val="225"/>
        </w:trPr>
        <w:tc>
          <w:tcPr>
            <w:tcW w:w="3402" w:type="dxa"/>
            <w:vMerge w:val="restart"/>
            <w:tcBorders>
              <w:top w:val="single" w:sz="4" w:space="0" w:color="FFFFFF"/>
              <w:left w:val="single" w:sz="4" w:space="0" w:color="FFFFFF"/>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lastRenderedPageBreak/>
              <w:t xml:space="preserve">Clasificación </w:t>
            </w:r>
            <w:proofErr w:type="spellStart"/>
            <w:r w:rsidRPr="00EF0A17">
              <w:rPr>
                <w:rFonts w:ascii="Arial" w:hAnsi="Arial" w:cs="Arial"/>
                <w:b/>
                <w:bCs/>
                <w:color w:val="FFFFFF"/>
                <w:sz w:val="16"/>
                <w:szCs w:val="16"/>
                <w:lang w:val="es-MX" w:eastAsia="es-MX"/>
              </w:rPr>
              <w:t>Admistrativa</w:t>
            </w:r>
            <w:proofErr w:type="spellEnd"/>
          </w:p>
        </w:tc>
        <w:tc>
          <w:tcPr>
            <w:tcW w:w="3035" w:type="dxa"/>
            <w:gridSpan w:val="3"/>
            <w:tcBorders>
              <w:top w:val="single" w:sz="4" w:space="0" w:color="FFFFFF"/>
              <w:left w:val="nil"/>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2014</w:t>
            </w:r>
          </w:p>
        </w:tc>
        <w:tc>
          <w:tcPr>
            <w:tcW w:w="2958" w:type="dxa"/>
            <w:gridSpan w:val="3"/>
            <w:tcBorders>
              <w:top w:val="single" w:sz="4" w:space="0" w:color="FFFFFF"/>
              <w:left w:val="nil"/>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2015</w:t>
            </w:r>
          </w:p>
        </w:tc>
      </w:tr>
      <w:tr w:rsidR="00EF0A17" w:rsidRPr="00EF0A17" w:rsidTr="00EF0A17">
        <w:trPr>
          <w:trHeight w:val="345"/>
        </w:trPr>
        <w:tc>
          <w:tcPr>
            <w:tcW w:w="3402" w:type="dxa"/>
            <w:vMerge/>
            <w:tcBorders>
              <w:top w:val="single" w:sz="4" w:space="0" w:color="FFFFFF"/>
              <w:left w:val="single" w:sz="4" w:space="0" w:color="FFFFFF"/>
              <w:bottom w:val="single" w:sz="4" w:space="0" w:color="FFFFFF"/>
              <w:right w:val="single" w:sz="4" w:space="0" w:color="FFFFFF"/>
            </w:tcBorders>
            <w:vAlign w:val="center"/>
            <w:hideMark/>
          </w:tcPr>
          <w:p w:rsidR="00EF0A17" w:rsidRPr="00EF0A17" w:rsidRDefault="00EF0A17" w:rsidP="00EF0A17">
            <w:pPr>
              <w:rPr>
                <w:rFonts w:ascii="Arial" w:hAnsi="Arial" w:cs="Arial"/>
                <w:b/>
                <w:bCs/>
                <w:color w:val="FFFFFF"/>
                <w:sz w:val="16"/>
                <w:szCs w:val="16"/>
                <w:lang w:val="es-MX" w:eastAsia="es-MX"/>
              </w:rPr>
            </w:pPr>
          </w:p>
        </w:tc>
        <w:tc>
          <w:tcPr>
            <w:tcW w:w="1560" w:type="dxa"/>
            <w:tcBorders>
              <w:top w:val="nil"/>
              <w:left w:val="nil"/>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Aprobado</w:t>
            </w:r>
          </w:p>
        </w:tc>
        <w:tc>
          <w:tcPr>
            <w:tcW w:w="1475" w:type="dxa"/>
            <w:gridSpan w:val="2"/>
            <w:tcBorders>
              <w:top w:val="single" w:sz="4" w:space="0" w:color="FFFFFF"/>
              <w:left w:val="single" w:sz="4" w:space="0" w:color="FFFFFF"/>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Ejercido junio</w:t>
            </w:r>
          </w:p>
        </w:tc>
        <w:tc>
          <w:tcPr>
            <w:tcW w:w="1475" w:type="dxa"/>
            <w:tcBorders>
              <w:top w:val="nil"/>
              <w:left w:val="single" w:sz="4" w:space="0" w:color="FFFFFF"/>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Aprobado</w:t>
            </w:r>
          </w:p>
        </w:tc>
        <w:tc>
          <w:tcPr>
            <w:tcW w:w="1483" w:type="dxa"/>
            <w:gridSpan w:val="2"/>
            <w:tcBorders>
              <w:top w:val="single" w:sz="4" w:space="0" w:color="FFFFFF"/>
              <w:left w:val="single" w:sz="4" w:space="0" w:color="FFFFFF"/>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Ejercido junio</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SECRETARIA DE ASUNTOS INDÍGENAS</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84,736,610.47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40,591,359.52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80,465,676.00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40,089,390.74 </w:t>
            </w:r>
          </w:p>
        </w:tc>
      </w:tr>
      <w:tr w:rsidR="00EF0A17" w:rsidRPr="00EF0A17" w:rsidTr="00EF0A17">
        <w:trPr>
          <w:trHeight w:val="67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SECRETARIA DE DESARROLLO AGROPECUARIO, FORESTAL, PESCA Y ACUACULTURA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213,852,962.07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140,856,123.98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203,943,056.00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158,054,504.45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SECRETARIA DE FINANZAS</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401,874,590.49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275,505,409.32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414,017,226.00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271,959,795.14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FONDO DE INVERSIÓN, PREVISIÓN  Y PARI PASSU </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7,826,462,101.87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0.00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8,302,427,832.17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0.00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SECRETARIA DE FINANZAS-NORMATIVA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1,612,696,252.00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558,464,597.74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1,838,665,204.00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1,195,791,153.89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SECRETARIA DE ADMINISTRACIÓN</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1,215,036,944.08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661,943,600.61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1,299,145,976.00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676,160,036.90 </w:t>
            </w:r>
          </w:p>
        </w:tc>
      </w:tr>
      <w:tr w:rsidR="00EF0A17" w:rsidRPr="00EF0A17" w:rsidTr="00EF0A17">
        <w:trPr>
          <w:trHeight w:val="69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SECRETARIA DE ADMINISTRACION-DIRECCION DE RECURSOS HUMANOS</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471,745,513.81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89,203,919.35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530,007,273.50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95,991,173.36 </w:t>
            </w:r>
          </w:p>
        </w:tc>
      </w:tr>
      <w:tr w:rsidR="00EF0A17" w:rsidRPr="00EF0A17" w:rsidTr="00EF0A17">
        <w:trPr>
          <w:trHeight w:val="64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SECRETARIA DE LA CONTRALORÍA Y TRANSPARENCIA GUBERNAMENTAL</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82,090,488.91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60,196,634.46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82,873,590.00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57,505,657.83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JEFATURA DE LA GUBERNATURA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6,305,891.67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10,834,168.78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26,981,474.00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19,309,489.92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COORDINACION GENERAL DE ASUNTOS INTERNACIONALES</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7,487,380.15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0.00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0.00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CONSEJERÍA JURÍDICA DEL GOBIERNO DEL ESTADO</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27,205,386.57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13,618,363.90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26,613,683.98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13,531,565.32 </w:t>
            </w:r>
          </w:p>
        </w:tc>
      </w:tr>
      <w:tr w:rsidR="00EF0A17" w:rsidRPr="00EF0A17" w:rsidTr="00EF0A17">
        <w:trPr>
          <w:trHeight w:val="75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COORDINACIÓN GENERAL DE EDUCACIÓN MEDIA SUPERIOR Y SUPERIOR, CIENCIA Y TECNOLOGÍA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8,507,860.18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6,063,681.58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10,378,488.00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10,634,165.26 </w:t>
            </w:r>
          </w:p>
        </w:tc>
      </w:tr>
      <w:tr w:rsidR="00EF0A17" w:rsidRPr="00EF0A17" w:rsidTr="00EF0A17">
        <w:trPr>
          <w:trHeight w:val="70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REPRESENTACIÓN DEL GOBIERNO DEL ESTADO DE OAXACA EN EL DISTRITO FEDERAL</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7,100,319.90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4,890,310.16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8,825,477.00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4,729,164.13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COORDINACIÓN GENERAL DE COMUNICACIÓN SOCIAL</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273,035,039.98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82,572,400.76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299,793,812.92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88,926,823.04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SECRETARIA DE VIALIDAD Y TRANSPORTE</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89,719,421.72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65,631,422.38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101,394,647.00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85,405,204.76 </w:t>
            </w:r>
          </w:p>
        </w:tc>
      </w:tr>
      <w:tr w:rsidR="00EF0A17" w:rsidRPr="00EF0A17" w:rsidTr="00EF0A17">
        <w:trPr>
          <w:trHeight w:val="73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COORDINACIÓN PARA LA ATENCIÓN DE LOS DERECHOS HUMANOS</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9,375,045.00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3,373,929.20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6,973,183.00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4,452,312.17 </w:t>
            </w:r>
          </w:p>
        </w:tc>
      </w:tr>
      <w:tr w:rsidR="00EF0A17" w:rsidRPr="00EF0A17" w:rsidTr="00EF0A17">
        <w:trPr>
          <w:trHeight w:val="70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COORDINACIÓN GENERAL DEL COMITÉ ESTATAL DE PLANEACIÓN PARA EL DESARROLLO DE OAXACA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0.00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16,299,670.29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71,572,864.00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54,979,496.25 </w:t>
            </w:r>
          </w:p>
        </w:tc>
      </w:tr>
      <w:tr w:rsidR="00EF0A17" w:rsidRPr="00EF0A17" w:rsidTr="00EF0A17">
        <w:trPr>
          <w:trHeight w:val="70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SECRETARIADO EJECUTIVO DEL SISTEMA DE SEGURIDAD PUBLICA</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0</w:t>
            </w:r>
          </w:p>
        </w:tc>
        <w:tc>
          <w:tcPr>
            <w:tcW w:w="1475" w:type="dxa"/>
            <w:gridSpan w:val="2"/>
            <w:tcBorders>
              <w:top w:val="nil"/>
              <w:left w:val="nil"/>
              <w:bottom w:val="single" w:sz="4" w:space="0" w:color="auto"/>
              <w:right w:val="single" w:sz="4" w:space="0" w:color="auto"/>
            </w:tcBorders>
            <w:shd w:val="clear" w:color="auto" w:fill="auto"/>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0</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0.00 </w:t>
            </w:r>
          </w:p>
        </w:tc>
        <w:tc>
          <w:tcPr>
            <w:tcW w:w="1483" w:type="dxa"/>
            <w:gridSpan w:val="2"/>
            <w:tcBorders>
              <w:top w:val="nil"/>
              <w:left w:val="single" w:sz="4" w:space="0" w:color="auto"/>
              <w:bottom w:val="single" w:sz="4" w:space="0" w:color="auto"/>
              <w:right w:val="single" w:sz="4" w:space="0" w:color="auto"/>
            </w:tcBorders>
            <w:shd w:val="clear" w:color="auto" w:fill="auto"/>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120299324.7</w:t>
            </w:r>
          </w:p>
        </w:tc>
      </w:tr>
      <w:tr w:rsidR="00EF0A17" w:rsidRPr="00EF0A17" w:rsidTr="00EF0A17">
        <w:trPr>
          <w:trHeight w:val="225"/>
        </w:trPr>
        <w:tc>
          <w:tcPr>
            <w:tcW w:w="3402" w:type="dxa"/>
            <w:vMerge w:val="restart"/>
            <w:tcBorders>
              <w:top w:val="single" w:sz="4" w:space="0" w:color="FFFFFF"/>
              <w:left w:val="single" w:sz="4" w:space="0" w:color="FFFFFF"/>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lastRenderedPageBreak/>
              <w:t xml:space="preserve">Clasificación </w:t>
            </w:r>
            <w:proofErr w:type="spellStart"/>
            <w:r w:rsidRPr="00EF0A17">
              <w:rPr>
                <w:rFonts w:ascii="Arial" w:hAnsi="Arial" w:cs="Arial"/>
                <w:b/>
                <w:bCs/>
                <w:color w:val="FFFFFF"/>
                <w:sz w:val="16"/>
                <w:szCs w:val="16"/>
                <w:lang w:val="es-MX" w:eastAsia="es-MX"/>
              </w:rPr>
              <w:t>Admistrativa</w:t>
            </w:r>
            <w:proofErr w:type="spellEnd"/>
          </w:p>
        </w:tc>
        <w:tc>
          <w:tcPr>
            <w:tcW w:w="3035" w:type="dxa"/>
            <w:gridSpan w:val="3"/>
            <w:tcBorders>
              <w:top w:val="single" w:sz="4" w:space="0" w:color="FFFFFF"/>
              <w:left w:val="nil"/>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2014</w:t>
            </w:r>
          </w:p>
        </w:tc>
        <w:tc>
          <w:tcPr>
            <w:tcW w:w="2958" w:type="dxa"/>
            <w:gridSpan w:val="3"/>
            <w:tcBorders>
              <w:top w:val="single" w:sz="4" w:space="0" w:color="FFFFFF"/>
              <w:left w:val="nil"/>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2015</w:t>
            </w:r>
          </w:p>
        </w:tc>
      </w:tr>
      <w:tr w:rsidR="00EF0A17" w:rsidRPr="00EF0A17" w:rsidTr="00EF0A17">
        <w:trPr>
          <w:trHeight w:val="345"/>
        </w:trPr>
        <w:tc>
          <w:tcPr>
            <w:tcW w:w="3402" w:type="dxa"/>
            <w:vMerge/>
            <w:tcBorders>
              <w:top w:val="single" w:sz="4" w:space="0" w:color="FFFFFF"/>
              <w:left w:val="single" w:sz="4" w:space="0" w:color="FFFFFF"/>
              <w:bottom w:val="single" w:sz="4" w:space="0" w:color="FFFFFF"/>
              <w:right w:val="single" w:sz="4" w:space="0" w:color="FFFFFF"/>
            </w:tcBorders>
            <w:vAlign w:val="center"/>
            <w:hideMark/>
          </w:tcPr>
          <w:p w:rsidR="00EF0A17" w:rsidRPr="00EF0A17" w:rsidRDefault="00EF0A17" w:rsidP="00EF0A17">
            <w:pPr>
              <w:rPr>
                <w:rFonts w:ascii="Arial" w:hAnsi="Arial" w:cs="Arial"/>
                <w:b/>
                <w:bCs/>
                <w:color w:val="FFFFFF"/>
                <w:sz w:val="16"/>
                <w:szCs w:val="16"/>
                <w:lang w:val="es-MX" w:eastAsia="es-MX"/>
              </w:rPr>
            </w:pPr>
          </w:p>
        </w:tc>
        <w:tc>
          <w:tcPr>
            <w:tcW w:w="1560" w:type="dxa"/>
            <w:tcBorders>
              <w:top w:val="nil"/>
              <w:left w:val="nil"/>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Aprobado</w:t>
            </w:r>
          </w:p>
        </w:tc>
        <w:tc>
          <w:tcPr>
            <w:tcW w:w="1475" w:type="dxa"/>
            <w:gridSpan w:val="2"/>
            <w:tcBorders>
              <w:top w:val="single" w:sz="4" w:space="0" w:color="FFFFFF"/>
              <w:left w:val="single" w:sz="4" w:space="0" w:color="FFFFFF"/>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Ejercido junio</w:t>
            </w:r>
          </w:p>
        </w:tc>
        <w:tc>
          <w:tcPr>
            <w:tcW w:w="1475" w:type="dxa"/>
            <w:tcBorders>
              <w:top w:val="nil"/>
              <w:left w:val="single" w:sz="4" w:space="0" w:color="FFFFFF"/>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Aprobado</w:t>
            </w:r>
          </w:p>
        </w:tc>
        <w:tc>
          <w:tcPr>
            <w:tcW w:w="1483" w:type="dxa"/>
            <w:gridSpan w:val="2"/>
            <w:tcBorders>
              <w:top w:val="single" w:sz="4" w:space="0" w:color="FFFFFF"/>
              <w:left w:val="single" w:sz="4" w:space="0" w:color="FFFFFF"/>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Ejercido junio</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000000" w:fill="FFDA65"/>
            <w:noWrap/>
            <w:vAlign w:val="center"/>
            <w:hideMark/>
          </w:tcPr>
          <w:p w:rsidR="00EF0A17" w:rsidRPr="00EF0A17" w:rsidRDefault="00EF0A17" w:rsidP="00EF0A17">
            <w:pPr>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ORGANISMOS PÚBLICOS DESCENTRALIZADOS</w:t>
            </w:r>
          </w:p>
        </w:tc>
        <w:tc>
          <w:tcPr>
            <w:tcW w:w="1560" w:type="dxa"/>
            <w:tcBorders>
              <w:top w:val="nil"/>
              <w:left w:val="single" w:sz="4" w:space="0" w:color="auto"/>
              <w:bottom w:val="single" w:sz="4" w:space="0" w:color="auto"/>
              <w:right w:val="single" w:sz="4" w:space="0" w:color="auto"/>
            </w:tcBorders>
            <w:shd w:val="clear" w:color="000000" w:fill="FFDA65"/>
            <w:noWrap/>
            <w:vAlign w:val="center"/>
            <w:hideMark/>
          </w:tcPr>
          <w:p w:rsidR="00EF0A17" w:rsidRPr="00EF0A17" w:rsidRDefault="00EF0A17" w:rsidP="00EF0A17">
            <w:pPr>
              <w:jc w:val="right"/>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20,977,327,131.47</w:t>
            </w:r>
          </w:p>
        </w:tc>
        <w:tc>
          <w:tcPr>
            <w:tcW w:w="1475" w:type="dxa"/>
            <w:gridSpan w:val="2"/>
            <w:tcBorders>
              <w:top w:val="nil"/>
              <w:left w:val="nil"/>
              <w:bottom w:val="single" w:sz="4" w:space="0" w:color="auto"/>
              <w:right w:val="single" w:sz="4" w:space="0" w:color="auto"/>
            </w:tcBorders>
            <w:shd w:val="clear" w:color="000000" w:fill="FFDA65"/>
            <w:noWrap/>
            <w:vAlign w:val="center"/>
            <w:hideMark/>
          </w:tcPr>
          <w:p w:rsidR="00EF0A17" w:rsidRPr="00EF0A17" w:rsidRDefault="00EF0A17" w:rsidP="00EF0A17">
            <w:pPr>
              <w:jc w:val="right"/>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16,410,804,613.36</w:t>
            </w:r>
          </w:p>
        </w:tc>
        <w:tc>
          <w:tcPr>
            <w:tcW w:w="1475" w:type="dxa"/>
            <w:tcBorders>
              <w:top w:val="nil"/>
              <w:left w:val="nil"/>
              <w:bottom w:val="single" w:sz="4" w:space="0" w:color="auto"/>
              <w:right w:val="single" w:sz="4" w:space="0" w:color="auto"/>
            </w:tcBorders>
            <w:shd w:val="clear" w:color="000000" w:fill="FFDA65"/>
            <w:noWrap/>
            <w:vAlign w:val="center"/>
            <w:hideMark/>
          </w:tcPr>
          <w:p w:rsidR="00EF0A17" w:rsidRPr="00EF0A17" w:rsidRDefault="00EF0A17" w:rsidP="00EF0A17">
            <w:pPr>
              <w:jc w:val="right"/>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25,056,004,748.77</w:t>
            </w:r>
          </w:p>
        </w:tc>
        <w:tc>
          <w:tcPr>
            <w:tcW w:w="1483" w:type="dxa"/>
            <w:gridSpan w:val="2"/>
            <w:tcBorders>
              <w:top w:val="nil"/>
              <w:left w:val="single" w:sz="4" w:space="0" w:color="auto"/>
              <w:bottom w:val="single" w:sz="4" w:space="0" w:color="auto"/>
              <w:right w:val="single" w:sz="4" w:space="0" w:color="auto"/>
            </w:tcBorders>
            <w:shd w:val="clear" w:color="000000" w:fill="FFDA65"/>
            <w:noWrap/>
            <w:vAlign w:val="center"/>
            <w:hideMark/>
          </w:tcPr>
          <w:p w:rsidR="00EF0A17" w:rsidRPr="00EF0A17" w:rsidRDefault="00EF0A17" w:rsidP="00EF0A17">
            <w:pPr>
              <w:jc w:val="right"/>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5,352,415,552.39</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CAMINOS Y AEROPISTAS DE OAXACA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174,849,780.32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436,826,805.65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172,668,421.00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572,746,009.53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CASA DE LA CULTURA OAXAQUEÑA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23,005,234.71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12,498,558.35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21,788,142.00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12,136,482.77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CENTRO DE DISEÑO DE OAXACA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8,451,394.80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3,471,232.14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7,029,442.00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8,274,718.78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CENTRO DE LAS ARTES DE SAN AGUSTÍN</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5,280,884.64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3,635,629.73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5,478,540.00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3,866,178.34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CENTRO SUPERIOR DE ESTUDIOS TECNOLOGICOS DE TEPOSCOLULA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784,662.00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0.00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0.00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COLEGIO DE BACHILLERES DEL ESTADO DE OAXACA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780,847,002.21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497,216,689.09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941,998,331.00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456,645,535.21</w:t>
            </w:r>
          </w:p>
        </w:tc>
      </w:tr>
      <w:tr w:rsidR="00EF0A17" w:rsidRPr="00EF0A17" w:rsidTr="00EF0A17">
        <w:trPr>
          <w:trHeight w:val="70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COLEGIO DE ESTUDIOS CIENTÍFICOS Y TECNOLÓGICOS DEL ESTADO DE OAXACA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548,713,409.19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252,052,446.71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629,302,056.00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272,386,743.07</w:t>
            </w:r>
          </w:p>
        </w:tc>
      </w:tr>
      <w:tr w:rsidR="00EF0A17" w:rsidRPr="00EF0A17" w:rsidTr="00EF0A17">
        <w:trPr>
          <w:trHeight w:val="64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COLEGIO SUPERIOR PARA LA EDUCACIÓN INTEGRAL INTERCULTURAL DE OAXACA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95,716,584.01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46,938,699.34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105,425,010.00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49,684,549.63</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COMISIÓN ESTATAL DE CULTURA FÍSICA Y DEPORTE</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36,172,434.92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21,570,173.28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40,757,123.00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22,656,081.53</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COMISIÓN ESTATAL DE VIVIENDA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67,673,746.99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100,539,279.48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66,851,040.00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53,548,625.62</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COMISIÓN ESTATAL DEL AGUA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211,526,161.87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261,106,707.89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207,864,937.00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308,651,692.00</w:t>
            </w:r>
          </w:p>
        </w:tc>
      </w:tr>
      <w:tr w:rsidR="00EF0A17" w:rsidRPr="00EF0A17" w:rsidTr="00EF0A17">
        <w:trPr>
          <w:trHeight w:val="72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COMISIÓN ESTATAL PARA LA PLANEACIÓN Y LA PROGRAMACIÓN DE LA EDUCACIÓN MEDIA SUPERIOR</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1,790,612.24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975,333.40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1,682,025.00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772,123.86</w:t>
            </w:r>
          </w:p>
        </w:tc>
      </w:tr>
      <w:tr w:rsidR="00EF0A17" w:rsidRPr="00EF0A17" w:rsidTr="00EF0A17">
        <w:trPr>
          <w:trHeight w:val="67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COMISIÓN ESTATAL PARA LA PLANEACIÓN  DE LA EDUCACIÓN SUPERIOR</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2,883,695.75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1,241,466.92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2,697,736.00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1,226,069.25</w:t>
            </w:r>
          </w:p>
        </w:tc>
      </w:tr>
      <w:tr w:rsidR="00EF0A17" w:rsidRPr="00EF0A17" w:rsidTr="00EF0A17">
        <w:trPr>
          <w:trHeight w:val="64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COMISIÓN PARA LA REGULARIZACIÓN DE LA TENENCIA DE LA TIERRA URBANA DEL ESTADO DE OAXACA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5,830,565.06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11,785,910.65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5,421,782.00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2,211,825.74</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CONSEJO ESTATAL DE PREVENCIÓN Y CONTROL DEL SIDA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9,913,165.93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5,317,469.52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9,734,911.00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5,344,103.29</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CONSEJO ESTATAL DEL CAFÉ DE OAXACA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8,332,342.24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4,135,239.69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7,823,233.00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2,789,673.41</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CONSEJO OAXAQUEÑO DE CIENCIA Y TECNOLOGÍA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4,532,534.91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4,325,345.71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4,528,198.00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3,077,463.25</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CORPORACIÓN OAXAQUEÑA DE RADIO Y TELEVISIÓN</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46,667,734.64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97,330,906.99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48,918,471.00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25,503,096.74</w:t>
            </w:r>
          </w:p>
        </w:tc>
      </w:tr>
      <w:tr w:rsidR="00EF0A17" w:rsidRPr="00EF0A17" w:rsidTr="00EF0A17">
        <w:trPr>
          <w:trHeight w:val="225"/>
        </w:trPr>
        <w:tc>
          <w:tcPr>
            <w:tcW w:w="3402" w:type="dxa"/>
            <w:vMerge w:val="restart"/>
            <w:tcBorders>
              <w:top w:val="single" w:sz="4" w:space="0" w:color="FFFFFF"/>
              <w:left w:val="single" w:sz="4" w:space="0" w:color="FFFFFF"/>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lastRenderedPageBreak/>
              <w:t xml:space="preserve">Clasificación </w:t>
            </w:r>
            <w:proofErr w:type="spellStart"/>
            <w:r w:rsidRPr="00EF0A17">
              <w:rPr>
                <w:rFonts w:ascii="Arial" w:hAnsi="Arial" w:cs="Arial"/>
                <w:b/>
                <w:bCs/>
                <w:color w:val="FFFFFF"/>
                <w:sz w:val="16"/>
                <w:szCs w:val="16"/>
                <w:lang w:val="es-MX" w:eastAsia="es-MX"/>
              </w:rPr>
              <w:t>Admistrativa</w:t>
            </w:r>
            <w:proofErr w:type="spellEnd"/>
          </w:p>
        </w:tc>
        <w:tc>
          <w:tcPr>
            <w:tcW w:w="3035" w:type="dxa"/>
            <w:gridSpan w:val="3"/>
            <w:tcBorders>
              <w:top w:val="single" w:sz="4" w:space="0" w:color="FFFFFF"/>
              <w:left w:val="nil"/>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2014</w:t>
            </w:r>
          </w:p>
        </w:tc>
        <w:tc>
          <w:tcPr>
            <w:tcW w:w="2958" w:type="dxa"/>
            <w:gridSpan w:val="3"/>
            <w:tcBorders>
              <w:top w:val="single" w:sz="4" w:space="0" w:color="FFFFFF"/>
              <w:left w:val="nil"/>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2015</w:t>
            </w:r>
          </w:p>
        </w:tc>
      </w:tr>
      <w:tr w:rsidR="00EF0A17" w:rsidRPr="00EF0A17" w:rsidTr="00EF0A17">
        <w:trPr>
          <w:trHeight w:val="345"/>
        </w:trPr>
        <w:tc>
          <w:tcPr>
            <w:tcW w:w="3402" w:type="dxa"/>
            <w:vMerge/>
            <w:tcBorders>
              <w:top w:val="single" w:sz="4" w:space="0" w:color="FFFFFF"/>
              <w:left w:val="single" w:sz="4" w:space="0" w:color="FFFFFF"/>
              <w:bottom w:val="single" w:sz="4" w:space="0" w:color="FFFFFF"/>
              <w:right w:val="single" w:sz="4" w:space="0" w:color="FFFFFF"/>
            </w:tcBorders>
            <w:vAlign w:val="center"/>
            <w:hideMark/>
          </w:tcPr>
          <w:p w:rsidR="00EF0A17" w:rsidRPr="00EF0A17" w:rsidRDefault="00EF0A17" w:rsidP="00EF0A17">
            <w:pPr>
              <w:rPr>
                <w:rFonts w:ascii="Arial" w:hAnsi="Arial" w:cs="Arial"/>
                <w:b/>
                <w:bCs/>
                <w:color w:val="FFFFFF"/>
                <w:sz w:val="16"/>
                <w:szCs w:val="16"/>
                <w:lang w:val="es-MX" w:eastAsia="es-MX"/>
              </w:rPr>
            </w:pPr>
          </w:p>
        </w:tc>
        <w:tc>
          <w:tcPr>
            <w:tcW w:w="1560" w:type="dxa"/>
            <w:tcBorders>
              <w:top w:val="nil"/>
              <w:left w:val="nil"/>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Aprobado</w:t>
            </w:r>
          </w:p>
        </w:tc>
        <w:tc>
          <w:tcPr>
            <w:tcW w:w="1475" w:type="dxa"/>
            <w:gridSpan w:val="2"/>
            <w:tcBorders>
              <w:top w:val="single" w:sz="4" w:space="0" w:color="FFFFFF"/>
              <w:left w:val="single" w:sz="4" w:space="0" w:color="FFFFFF"/>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Ejercido junio</w:t>
            </w:r>
          </w:p>
        </w:tc>
        <w:tc>
          <w:tcPr>
            <w:tcW w:w="1475" w:type="dxa"/>
            <w:tcBorders>
              <w:top w:val="nil"/>
              <w:left w:val="single" w:sz="4" w:space="0" w:color="FFFFFF"/>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Aprobado</w:t>
            </w:r>
          </w:p>
        </w:tc>
        <w:tc>
          <w:tcPr>
            <w:tcW w:w="1483" w:type="dxa"/>
            <w:gridSpan w:val="2"/>
            <w:tcBorders>
              <w:top w:val="single" w:sz="4" w:space="0" w:color="FFFFFF"/>
              <w:left w:val="single" w:sz="4" w:space="0" w:color="FFFFFF"/>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Ejercido junio</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DIRECCIÓN GENERAL DE POBLACIÓN DE OAXACA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5,813,153.87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2,550,983.62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5,390,955.00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2,256,656.13</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HOSPITAL DE LA NIÑEZ OAXAQUEÑA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19,377,269.25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11,116,882.19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18,528,940.00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21,883,421.24</w:t>
            </w:r>
          </w:p>
        </w:tc>
      </w:tr>
      <w:tr w:rsidR="00EF0A17" w:rsidRPr="00EF0A17" w:rsidTr="00EF0A17">
        <w:trPr>
          <w:trHeight w:val="64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INSTITUTO DE CAPACITACIÓN Y PRODUCTIVIDAD PARA EL TRABAJO DEL ESTADO DE OAXACA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54,392,640.22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23,831,784.06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61,172,497.00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29,071,333.12</w:t>
            </w:r>
          </w:p>
        </w:tc>
      </w:tr>
      <w:tr w:rsidR="00EF0A17" w:rsidRPr="00EF0A17" w:rsidTr="00EF0A17">
        <w:trPr>
          <w:trHeight w:val="66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INSTITUTO  TECNOLÓGICO SUPERIOR DE SAN MIGUEL EL GRANDE</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14,360,871.56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6,469,310.11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19,728,636.00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6,461,044.79</w:t>
            </w:r>
          </w:p>
        </w:tc>
      </w:tr>
      <w:tr w:rsidR="00EF0A17" w:rsidRPr="00EF0A17" w:rsidTr="00EF0A17">
        <w:trPr>
          <w:trHeight w:val="70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INSTITUTO DE ESTUDIOS DE BACHILLERATO DEL ESTADO DE OAXACA </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291,845,081.00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135,679,027.10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305,169,919.00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151,978,571.61</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INSTITUTO DE LA MUJER OAXAQUEÑA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8,407,371.52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4,894,188.08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8,306,960.00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4,198,590.88</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INSTITUTO DEL PATRIMONIO CULTURAL DEL EDO. DE OAXACA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8,428,714.59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5,137,384.67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7,761,276.00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23,411,425.30</w:t>
            </w:r>
          </w:p>
        </w:tc>
      </w:tr>
      <w:tr w:rsidR="00EF0A17" w:rsidRPr="00EF0A17" w:rsidTr="00EF0A17">
        <w:trPr>
          <w:trHeight w:val="64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INSTITUTO ESTATAL DE ECOLOGÍA Y DESARROLLO SUSTENTABLE</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12,761,659.15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10,185,849.98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11,948,153.00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11,140,609.54</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INSTITUTO ESTATAL DE EDUCACIÓN PARA ADULTOS</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119,319,330.00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93,151,656.10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123,095,922.00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134,643,493.20</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INSTITUTO ESTATAL DE EDUCACIÓN PUBLICA DE OAXACA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14,371,782,133.00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11,576,511,587.24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17,788,055,471.00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495,731,708.80</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INSTITUTO ESTATAL DE PROTECCIÓN CIVIL</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5,990,224.44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3,874,380.42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6,518,982.00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15,867,153.77</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INSTITUTO OAXAQUEÑO CONSTRUCTOR DE INFRAESTRUCTURA FÍSICA EDUCATIVA </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26,184,081.03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77,843,923.61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24,861,179.00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185,973,852.70</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INSTITUTO OAXAQUEÑO DE ATENCIÓN AL MIGRANTE</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9,564,768.22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5,156,903.93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10,965,315.80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5,250,226.79</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INSTITUTO OAXAQUEÑO DE LAS ARTESANÍAS</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10,124,983.41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5,511,013.89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9,671,096.00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5,709,274.22</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INSTITUTO TECNOLÓGICO SUPERIOR DE TEPOSCOLULA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14,660,583.10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4,174,681.07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22,201,286.00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2,645,555.43</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OFICINA DE PENSIONES DEL ESTADO DE OAXACA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53,850,525.78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25,266,373.05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53,860,849.00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34,710,692.51</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SERVICIOS DE SALUD DEL ESTADO DE OAXACA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2,926,918,236.00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1,821,744,944.45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3,233,406,205.00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1,563,964,622.02</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UNIVERSIDAD DE CHALCATONGO</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10,776,499.76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6,080,699.92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10,776,500.00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5,974,087.44</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UNIVERSIDAD DE LA CAÑADA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19,785,704.68 </w:t>
            </w:r>
          </w:p>
        </w:tc>
        <w:tc>
          <w:tcPr>
            <w:tcW w:w="1475" w:type="dxa"/>
            <w:gridSpan w:val="2"/>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13,879,371.40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21,928,071.00 </w:t>
            </w:r>
          </w:p>
        </w:tc>
        <w:tc>
          <w:tcPr>
            <w:tcW w:w="14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15,096,855.13</w:t>
            </w:r>
          </w:p>
        </w:tc>
      </w:tr>
    </w:tbl>
    <w:p w:rsidR="00EF0A17" w:rsidRDefault="00EF0A17"/>
    <w:tbl>
      <w:tblPr>
        <w:tblW w:w="9395" w:type="dxa"/>
        <w:tblInd w:w="70" w:type="dxa"/>
        <w:tblCellMar>
          <w:left w:w="70" w:type="dxa"/>
          <w:right w:w="70" w:type="dxa"/>
        </w:tblCellMar>
        <w:tblLook w:val="04A0"/>
      </w:tblPr>
      <w:tblGrid>
        <w:gridCol w:w="3402"/>
        <w:gridCol w:w="1560"/>
        <w:gridCol w:w="1475"/>
        <w:gridCol w:w="1475"/>
        <w:gridCol w:w="1483"/>
      </w:tblGrid>
      <w:tr w:rsidR="00EF0A17" w:rsidRPr="00EF0A17" w:rsidTr="00EF0A17">
        <w:trPr>
          <w:trHeight w:val="225"/>
        </w:trPr>
        <w:tc>
          <w:tcPr>
            <w:tcW w:w="3402" w:type="dxa"/>
            <w:vMerge w:val="restart"/>
            <w:tcBorders>
              <w:top w:val="single" w:sz="4" w:space="0" w:color="FFFFFF"/>
              <w:left w:val="single" w:sz="4" w:space="0" w:color="FFFFFF"/>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lastRenderedPageBreak/>
              <w:t xml:space="preserve">Clasificación </w:t>
            </w:r>
            <w:proofErr w:type="spellStart"/>
            <w:r w:rsidRPr="00EF0A17">
              <w:rPr>
                <w:rFonts w:ascii="Arial" w:hAnsi="Arial" w:cs="Arial"/>
                <w:b/>
                <w:bCs/>
                <w:color w:val="FFFFFF"/>
                <w:sz w:val="16"/>
                <w:szCs w:val="16"/>
                <w:lang w:val="es-MX" w:eastAsia="es-MX"/>
              </w:rPr>
              <w:t>Admistrativa</w:t>
            </w:r>
            <w:proofErr w:type="spellEnd"/>
          </w:p>
        </w:tc>
        <w:tc>
          <w:tcPr>
            <w:tcW w:w="3035" w:type="dxa"/>
            <w:gridSpan w:val="2"/>
            <w:tcBorders>
              <w:top w:val="single" w:sz="4" w:space="0" w:color="FFFFFF"/>
              <w:left w:val="nil"/>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2014</w:t>
            </w:r>
          </w:p>
        </w:tc>
        <w:tc>
          <w:tcPr>
            <w:tcW w:w="2958" w:type="dxa"/>
            <w:gridSpan w:val="2"/>
            <w:tcBorders>
              <w:top w:val="single" w:sz="4" w:space="0" w:color="FFFFFF"/>
              <w:left w:val="nil"/>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2015</w:t>
            </w:r>
          </w:p>
        </w:tc>
      </w:tr>
      <w:tr w:rsidR="00EF0A17" w:rsidRPr="00EF0A17" w:rsidTr="00EF0A17">
        <w:trPr>
          <w:trHeight w:val="345"/>
        </w:trPr>
        <w:tc>
          <w:tcPr>
            <w:tcW w:w="3402" w:type="dxa"/>
            <w:vMerge/>
            <w:tcBorders>
              <w:top w:val="single" w:sz="4" w:space="0" w:color="FFFFFF"/>
              <w:left w:val="single" w:sz="4" w:space="0" w:color="FFFFFF"/>
              <w:bottom w:val="single" w:sz="4" w:space="0" w:color="FFFFFF"/>
              <w:right w:val="single" w:sz="4" w:space="0" w:color="FFFFFF"/>
            </w:tcBorders>
            <w:vAlign w:val="center"/>
            <w:hideMark/>
          </w:tcPr>
          <w:p w:rsidR="00EF0A17" w:rsidRPr="00EF0A17" w:rsidRDefault="00EF0A17" w:rsidP="00EF0A17">
            <w:pPr>
              <w:rPr>
                <w:rFonts w:ascii="Arial" w:hAnsi="Arial" w:cs="Arial"/>
                <w:b/>
                <w:bCs/>
                <w:color w:val="FFFFFF"/>
                <w:sz w:val="16"/>
                <w:szCs w:val="16"/>
                <w:lang w:val="es-MX" w:eastAsia="es-MX"/>
              </w:rPr>
            </w:pPr>
          </w:p>
        </w:tc>
        <w:tc>
          <w:tcPr>
            <w:tcW w:w="1560" w:type="dxa"/>
            <w:tcBorders>
              <w:top w:val="nil"/>
              <w:left w:val="nil"/>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Aprobado</w:t>
            </w:r>
          </w:p>
        </w:tc>
        <w:tc>
          <w:tcPr>
            <w:tcW w:w="1475" w:type="dxa"/>
            <w:tcBorders>
              <w:top w:val="single" w:sz="4" w:space="0" w:color="FFFFFF"/>
              <w:left w:val="single" w:sz="4" w:space="0" w:color="FFFFFF"/>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Ejercido junio</w:t>
            </w:r>
          </w:p>
        </w:tc>
        <w:tc>
          <w:tcPr>
            <w:tcW w:w="1475" w:type="dxa"/>
            <w:tcBorders>
              <w:top w:val="nil"/>
              <w:left w:val="single" w:sz="4" w:space="0" w:color="FFFFFF"/>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Aprobado</w:t>
            </w:r>
          </w:p>
        </w:tc>
        <w:tc>
          <w:tcPr>
            <w:tcW w:w="1483" w:type="dxa"/>
            <w:tcBorders>
              <w:top w:val="single" w:sz="4" w:space="0" w:color="FFFFFF"/>
              <w:left w:val="single" w:sz="4" w:space="0" w:color="FFFFFF"/>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Ejercido junio</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UNIVERSIDAD DE LA COSTA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9,146,689.82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4,945,022.73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9,146,690.00 </w:t>
            </w:r>
          </w:p>
        </w:tc>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5,294,837.73</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UNIVERSIDAD DE LA SIERRA JUÁREZ</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22,251,652.20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19,122,791.46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25,375,375.00 </w:t>
            </w:r>
          </w:p>
        </w:tc>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14,380,120.10</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UNIVERSIDAD DE LA SIERRA SUR</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58,010,657.72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39,107,214.78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60,685,026.00 </w:t>
            </w:r>
          </w:p>
        </w:tc>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41,629,478.03</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UNIVERSIDAD DEL ISTMO</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64,072,665.49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43,041,374.31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68,423,829.00 </w:t>
            </w:r>
          </w:p>
        </w:tc>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45,136,696.52</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UNIVERSIDAD DEL MAR</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148,698,830.78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97,401,511.39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158,295,082.00 </w:t>
            </w:r>
          </w:p>
        </w:tc>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93,003,946.28</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UNIVERSIDAD DEL PAPALOAPAN</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70,829,192.68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51,428,709.49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74,825,157.00 </w:t>
            </w:r>
          </w:p>
        </w:tc>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47,462,201.58</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UNIVERSIDAD TECNOLÓGICA DE LA MIXTECA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120,339,920.99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79,104,645.58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131,419,105.00 </w:t>
            </w:r>
          </w:p>
        </w:tc>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76,851,556.93</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UNIVERSIDAD TECNOLÓGICA DE LOS VALLES CENTRALES</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26,428,239.92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14,607,566.33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29,540,261.00 </w:t>
            </w:r>
          </w:p>
        </w:tc>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17,094,218.90</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NOVAUNIVERSITAS-OCOTLAN</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17,378,001.41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7,367,102.92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18,040,695.00 </w:t>
            </w:r>
          </w:p>
        </w:tc>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7,127,321.99</w:t>
            </w:r>
          </w:p>
        </w:tc>
      </w:tr>
      <w:tr w:rsidR="00EF0A17" w:rsidRPr="00EF0A17" w:rsidTr="00EF0A17">
        <w:trPr>
          <w:trHeight w:val="69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COORDINACIÓN DE ESPACIOS CULTURALES  DEL ESTADO DE OAXACA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16,224,580.80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7,984,484.74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15,852,340.95 </w:t>
            </w:r>
          </w:p>
        </w:tc>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0.00</w:t>
            </w:r>
          </w:p>
        </w:tc>
      </w:tr>
      <w:tr w:rsidR="00EF0A17" w:rsidRPr="00EF0A17" w:rsidTr="00EF0A17">
        <w:trPr>
          <w:trHeight w:val="70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UNIVERSIDAD TECNOLÓGICA DE LA SIERRA SUR DE OAXACA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5,000,000.00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3,854,579.98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9,494,984.00 </w:t>
            </w:r>
          </w:p>
        </w:tc>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4,589,246.60</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INSTITUTO DE LA JUVENTUD DEL ESTADO DE OAXACA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19,259,549.58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27,358,371.68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18,346,376.00 </w:t>
            </w:r>
          </w:p>
        </w:tc>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11,117,192.50</w:t>
            </w:r>
          </w:p>
        </w:tc>
      </w:tr>
      <w:tr w:rsidR="00EF0A17" w:rsidRPr="00EF0A17" w:rsidTr="00EF0A17">
        <w:trPr>
          <w:trHeight w:val="75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SISTEMA PARA EL DESARROLLO INTEGRAL DE LA FAMILIA DEL ESTADO DE OAXACA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241,310,233.56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362,547,587.40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239,983,241.00 </w:t>
            </w:r>
          </w:p>
        </w:tc>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340,482,647.74</w:t>
            </w:r>
          </w:p>
        </w:tc>
      </w:tr>
      <w:tr w:rsidR="00EF0A17" w:rsidRPr="00EF0A17" w:rsidTr="00EF0A17">
        <w:trPr>
          <w:trHeight w:val="66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SERVICIOS DE AGUA POTABLE Y ALCANTARILLADO DE OAXACA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141,061,139.51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58,904,811.14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170,332,278.00 </w:t>
            </w:r>
          </w:p>
        </w:tc>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112,516,892.95</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COMISIÓN ESTATAL FORESTAL</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0.00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0.00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2,926,698.02 </w:t>
            </w:r>
          </w:p>
        </w:tc>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12,981,654.57</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COMISIÓN DE LA VERDAD</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0</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0</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0.00 </w:t>
            </w:r>
          </w:p>
        </w:tc>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5,257,393.33</w:t>
            </w:r>
          </w:p>
        </w:tc>
      </w:tr>
    </w:tbl>
    <w:p w:rsidR="00EF0A17" w:rsidRDefault="00EF0A17"/>
    <w:p w:rsidR="00EF0A17" w:rsidRDefault="00EF0A17"/>
    <w:p w:rsidR="00EF0A17" w:rsidRDefault="00EF0A17"/>
    <w:p w:rsidR="00EF0A17" w:rsidRDefault="00EF0A17"/>
    <w:p w:rsidR="00EF0A17" w:rsidRDefault="00EF0A17"/>
    <w:p w:rsidR="00EF0A17" w:rsidRDefault="00EF0A17"/>
    <w:tbl>
      <w:tblPr>
        <w:tblW w:w="9395" w:type="dxa"/>
        <w:tblInd w:w="70" w:type="dxa"/>
        <w:tblCellMar>
          <w:left w:w="70" w:type="dxa"/>
          <w:right w:w="70" w:type="dxa"/>
        </w:tblCellMar>
        <w:tblLook w:val="04A0"/>
      </w:tblPr>
      <w:tblGrid>
        <w:gridCol w:w="3402"/>
        <w:gridCol w:w="1560"/>
        <w:gridCol w:w="1475"/>
        <w:gridCol w:w="1475"/>
        <w:gridCol w:w="1483"/>
      </w:tblGrid>
      <w:tr w:rsidR="00EF0A17" w:rsidRPr="00EF0A17" w:rsidTr="00EF0A17">
        <w:trPr>
          <w:trHeight w:val="225"/>
        </w:trPr>
        <w:tc>
          <w:tcPr>
            <w:tcW w:w="3402" w:type="dxa"/>
            <w:vMerge w:val="restart"/>
            <w:tcBorders>
              <w:top w:val="single" w:sz="4" w:space="0" w:color="FFFFFF"/>
              <w:left w:val="single" w:sz="4" w:space="0" w:color="FFFFFF"/>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lastRenderedPageBreak/>
              <w:t xml:space="preserve">Clasificación </w:t>
            </w:r>
            <w:proofErr w:type="spellStart"/>
            <w:r w:rsidRPr="00EF0A17">
              <w:rPr>
                <w:rFonts w:ascii="Arial" w:hAnsi="Arial" w:cs="Arial"/>
                <w:b/>
                <w:bCs/>
                <w:color w:val="FFFFFF"/>
                <w:sz w:val="16"/>
                <w:szCs w:val="16"/>
                <w:lang w:val="es-MX" w:eastAsia="es-MX"/>
              </w:rPr>
              <w:t>Admistrativa</w:t>
            </w:r>
            <w:proofErr w:type="spellEnd"/>
          </w:p>
        </w:tc>
        <w:tc>
          <w:tcPr>
            <w:tcW w:w="3035" w:type="dxa"/>
            <w:gridSpan w:val="2"/>
            <w:tcBorders>
              <w:top w:val="single" w:sz="4" w:space="0" w:color="FFFFFF"/>
              <w:left w:val="nil"/>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2014</w:t>
            </w:r>
          </w:p>
        </w:tc>
        <w:tc>
          <w:tcPr>
            <w:tcW w:w="2958" w:type="dxa"/>
            <w:gridSpan w:val="2"/>
            <w:tcBorders>
              <w:top w:val="single" w:sz="4" w:space="0" w:color="FFFFFF"/>
              <w:left w:val="nil"/>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2015</w:t>
            </w:r>
          </w:p>
        </w:tc>
      </w:tr>
      <w:tr w:rsidR="00EF0A17" w:rsidRPr="00EF0A17" w:rsidTr="00EF0A17">
        <w:trPr>
          <w:trHeight w:val="345"/>
        </w:trPr>
        <w:tc>
          <w:tcPr>
            <w:tcW w:w="3402" w:type="dxa"/>
            <w:vMerge/>
            <w:tcBorders>
              <w:top w:val="single" w:sz="4" w:space="0" w:color="FFFFFF"/>
              <w:left w:val="single" w:sz="4" w:space="0" w:color="FFFFFF"/>
              <w:bottom w:val="single" w:sz="4" w:space="0" w:color="FFFFFF"/>
              <w:right w:val="single" w:sz="4" w:space="0" w:color="FFFFFF"/>
            </w:tcBorders>
            <w:vAlign w:val="center"/>
            <w:hideMark/>
          </w:tcPr>
          <w:p w:rsidR="00EF0A17" w:rsidRPr="00EF0A17" w:rsidRDefault="00EF0A17" w:rsidP="00EF0A17">
            <w:pPr>
              <w:rPr>
                <w:rFonts w:ascii="Arial" w:hAnsi="Arial" w:cs="Arial"/>
                <w:b/>
                <w:bCs/>
                <w:color w:val="FFFFFF"/>
                <w:sz w:val="16"/>
                <w:szCs w:val="16"/>
                <w:lang w:val="es-MX" w:eastAsia="es-MX"/>
              </w:rPr>
            </w:pPr>
          </w:p>
        </w:tc>
        <w:tc>
          <w:tcPr>
            <w:tcW w:w="1560" w:type="dxa"/>
            <w:tcBorders>
              <w:top w:val="nil"/>
              <w:left w:val="nil"/>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Aprobado</w:t>
            </w:r>
          </w:p>
        </w:tc>
        <w:tc>
          <w:tcPr>
            <w:tcW w:w="1475" w:type="dxa"/>
            <w:tcBorders>
              <w:top w:val="single" w:sz="4" w:space="0" w:color="FFFFFF"/>
              <w:left w:val="single" w:sz="4" w:space="0" w:color="FFFFFF"/>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Ejercido junio</w:t>
            </w:r>
          </w:p>
        </w:tc>
        <w:tc>
          <w:tcPr>
            <w:tcW w:w="1475" w:type="dxa"/>
            <w:tcBorders>
              <w:top w:val="nil"/>
              <w:left w:val="single" w:sz="4" w:space="0" w:color="FFFFFF"/>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Aprobado</w:t>
            </w:r>
          </w:p>
        </w:tc>
        <w:tc>
          <w:tcPr>
            <w:tcW w:w="1483" w:type="dxa"/>
            <w:tcBorders>
              <w:top w:val="single" w:sz="4" w:space="0" w:color="FFFFFF"/>
              <w:left w:val="single" w:sz="4" w:space="0" w:color="FFFFFF"/>
              <w:bottom w:val="single" w:sz="4" w:space="0" w:color="FFFFFF"/>
              <w:right w:val="single" w:sz="4" w:space="0" w:color="FFFFFF"/>
            </w:tcBorders>
            <w:shd w:val="clear" w:color="000000" w:fill="C09200"/>
            <w:noWrap/>
            <w:vAlign w:val="center"/>
            <w:hideMark/>
          </w:tcPr>
          <w:p w:rsidR="00EF0A17" w:rsidRPr="00EF0A17" w:rsidRDefault="00EF0A17" w:rsidP="00EF0A17">
            <w:pPr>
              <w:jc w:val="center"/>
              <w:rPr>
                <w:rFonts w:ascii="Arial" w:hAnsi="Arial" w:cs="Arial"/>
                <w:b/>
                <w:bCs/>
                <w:color w:val="FFFFFF"/>
                <w:sz w:val="16"/>
                <w:szCs w:val="16"/>
                <w:lang w:val="es-MX" w:eastAsia="es-MX"/>
              </w:rPr>
            </w:pPr>
            <w:r w:rsidRPr="00EF0A17">
              <w:rPr>
                <w:rFonts w:ascii="Arial" w:hAnsi="Arial" w:cs="Arial"/>
                <w:b/>
                <w:bCs/>
                <w:color w:val="FFFFFF"/>
                <w:sz w:val="16"/>
                <w:szCs w:val="16"/>
                <w:lang w:val="es-MX" w:eastAsia="es-MX"/>
              </w:rPr>
              <w:t>Ejercido junio</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000000" w:fill="FFDA65"/>
            <w:noWrap/>
            <w:vAlign w:val="center"/>
            <w:hideMark/>
          </w:tcPr>
          <w:p w:rsidR="00EF0A17" w:rsidRPr="00EF0A17" w:rsidRDefault="00EF0A17" w:rsidP="00EF0A17">
            <w:pPr>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FIDEICOMISOS PÚBLICOS</w:t>
            </w:r>
          </w:p>
        </w:tc>
        <w:tc>
          <w:tcPr>
            <w:tcW w:w="1560" w:type="dxa"/>
            <w:tcBorders>
              <w:top w:val="nil"/>
              <w:left w:val="single" w:sz="4" w:space="0" w:color="auto"/>
              <w:bottom w:val="single" w:sz="4" w:space="0" w:color="auto"/>
              <w:right w:val="single" w:sz="4" w:space="0" w:color="auto"/>
            </w:tcBorders>
            <w:shd w:val="clear" w:color="000000" w:fill="FFDA65"/>
            <w:noWrap/>
            <w:vAlign w:val="center"/>
            <w:hideMark/>
          </w:tcPr>
          <w:p w:rsidR="00EF0A17" w:rsidRPr="00EF0A17" w:rsidRDefault="00EF0A17" w:rsidP="00EF0A17">
            <w:pPr>
              <w:jc w:val="right"/>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 xml:space="preserve">11,276,728.17 </w:t>
            </w:r>
          </w:p>
        </w:tc>
        <w:tc>
          <w:tcPr>
            <w:tcW w:w="1475" w:type="dxa"/>
            <w:tcBorders>
              <w:top w:val="nil"/>
              <w:left w:val="nil"/>
              <w:bottom w:val="single" w:sz="4" w:space="0" w:color="auto"/>
              <w:right w:val="single" w:sz="4" w:space="0" w:color="auto"/>
            </w:tcBorders>
            <w:shd w:val="clear" w:color="000000" w:fill="FFDA65"/>
            <w:noWrap/>
            <w:vAlign w:val="center"/>
            <w:hideMark/>
          </w:tcPr>
          <w:p w:rsidR="00EF0A17" w:rsidRPr="00EF0A17" w:rsidRDefault="00EF0A17" w:rsidP="00EF0A17">
            <w:pPr>
              <w:jc w:val="right"/>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 xml:space="preserve">50,082,985.29 </w:t>
            </w:r>
          </w:p>
        </w:tc>
        <w:tc>
          <w:tcPr>
            <w:tcW w:w="1475" w:type="dxa"/>
            <w:tcBorders>
              <w:top w:val="nil"/>
              <w:left w:val="nil"/>
              <w:bottom w:val="single" w:sz="4" w:space="0" w:color="auto"/>
              <w:right w:val="single" w:sz="4" w:space="0" w:color="auto"/>
            </w:tcBorders>
            <w:shd w:val="clear" w:color="000000" w:fill="FFDA65"/>
            <w:noWrap/>
            <w:vAlign w:val="center"/>
            <w:hideMark/>
          </w:tcPr>
          <w:p w:rsidR="00EF0A17" w:rsidRPr="00EF0A17" w:rsidRDefault="00EF0A17" w:rsidP="00EF0A17">
            <w:pPr>
              <w:jc w:val="right"/>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 xml:space="preserve">12,997,127.00 </w:t>
            </w:r>
          </w:p>
        </w:tc>
        <w:tc>
          <w:tcPr>
            <w:tcW w:w="1483" w:type="dxa"/>
            <w:tcBorders>
              <w:top w:val="nil"/>
              <w:left w:val="single" w:sz="4" w:space="0" w:color="auto"/>
              <w:bottom w:val="single" w:sz="4" w:space="0" w:color="auto"/>
              <w:right w:val="single" w:sz="4" w:space="0" w:color="auto"/>
            </w:tcBorders>
            <w:shd w:val="clear" w:color="000000" w:fill="FFDA65"/>
            <w:noWrap/>
            <w:vAlign w:val="center"/>
            <w:hideMark/>
          </w:tcPr>
          <w:p w:rsidR="00EF0A17" w:rsidRPr="00EF0A17" w:rsidRDefault="00EF0A17" w:rsidP="00EF0A17">
            <w:pPr>
              <w:jc w:val="right"/>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 xml:space="preserve">36,765,199.53 </w:t>
            </w:r>
          </w:p>
        </w:tc>
      </w:tr>
      <w:tr w:rsidR="00EF0A17" w:rsidRPr="00EF0A17" w:rsidTr="00EF0A17">
        <w:trPr>
          <w:trHeight w:val="75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FIDEICOMISO PARA EL DESARROLLO LOGÍSTICO DEL ESTADO DE OAXACA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4,248,888.12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6,034,762.26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3,841,945.00 </w:t>
            </w:r>
          </w:p>
        </w:tc>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30,038,253.15 </w:t>
            </w:r>
          </w:p>
        </w:tc>
      </w:tr>
      <w:tr w:rsidR="00EF0A17" w:rsidRPr="00EF0A17" w:rsidTr="00EF0A17">
        <w:trPr>
          <w:trHeight w:val="70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FONDO PARA EL FOMENTO ESTATAL DE LAS ACTIVIDADES PRODUCTIVAS DE OAXACA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7,027,840.05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37,731,396.65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7,071,229.00 </w:t>
            </w:r>
          </w:p>
        </w:tc>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4,746,413.27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OFICINA DE CONVENCIONES Y VISITANTES DE OAXACA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0.00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6,316,826.38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2,083,953.00 </w:t>
            </w:r>
          </w:p>
        </w:tc>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1,980,533.11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000000" w:fill="FFDA65"/>
            <w:noWrap/>
            <w:vAlign w:val="center"/>
            <w:hideMark/>
          </w:tcPr>
          <w:p w:rsidR="00EF0A17" w:rsidRPr="00EF0A17" w:rsidRDefault="00EF0A17" w:rsidP="00EF0A17">
            <w:pPr>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ÓRGANOS AUTÓNOMOS</w:t>
            </w:r>
          </w:p>
        </w:tc>
        <w:tc>
          <w:tcPr>
            <w:tcW w:w="1560" w:type="dxa"/>
            <w:tcBorders>
              <w:top w:val="nil"/>
              <w:left w:val="single" w:sz="4" w:space="0" w:color="auto"/>
              <w:bottom w:val="single" w:sz="4" w:space="0" w:color="auto"/>
              <w:right w:val="single" w:sz="4" w:space="0" w:color="auto"/>
            </w:tcBorders>
            <w:shd w:val="clear" w:color="000000" w:fill="FFDA65"/>
            <w:noWrap/>
            <w:vAlign w:val="center"/>
            <w:hideMark/>
          </w:tcPr>
          <w:p w:rsidR="00EF0A17" w:rsidRPr="00EF0A17" w:rsidRDefault="00EF0A17" w:rsidP="00EF0A17">
            <w:pPr>
              <w:jc w:val="right"/>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 xml:space="preserve">936,945,528.67 </w:t>
            </w:r>
          </w:p>
        </w:tc>
        <w:tc>
          <w:tcPr>
            <w:tcW w:w="1475" w:type="dxa"/>
            <w:tcBorders>
              <w:top w:val="nil"/>
              <w:left w:val="nil"/>
              <w:bottom w:val="single" w:sz="4" w:space="0" w:color="auto"/>
              <w:right w:val="single" w:sz="4" w:space="0" w:color="auto"/>
            </w:tcBorders>
            <w:shd w:val="clear" w:color="000000" w:fill="FFDA65"/>
            <w:noWrap/>
            <w:vAlign w:val="center"/>
            <w:hideMark/>
          </w:tcPr>
          <w:p w:rsidR="00EF0A17" w:rsidRPr="00EF0A17" w:rsidRDefault="00EF0A17" w:rsidP="00EF0A17">
            <w:pPr>
              <w:jc w:val="right"/>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 xml:space="preserve">556,193,403.39 </w:t>
            </w:r>
          </w:p>
        </w:tc>
        <w:tc>
          <w:tcPr>
            <w:tcW w:w="1475" w:type="dxa"/>
            <w:tcBorders>
              <w:top w:val="nil"/>
              <w:left w:val="nil"/>
              <w:bottom w:val="single" w:sz="4" w:space="0" w:color="auto"/>
              <w:right w:val="single" w:sz="4" w:space="0" w:color="auto"/>
            </w:tcBorders>
            <w:shd w:val="clear" w:color="000000" w:fill="FFDA65"/>
            <w:noWrap/>
            <w:vAlign w:val="center"/>
            <w:hideMark/>
          </w:tcPr>
          <w:p w:rsidR="00EF0A17" w:rsidRPr="00EF0A17" w:rsidRDefault="00EF0A17" w:rsidP="00EF0A17">
            <w:pPr>
              <w:jc w:val="right"/>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 xml:space="preserve">995,470,528.00 </w:t>
            </w:r>
          </w:p>
        </w:tc>
        <w:tc>
          <w:tcPr>
            <w:tcW w:w="1483" w:type="dxa"/>
            <w:tcBorders>
              <w:top w:val="nil"/>
              <w:left w:val="single" w:sz="4" w:space="0" w:color="auto"/>
              <w:bottom w:val="single" w:sz="4" w:space="0" w:color="auto"/>
              <w:right w:val="single" w:sz="4" w:space="0" w:color="auto"/>
            </w:tcBorders>
            <w:shd w:val="clear" w:color="000000" w:fill="FFDA65"/>
            <w:noWrap/>
            <w:vAlign w:val="center"/>
            <w:hideMark/>
          </w:tcPr>
          <w:p w:rsidR="00EF0A17" w:rsidRPr="00EF0A17" w:rsidRDefault="00EF0A17" w:rsidP="00EF0A17">
            <w:pPr>
              <w:jc w:val="right"/>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 xml:space="preserve">634,417,880.38 </w:t>
            </w:r>
          </w:p>
        </w:tc>
      </w:tr>
      <w:tr w:rsidR="00EF0A17" w:rsidRPr="00EF0A17" w:rsidTr="00EF0A17">
        <w:trPr>
          <w:trHeight w:val="63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DEFENSORÍA DE LOS DERECHOS HUMANOS DEL PUEBLO DE OAXACA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26,976,883.78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18,925,693.74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40,604,284.00 </w:t>
            </w:r>
          </w:p>
        </w:tc>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20,248,236.01 </w:t>
            </w:r>
          </w:p>
        </w:tc>
      </w:tr>
      <w:tr w:rsidR="00EF0A17" w:rsidRPr="00EF0A17" w:rsidTr="00EF0A17">
        <w:trPr>
          <w:trHeight w:val="72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INSTITUTO ESTATAL ELECTORAL Y DE PARTICIPACIÓN CIUDADANA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85,348,784.58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61,458,941.61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85,348,785.00 </w:t>
            </w:r>
          </w:p>
        </w:tc>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96,797,034.04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UNIVERSIDAD AUTÓNOMA "BENITO JUÁREZ" DE OAXACA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786,097,469.03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458,758,356.01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830,995,068.00 </w:t>
            </w:r>
          </w:p>
        </w:tc>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499,433,940.23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COMISIÓN ESTATAL DE ARBITRAJE MEDICO DE OAXACA</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12,179,401.03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5,615,822.59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12,179,401.00 </w:t>
            </w:r>
          </w:p>
        </w:tc>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6,748,245.72 </w:t>
            </w:r>
          </w:p>
        </w:tc>
      </w:tr>
      <w:tr w:rsidR="00EF0A17" w:rsidRPr="00EF0A17" w:rsidTr="00EF0A17">
        <w:trPr>
          <w:trHeight w:val="94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COMISIÓN DE TRANSPARENCIA, ACCESO A LA INFORMACIÓN PUBLICA Y PROTECCIÓN DE DATOS PERSONALES</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26,342,990.25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11,434,589.44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26,342,990.00 </w:t>
            </w:r>
          </w:p>
        </w:tc>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11,190,424.38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000000" w:fill="FFDA65"/>
            <w:noWrap/>
            <w:vAlign w:val="center"/>
            <w:hideMark/>
          </w:tcPr>
          <w:p w:rsidR="00EF0A17" w:rsidRPr="00EF0A17" w:rsidRDefault="00EF0A17" w:rsidP="00EF0A17">
            <w:pPr>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MUNICIPIOS</w:t>
            </w:r>
          </w:p>
        </w:tc>
        <w:tc>
          <w:tcPr>
            <w:tcW w:w="1560" w:type="dxa"/>
            <w:tcBorders>
              <w:top w:val="nil"/>
              <w:left w:val="single" w:sz="4" w:space="0" w:color="auto"/>
              <w:bottom w:val="single" w:sz="4" w:space="0" w:color="auto"/>
              <w:right w:val="single" w:sz="4" w:space="0" w:color="auto"/>
            </w:tcBorders>
            <w:shd w:val="clear" w:color="000000" w:fill="FFDA65"/>
            <w:noWrap/>
            <w:vAlign w:val="center"/>
            <w:hideMark/>
          </w:tcPr>
          <w:p w:rsidR="00EF0A17" w:rsidRPr="00EF0A17" w:rsidRDefault="00EF0A17" w:rsidP="00EF0A17">
            <w:pPr>
              <w:jc w:val="right"/>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 xml:space="preserve">11,486,541,155.92 </w:t>
            </w:r>
          </w:p>
        </w:tc>
        <w:tc>
          <w:tcPr>
            <w:tcW w:w="1475" w:type="dxa"/>
            <w:tcBorders>
              <w:top w:val="nil"/>
              <w:left w:val="nil"/>
              <w:bottom w:val="single" w:sz="4" w:space="0" w:color="auto"/>
              <w:right w:val="single" w:sz="4" w:space="0" w:color="auto"/>
            </w:tcBorders>
            <w:shd w:val="clear" w:color="000000" w:fill="FFDA65"/>
            <w:noWrap/>
            <w:vAlign w:val="center"/>
            <w:hideMark/>
          </w:tcPr>
          <w:p w:rsidR="00EF0A17" w:rsidRPr="00EF0A17" w:rsidRDefault="00EF0A17" w:rsidP="00EF0A17">
            <w:pPr>
              <w:jc w:val="right"/>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 xml:space="preserve">6,774,362,421.99 </w:t>
            </w:r>
          </w:p>
        </w:tc>
        <w:tc>
          <w:tcPr>
            <w:tcW w:w="1475" w:type="dxa"/>
            <w:tcBorders>
              <w:top w:val="nil"/>
              <w:left w:val="nil"/>
              <w:bottom w:val="single" w:sz="4" w:space="0" w:color="auto"/>
              <w:right w:val="single" w:sz="4" w:space="0" w:color="auto"/>
            </w:tcBorders>
            <w:shd w:val="clear" w:color="000000" w:fill="FFDA65"/>
            <w:noWrap/>
            <w:vAlign w:val="center"/>
            <w:hideMark/>
          </w:tcPr>
          <w:p w:rsidR="00EF0A17" w:rsidRPr="00EF0A17" w:rsidRDefault="00EF0A17" w:rsidP="00EF0A17">
            <w:pPr>
              <w:jc w:val="right"/>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 xml:space="preserve">11,251,263,767.16 </w:t>
            </w:r>
          </w:p>
        </w:tc>
        <w:tc>
          <w:tcPr>
            <w:tcW w:w="1483" w:type="dxa"/>
            <w:tcBorders>
              <w:top w:val="nil"/>
              <w:left w:val="single" w:sz="4" w:space="0" w:color="auto"/>
              <w:bottom w:val="single" w:sz="4" w:space="0" w:color="auto"/>
              <w:right w:val="single" w:sz="4" w:space="0" w:color="auto"/>
            </w:tcBorders>
            <w:shd w:val="clear" w:color="000000" w:fill="FFDA65"/>
            <w:noWrap/>
            <w:vAlign w:val="center"/>
            <w:hideMark/>
          </w:tcPr>
          <w:p w:rsidR="00EF0A17" w:rsidRPr="00EF0A17" w:rsidRDefault="00EF0A17" w:rsidP="00EF0A17">
            <w:pPr>
              <w:jc w:val="right"/>
              <w:rPr>
                <w:rFonts w:ascii="Arial Narrow" w:hAnsi="Arial Narrow"/>
                <w:b/>
                <w:bCs/>
                <w:color w:val="000000"/>
                <w:sz w:val="16"/>
                <w:szCs w:val="16"/>
                <w:lang w:val="es-MX" w:eastAsia="es-MX"/>
              </w:rPr>
            </w:pPr>
            <w:r w:rsidRPr="00EF0A17">
              <w:rPr>
                <w:rFonts w:ascii="Arial Narrow" w:hAnsi="Arial Narrow"/>
                <w:b/>
                <w:bCs/>
                <w:color w:val="000000"/>
                <w:sz w:val="16"/>
                <w:szCs w:val="16"/>
                <w:lang w:val="es-MX" w:eastAsia="es-MX"/>
              </w:rPr>
              <w:t xml:space="preserve">7,171,740,431.05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MUNICIPIOS - PARTICIPACIONES Y APORTACIONES</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11,486,541,155.92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6,127,572,097.37 </w:t>
            </w:r>
          </w:p>
        </w:tc>
        <w:tc>
          <w:tcPr>
            <w:tcW w:w="1475"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11,251,263,767.16 </w:t>
            </w:r>
          </w:p>
        </w:tc>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6,159,652,338.11 </w:t>
            </w:r>
          </w:p>
        </w:tc>
      </w:tr>
      <w:tr w:rsidR="00EF0A17" w:rsidRPr="00EF0A17" w:rsidTr="00EF0A17">
        <w:trPr>
          <w:trHeight w:val="52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F0A17" w:rsidRPr="00EF0A17" w:rsidRDefault="00EF0A17" w:rsidP="00EF0A17">
            <w:pPr>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MUNICIPIOS INVERSIÓN CONCERTADA - PLANEACIÓN</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0.00 </w:t>
            </w:r>
          </w:p>
        </w:tc>
        <w:tc>
          <w:tcPr>
            <w:tcW w:w="1475" w:type="dxa"/>
            <w:tcBorders>
              <w:top w:val="single" w:sz="4" w:space="0" w:color="auto"/>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646,790,324.62 </w:t>
            </w:r>
          </w:p>
        </w:tc>
        <w:tc>
          <w:tcPr>
            <w:tcW w:w="1475" w:type="dxa"/>
            <w:tcBorders>
              <w:top w:val="single" w:sz="4" w:space="0" w:color="auto"/>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0.00 </w:t>
            </w:r>
          </w:p>
        </w:tc>
        <w:tc>
          <w:tcPr>
            <w:tcW w:w="1483" w:type="dxa"/>
            <w:tcBorders>
              <w:top w:val="nil"/>
              <w:left w:val="nil"/>
              <w:bottom w:val="single" w:sz="4" w:space="0" w:color="auto"/>
              <w:right w:val="single" w:sz="4" w:space="0" w:color="auto"/>
            </w:tcBorders>
            <w:shd w:val="clear" w:color="auto" w:fill="auto"/>
            <w:noWrap/>
            <w:vAlign w:val="center"/>
            <w:hideMark/>
          </w:tcPr>
          <w:p w:rsidR="00EF0A17" w:rsidRPr="00EF0A17" w:rsidRDefault="00EF0A17" w:rsidP="00EF0A17">
            <w:pPr>
              <w:jc w:val="right"/>
              <w:rPr>
                <w:rFonts w:ascii="Arial Narrow" w:hAnsi="Arial Narrow"/>
                <w:color w:val="000000"/>
                <w:sz w:val="16"/>
                <w:szCs w:val="16"/>
                <w:lang w:val="es-MX" w:eastAsia="es-MX"/>
              </w:rPr>
            </w:pPr>
            <w:r w:rsidRPr="00EF0A17">
              <w:rPr>
                <w:rFonts w:ascii="Arial Narrow" w:hAnsi="Arial Narrow"/>
                <w:color w:val="000000"/>
                <w:sz w:val="16"/>
                <w:szCs w:val="16"/>
                <w:lang w:val="es-MX" w:eastAsia="es-MX"/>
              </w:rPr>
              <w:t xml:space="preserve">1,012,088,092.94 </w:t>
            </w:r>
          </w:p>
        </w:tc>
      </w:tr>
    </w:tbl>
    <w:p w:rsidR="00B74216" w:rsidRDefault="00B74216">
      <w:pPr>
        <w:rPr>
          <w:rFonts w:ascii="Arial" w:hAnsi="Arial" w:cs="Arial"/>
          <w:b/>
          <w:spacing w:val="20"/>
        </w:rPr>
      </w:pPr>
    </w:p>
    <w:p w:rsidR="00B74216" w:rsidRDefault="00B74216" w:rsidP="00B74216">
      <w:pPr>
        <w:rPr>
          <w:rFonts w:ascii="Arial" w:hAnsi="Arial" w:cs="Arial"/>
          <w:b/>
          <w:spacing w:val="20"/>
        </w:rPr>
      </w:pPr>
    </w:p>
    <w:p w:rsidR="00317419" w:rsidRDefault="00317419">
      <w:pPr>
        <w:rPr>
          <w:rFonts w:ascii="Arial" w:hAnsi="Arial" w:cs="Arial"/>
          <w:b/>
          <w:spacing w:val="20"/>
        </w:rPr>
      </w:pPr>
    </w:p>
    <w:p w:rsidR="00606D78" w:rsidRDefault="00606D78">
      <w:pPr>
        <w:rPr>
          <w:rFonts w:ascii="Arial" w:hAnsi="Arial" w:cs="Arial"/>
          <w:b/>
          <w:spacing w:val="20"/>
        </w:rPr>
      </w:pPr>
    </w:p>
    <w:p w:rsidR="00EF0A17" w:rsidRDefault="00EF0A17">
      <w:pPr>
        <w:rPr>
          <w:rFonts w:ascii="Arial" w:hAnsi="Arial" w:cs="Arial"/>
          <w:b/>
          <w:spacing w:val="20"/>
        </w:rPr>
      </w:pPr>
      <w:r>
        <w:rPr>
          <w:rFonts w:ascii="Arial" w:hAnsi="Arial" w:cs="Arial"/>
          <w:b/>
          <w:spacing w:val="20"/>
        </w:rPr>
        <w:br w:type="page"/>
      </w:r>
    </w:p>
    <w:p w:rsidR="006B0E03" w:rsidRDefault="00ED3AD8" w:rsidP="006B0E03">
      <w:pPr>
        <w:spacing w:line="22" w:lineRule="atLeast"/>
        <w:jc w:val="both"/>
        <w:rPr>
          <w:rFonts w:ascii="Arial" w:hAnsi="Arial" w:cs="Arial"/>
          <w:b/>
          <w:spacing w:val="20"/>
        </w:rPr>
      </w:pPr>
      <w:r>
        <w:rPr>
          <w:rFonts w:ascii="Arial" w:hAnsi="Arial" w:cs="Arial"/>
          <w:b/>
          <w:spacing w:val="20"/>
        </w:rPr>
        <w:lastRenderedPageBreak/>
        <w:t>7</w:t>
      </w:r>
      <w:r w:rsidR="003D7501">
        <w:rPr>
          <w:rFonts w:ascii="Arial" w:hAnsi="Arial" w:cs="Arial"/>
          <w:b/>
          <w:spacing w:val="20"/>
        </w:rPr>
        <w:t xml:space="preserve">.5.- </w:t>
      </w:r>
      <w:r w:rsidR="00A23F55">
        <w:rPr>
          <w:rFonts w:ascii="Arial" w:hAnsi="Arial" w:cs="Arial"/>
          <w:b/>
          <w:spacing w:val="20"/>
        </w:rPr>
        <w:t>CLASIFICACION POR TIPO DEL GASTO</w:t>
      </w:r>
    </w:p>
    <w:p w:rsidR="00A23F55" w:rsidRDefault="00A23F55" w:rsidP="006B0E03">
      <w:pPr>
        <w:spacing w:line="22" w:lineRule="atLeast"/>
        <w:jc w:val="both"/>
        <w:rPr>
          <w:rFonts w:ascii="Arial" w:hAnsi="Arial" w:cs="Arial"/>
          <w:b/>
          <w:spacing w:val="20"/>
        </w:rPr>
      </w:pPr>
    </w:p>
    <w:p w:rsidR="00ED3AD8" w:rsidRDefault="00ED3AD8" w:rsidP="006B0E03">
      <w:pPr>
        <w:spacing w:line="22" w:lineRule="atLeast"/>
        <w:jc w:val="both"/>
        <w:rPr>
          <w:rFonts w:ascii="Arial" w:hAnsi="Arial" w:cs="Arial"/>
          <w:b/>
          <w:spacing w:val="20"/>
        </w:rPr>
      </w:pPr>
    </w:p>
    <w:p w:rsidR="00776CD9" w:rsidRDefault="00776CD9" w:rsidP="006B0E03">
      <w:pPr>
        <w:spacing w:line="22" w:lineRule="atLeast"/>
        <w:jc w:val="both"/>
        <w:rPr>
          <w:rFonts w:ascii="Arial" w:hAnsi="Arial" w:cs="Arial"/>
          <w:b/>
          <w:spacing w:val="20"/>
        </w:rPr>
      </w:pPr>
    </w:p>
    <w:p w:rsidR="00776CD9" w:rsidRDefault="00EF0A17" w:rsidP="006B0E03">
      <w:pPr>
        <w:spacing w:line="22" w:lineRule="atLeast"/>
        <w:jc w:val="both"/>
        <w:rPr>
          <w:rFonts w:ascii="Arial" w:hAnsi="Arial" w:cs="Arial"/>
          <w:b/>
          <w:spacing w:val="20"/>
        </w:rPr>
      </w:pPr>
      <w:r w:rsidRPr="00EF0A17">
        <w:rPr>
          <w:noProof/>
          <w:lang w:val="es-MX" w:eastAsia="es-MX"/>
        </w:rPr>
        <w:drawing>
          <wp:inline distT="0" distB="0" distL="0" distR="0">
            <wp:extent cx="5671185" cy="1747651"/>
            <wp:effectExtent l="19050" t="0" r="5715" b="0"/>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5671185" cy="1747651"/>
                    </a:xfrm>
                    <a:prstGeom prst="rect">
                      <a:avLst/>
                    </a:prstGeom>
                    <a:noFill/>
                    <a:ln w="9525">
                      <a:noFill/>
                      <a:miter lim="800000"/>
                      <a:headEnd/>
                      <a:tailEnd/>
                    </a:ln>
                  </pic:spPr>
                </pic:pic>
              </a:graphicData>
            </a:graphic>
          </wp:inline>
        </w:drawing>
      </w:r>
    </w:p>
    <w:p w:rsidR="00ED3AD8" w:rsidRDefault="00ED3AD8" w:rsidP="006B0E03">
      <w:pPr>
        <w:spacing w:line="22" w:lineRule="atLeast"/>
        <w:jc w:val="both"/>
        <w:rPr>
          <w:rFonts w:ascii="Arial" w:hAnsi="Arial" w:cs="Arial"/>
          <w:b/>
          <w:spacing w:val="20"/>
        </w:rPr>
      </w:pPr>
    </w:p>
    <w:p w:rsidR="004010B0" w:rsidRDefault="004010B0" w:rsidP="006B0E03">
      <w:pPr>
        <w:spacing w:line="22" w:lineRule="atLeast"/>
        <w:jc w:val="both"/>
        <w:rPr>
          <w:rFonts w:ascii="Arial" w:hAnsi="Arial" w:cs="Arial"/>
          <w:b/>
          <w:spacing w:val="20"/>
        </w:rPr>
      </w:pPr>
    </w:p>
    <w:p w:rsidR="004010B0" w:rsidRDefault="004010B0" w:rsidP="006B0E03">
      <w:pPr>
        <w:spacing w:line="22" w:lineRule="atLeast"/>
        <w:jc w:val="both"/>
        <w:rPr>
          <w:rFonts w:ascii="Arial" w:hAnsi="Arial" w:cs="Arial"/>
          <w:b/>
          <w:spacing w:val="20"/>
        </w:rPr>
      </w:pPr>
    </w:p>
    <w:p w:rsidR="004010B0" w:rsidRDefault="004010B0" w:rsidP="006B0E03">
      <w:pPr>
        <w:spacing w:line="22" w:lineRule="atLeast"/>
        <w:jc w:val="both"/>
        <w:rPr>
          <w:rFonts w:ascii="Arial" w:hAnsi="Arial" w:cs="Arial"/>
          <w:b/>
          <w:spacing w:val="20"/>
        </w:rPr>
      </w:pPr>
    </w:p>
    <w:p w:rsidR="00ED3AD8" w:rsidRDefault="00ED3AD8" w:rsidP="006B0E03">
      <w:pPr>
        <w:spacing w:line="22" w:lineRule="atLeast"/>
        <w:jc w:val="both"/>
        <w:rPr>
          <w:rFonts w:ascii="Arial" w:hAnsi="Arial" w:cs="Arial"/>
          <w:b/>
          <w:spacing w:val="20"/>
        </w:rPr>
      </w:pPr>
    </w:p>
    <w:p w:rsidR="00BE613B" w:rsidRDefault="00BE613B" w:rsidP="006B0E03">
      <w:pPr>
        <w:spacing w:line="22" w:lineRule="atLeast"/>
        <w:jc w:val="both"/>
        <w:rPr>
          <w:rFonts w:ascii="Arial" w:hAnsi="Arial" w:cs="Arial"/>
          <w:b/>
          <w:spacing w:val="20"/>
        </w:rPr>
      </w:pPr>
    </w:p>
    <w:p w:rsidR="00BE613B" w:rsidRDefault="00BE613B" w:rsidP="006B0E03">
      <w:pPr>
        <w:spacing w:line="22" w:lineRule="atLeast"/>
        <w:jc w:val="both"/>
        <w:rPr>
          <w:rFonts w:ascii="Arial" w:hAnsi="Arial" w:cs="Arial"/>
          <w:b/>
          <w:spacing w:val="20"/>
        </w:rPr>
      </w:pPr>
    </w:p>
    <w:p w:rsidR="00A23F55" w:rsidRDefault="00A23F55" w:rsidP="006B0E03">
      <w:pPr>
        <w:spacing w:line="22" w:lineRule="atLeast"/>
        <w:jc w:val="both"/>
        <w:rPr>
          <w:rFonts w:ascii="Arial" w:hAnsi="Arial" w:cs="Arial"/>
          <w:b/>
          <w:spacing w:val="20"/>
        </w:rPr>
      </w:pPr>
    </w:p>
    <w:p w:rsidR="00BE613B" w:rsidRDefault="00BE613B">
      <w:pPr>
        <w:rPr>
          <w:rFonts w:ascii="Arial" w:hAnsi="Arial" w:cs="Arial"/>
          <w:b/>
          <w:spacing w:val="20"/>
        </w:rPr>
      </w:pPr>
      <w:r>
        <w:rPr>
          <w:rFonts w:ascii="Arial" w:hAnsi="Arial" w:cs="Arial"/>
          <w:b/>
          <w:spacing w:val="20"/>
        </w:rPr>
        <w:br w:type="page"/>
      </w:r>
    </w:p>
    <w:p w:rsidR="00C80499" w:rsidRPr="004F529F" w:rsidRDefault="008F5A9C" w:rsidP="00C80499">
      <w:pPr>
        <w:spacing w:line="22" w:lineRule="atLeast"/>
        <w:jc w:val="both"/>
        <w:rPr>
          <w:rFonts w:ascii="Arial" w:hAnsi="Arial" w:cs="Arial"/>
          <w:b/>
          <w:spacing w:val="20"/>
        </w:rPr>
      </w:pPr>
      <w:r w:rsidRPr="004F529F">
        <w:rPr>
          <w:rFonts w:ascii="Arial" w:hAnsi="Arial" w:cs="Arial"/>
          <w:b/>
          <w:spacing w:val="20"/>
        </w:rPr>
        <w:lastRenderedPageBreak/>
        <w:t>8</w:t>
      </w:r>
      <w:r w:rsidR="00113CEE" w:rsidRPr="004F529F">
        <w:rPr>
          <w:rFonts w:ascii="Arial" w:hAnsi="Arial" w:cs="Arial"/>
          <w:b/>
          <w:spacing w:val="20"/>
        </w:rPr>
        <w:t>.- DEUDA PÚBLICA</w:t>
      </w:r>
      <w:r w:rsidR="008600DD" w:rsidRPr="004F529F">
        <w:rPr>
          <w:rFonts w:ascii="Arial" w:hAnsi="Arial" w:cs="Arial"/>
          <w:b/>
          <w:spacing w:val="20"/>
        </w:rPr>
        <w:t xml:space="preserve"> ESTATAL</w:t>
      </w:r>
    </w:p>
    <w:p w:rsidR="00C80499" w:rsidRPr="004F529F" w:rsidRDefault="00C80499" w:rsidP="00C80499">
      <w:pPr>
        <w:spacing w:line="22" w:lineRule="atLeast"/>
        <w:jc w:val="both"/>
        <w:rPr>
          <w:rFonts w:ascii="Arial" w:hAnsi="Arial" w:cs="Arial"/>
          <w:b/>
          <w:spacing w:val="20"/>
        </w:rPr>
      </w:pPr>
    </w:p>
    <w:p w:rsidR="00281B04" w:rsidRPr="004F529F" w:rsidRDefault="00281B04" w:rsidP="00281B04">
      <w:pPr>
        <w:jc w:val="both"/>
        <w:rPr>
          <w:rFonts w:ascii="Arial" w:hAnsi="Arial" w:cs="Arial"/>
          <w:b/>
          <w:spacing w:val="20"/>
          <w:szCs w:val="20"/>
          <w:lang w:val="es-MX"/>
        </w:rPr>
      </w:pPr>
      <w:r w:rsidRPr="004F529F">
        <w:rPr>
          <w:rFonts w:ascii="Arial" w:hAnsi="Arial" w:cs="Arial"/>
          <w:b/>
          <w:spacing w:val="20"/>
          <w:szCs w:val="20"/>
          <w:lang w:val="es-MX"/>
        </w:rPr>
        <w:t>Política.</w:t>
      </w:r>
    </w:p>
    <w:p w:rsidR="00281B04" w:rsidRPr="004F529F" w:rsidRDefault="00281B04" w:rsidP="00281B04">
      <w:pPr>
        <w:jc w:val="both"/>
        <w:rPr>
          <w:rFonts w:ascii="Arial" w:hAnsi="Arial" w:cs="Arial"/>
          <w:spacing w:val="20"/>
          <w:szCs w:val="20"/>
          <w:lang w:val="es-MX"/>
        </w:rPr>
      </w:pPr>
    </w:p>
    <w:p w:rsidR="00281B04" w:rsidRPr="004F529F" w:rsidRDefault="00281B04" w:rsidP="00281B04">
      <w:pPr>
        <w:jc w:val="both"/>
        <w:rPr>
          <w:rFonts w:ascii="Arial" w:hAnsi="Arial" w:cs="Arial"/>
          <w:spacing w:val="20"/>
          <w:szCs w:val="20"/>
          <w:lang w:val="es-MX"/>
        </w:rPr>
      </w:pPr>
      <w:r w:rsidRPr="004F529F">
        <w:rPr>
          <w:rFonts w:ascii="Arial" w:hAnsi="Arial" w:cs="Arial"/>
          <w:spacing w:val="20"/>
          <w:szCs w:val="20"/>
          <w:lang w:val="es-MX"/>
        </w:rPr>
        <w:t>Se mantiene una política de transparencia, disciplina y responsabilidad fiscal.</w:t>
      </w:r>
    </w:p>
    <w:p w:rsidR="00281B04" w:rsidRPr="004F529F" w:rsidRDefault="00281B04" w:rsidP="00281B04">
      <w:pPr>
        <w:jc w:val="both"/>
        <w:rPr>
          <w:rFonts w:ascii="Arial" w:hAnsi="Arial" w:cs="Arial"/>
          <w:spacing w:val="20"/>
          <w:szCs w:val="20"/>
          <w:lang w:val="es-MX"/>
        </w:rPr>
      </w:pPr>
    </w:p>
    <w:p w:rsidR="00281B04" w:rsidRPr="004F529F" w:rsidRDefault="00281B04" w:rsidP="00281B04">
      <w:pPr>
        <w:jc w:val="both"/>
        <w:rPr>
          <w:rFonts w:ascii="Arial" w:hAnsi="Arial" w:cs="Arial"/>
          <w:b/>
          <w:spacing w:val="20"/>
          <w:szCs w:val="20"/>
          <w:lang w:val="es-MX"/>
        </w:rPr>
      </w:pPr>
      <w:r w:rsidRPr="004F529F">
        <w:rPr>
          <w:rFonts w:ascii="Arial" w:hAnsi="Arial" w:cs="Arial"/>
          <w:b/>
          <w:spacing w:val="20"/>
          <w:szCs w:val="20"/>
          <w:lang w:val="es-MX"/>
        </w:rPr>
        <w:t>Objetivos.</w:t>
      </w:r>
    </w:p>
    <w:p w:rsidR="00281B04" w:rsidRPr="004F529F" w:rsidRDefault="00281B04" w:rsidP="00281B04">
      <w:pPr>
        <w:jc w:val="both"/>
        <w:rPr>
          <w:rFonts w:ascii="Arial" w:hAnsi="Arial" w:cs="Arial"/>
          <w:spacing w:val="20"/>
          <w:szCs w:val="20"/>
          <w:lang w:val="es-MX"/>
        </w:rPr>
      </w:pPr>
    </w:p>
    <w:p w:rsidR="00281B04" w:rsidRPr="004F529F" w:rsidRDefault="00281B04" w:rsidP="00281B04">
      <w:pPr>
        <w:jc w:val="both"/>
        <w:rPr>
          <w:rFonts w:ascii="Arial" w:hAnsi="Arial" w:cs="Arial"/>
          <w:spacing w:val="20"/>
          <w:szCs w:val="20"/>
          <w:lang w:val="es-MX"/>
        </w:rPr>
      </w:pPr>
      <w:r w:rsidRPr="004F529F">
        <w:rPr>
          <w:rFonts w:ascii="Arial" w:hAnsi="Arial" w:cs="Arial"/>
          <w:spacing w:val="20"/>
          <w:szCs w:val="20"/>
          <w:lang w:val="es-MX"/>
        </w:rPr>
        <w:t>Equilibrio presupuestario  que  garanticen la estabilidad financiera del gobierno.</w:t>
      </w:r>
    </w:p>
    <w:p w:rsidR="00281B04" w:rsidRPr="004F529F" w:rsidRDefault="00281B04" w:rsidP="00281B04">
      <w:pPr>
        <w:jc w:val="both"/>
        <w:rPr>
          <w:rFonts w:ascii="Arial" w:hAnsi="Arial" w:cs="Arial"/>
          <w:spacing w:val="20"/>
          <w:szCs w:val="20"/>
          <w:lang w:val="es-MX"/>
        </w:rPr>
      </w:pPr>
    </w:p>
    <w:p w:rsidR="00281B04" w:rsidRPr="004F529F" w:rsidRDefault="00281B04" w:rsidP="00281B04">
      <w:pPr>
        <w:jc w:val="both"/>
        <w:rPr>
          <w:rFonts w:ascii="Arial" w:hAnsi="Arial" w:cs="Arial"/>
          <w:spacing w:val="20"/>
          <w:szCs w:val="20"/>
          <w:lang w:val="es-MX"/>
        </w:rPr>
      </w:pPr>
      <w:r w:rsidRPr="004F529F">
        <w:rPr>
          <w:rFonts w:ascii="Arial" w:hAnsi="Arial" w:cs="Arial"/>
          <w:spacing w:val="20"/>
          <w:szCs w:val="20"/>
          <w:lang w:val="es-MX"/>
        </w:rPr>
        <w:t>Limites de endeudamiento autorizado por la Legislatura Local.</w:t>
      </w:r>
    </w:p>
    <w:p w:rsidR="00281B04" w:rsidRPr="004F529F" w:rsidRDefault="00281B04" w:rsidP="00281B04">
      <w:pPr>
        <w:jc w:val="both"/>
        <w:rPr>
          <w:rFonts w:ascii="Arial" w:hAnsi="Arial" w:cs="Arial"/>
          <w:spacing w:val="20"/>
          <w:szCs w:val="20"/>
          <w:lang w:val="es-MX"/>
        </w:rPr>
      </w:pPr>
    </w:p>
    <w:p w:rsidR="00281B04" w:rsidRPr="004F529F" w:rsidRDefault="00281B04" w:rsidP="00281B04">
      <w:pPr>
        <w:pStyle w:val="Default"/>
        <w:numPr>
          <w:ilvl w:val="0"/>
          <w:numId w:val="4"/>
        </w:numPr>
        <w:jc w:val="both"/>
        <w:rPr>
          <w:color w:val="auto"/>
          <w:spacing w:val="20"/>
          <w:szCs w:val="20"/>
          <w:lang w:val="es-MX"/>
        </w:rPr>
      </w:pPr>
      <w:r w:rsidRPr="004F529F">
        <w:rPr>
          <w:color w:val="auto"/>
          <w:spacing w:val="20"/>
          <w:szCs w:val="20"/>
          <w:lang w:val="es-MX"/>
        </w:rPr>
        <w:t xml:space="preserve">Gestione y contrate empréstitos en moneda nacional, con la Federación, Entidades Federativas, sociedades y particulares nacionales hasta por la cantidad de 1,000 millones de pesos. </w:t>
      </w:r>
    </w:p>
    <w:p w:rsidR="00281B04" w:rsidRPr="004F529F" w:rsidRDefault="00281B04" w:rsidP="00281B04">
      <w:pPr>
        <w:pStyle w:val="Default"/>
        <w:ind w:left="720"/>
        <w:jc w:val="both"/>
        <w:rPr>
          <w:color w:val="auto"/>
          <w:spacing w:val="20"/>
          <w:szCs w:val="20"/>
          <w:lang w:val="es-MX"/>
        </w:rPr>
      </w:pPr>
    </w:p>
    <w:p w:rsidR="00281B04" w:rsidRPr="004F529F" w:rsidRDefault="00281B04" w:rsidP="00281B04">
      <w:pPr>
        <w:pStyle w:val="Default"/>
        <w:numPr>
          <w:ilvl w:val="0"/>
          <w:numId w:val="4"/>
        </w:numPr>
        <w:jc w:val="both"/>
        <w:rPr>
          <w:color w:val="auto"/>
          <w:spacing w:val="20"/>
          <w:szCs w:val="20"/>
          <w:lang w:val="es-MX"/>
        </w:rPr>
      </w:pPr>
      <w:r w:rsidRPr="004F529F">
        <w:rPr>
          <w:color w:val="auto"/>
          <w:spacing w:val="20"/>
          <w:szCs w:val="20"/>
          <w:lang w:val="es-MX"/>
        </w:rPr>
        <w:t xml:space="preserve">Gestione y contrate empréstitos en moneda nacional, con la Federación, Entidades Federativas y banca de desarrollo hasta por la cantidad de 800 millones de peso, para infraestructura educativa. </w:t>
      </w:r>
    </w:p>
    <w:p w:rsidR="00281B04" w:rsidRPr="004F529F" w:rsidRDefault="00281B04" w:rsidP="00281B04">
      <w:pPr>
        <w:pStyle w:val="Default"/>
        <w:jc w:val="both"/>
        <w:rPr>
          <w:color w:val="auto"/>
          <w:spacing w:val="20"/>
          <w:szCs w:val="20"/>
          <w:lang w:val="es-MX"/>
        </w:rPr>
      </w:pPr>
    </w:p>
    <w:p w:rsidR="00281B04" w:rsidRPr="004F529F" w:rsidRDefault="00281B04" w:rsidP="00281B04">
      <w:pPr>
        <w:pStyle w:val="Default"/>
        <w:numPr>
          <w:ilvl w:val="0"/>
          <w:numId w:val="4"/>
        </w:numPr>
        <w:jc w:val="both"/>
        <w:rPr>
          <w:color w:val="auto"/>
          <w:spacing w:val="20"/>
          <w:szCs w:val="20"/>
          <w:lang w:val="es-MX"/>
        </w:rPr>
      </w:pPr>
      <w:r w:rsidRPr="004F529F">
        <w:rPr>
          <w:color w:val="auto"/>
          <w:spacing w:val="20"/>
          <w:szCs w:val="20"/>
          <w:lang w:val="es-MX"/>
        </w:rPr>
        <w:t xml:space="preserve">Contratar con la banca de desarrollo o las instituciones financieras mexicana autorizada, de conformidad con los lineamientos para apoyar la </w:t>
      </w:r>
      <w:proofErr w:type="spellStart"/>
      <w:r w:rsidRPr="004F529F">
        <w:rPr>
          <w:color w:val="auto"/>
          <w:spacing w:val="20"/>
          <w:szCs w:val="20"/>
          <w:lang w:val="es-MX"/>
        </w:rPr>
        <w:t>Implementaciòn</w:t>
      </w:r>
      <w:proofErr w:type="spellEnd"/>
      <w:r w:rsidRPr="004F529F">
        <w:rPr>
          <w:color w:val="auto"/>
          <w:spacing w:val="20"/>
          <w:szCs w:val="20"/>
          <w:lang w:val="es-MX"/>
        </w:rPr>
        <w:t xml:space="preserve"> del Sistema de Justicia Penal en la Entidades Federativas </w:t>
      </w:r>
      <w:proofErr w:type="spellStart"/>
      <w:r w:rsidRPr="004F529F">
        <w:rPr>
          <w:color w:val="auto"/>
          <w:spacing w:val="20"/>
          <w:szCs w:val="20"/>
          <w:lang w:val="es-MX"/>
        </w:rPr>
        <w:t>financimiento</w:t>
      </w:r>
      <w:proofErr w:type="spellEnd"/>
      <w:r w:rsidRPr="004F529F">
        <w:rPr>
          <w:color w:val="auto"/>
          <w:spacing w:val="20"/>
          <w:szCs w:val="20"/>
          <w:lang w:val="es-MX"/>
        </w:rPr>
        <w:t xml:space="preserve"> hasta por la cantidad de 420 millones de pesos.</w:t>
      </w:r>
    </w:p>
    <w:p w:rsidR="00281B04" w:rsidRPr="004F529F" w:rsidRDefault="00281B04" w:rsidP="00281B04">
      <w:pPr>
        <w:pStyle w:val="Default"/>
        <w:jc w:val="both"/>
        <w:rPr>
          <w:color w:val="auto"/>
          <w:spacing w:val="20"/>
          <w:szCs w:val="20"/>
          <w:lang w:val="es-MX"/>
        </w:rPr>
      </w:pPr>
    </w:p>
    <w:p w:rsidR="00281B04" w:rsidRPr="004F529F" w:rsidRDefault="00281B04" w:rsidP="00281B04">
      <w:pPr>
        <w:pStyle w:val="Default"/>
        <w:jc w:val="both"/>
        <w:rPr>
          <w:color w:val="auto"/>
          <w:spacing w:val="20"/>
          <w:szCs w:val="20"/>
          <w:lang w:val="es-MX"/>
        </w:rPr>
      </w:pPr>
      <w:r w:rsidRPr="004F529F">
        <w:rPr>
          <w:color w:val="auto"/>
          <w:spacing w:val="20"/>
          <w:szCs w:val="20"/>
          <w:lang w:val="es-MX"/>
        </w:rPr>
        <w:t>En el caso de las contrataciones de financiamientos a corto plazo, este se  sustenta en el artículo 9 de la Ley de Deuda Pública.</w:t>
      </w:r>
    </w:p>
    <w:p w:rsidR="00281B04" w:rsidRPr="004F529F" w:rsidRDefault="00281B04" w:rsidP="00281B04">
      <w:pPr>
        <w:pStyle w:val="Default"/>
        <w:jc w:val="both"/>
        <w:rPr>
          <w:color w:val="auto"/>
          <w:spacing w:val="20"/>
          <w:szCs w:val="20"/>
          <w:lang w:val="es-MX"/>
        </w:rPr>
      </w:pPr>
    </w:p>
    <w:p w:rsidR="00281B04" w:rsidRPr="004F529F" w:rsidRDefault="00281B04" w:rsidP="00281B04">
      <w:pPr>
        <w:jc w:val="both"/>
        <w:rPr>
          <w:rFonts w:ascii="Arial" w:hAnsi="Arial" w:cs="Arial"/>
          <w:spacing w:val="20"/>
          <w:szCs w:val="20"/>
          <w:lang w:val="es-MX"/>
        </w:rPr>
      </w:pPr>
      <w:r w:rsidRPr="004F529F">
        <w:rPr>
          <w:rFonts w:ascii="Arial" w:hAnsi="Arial" w:cs="Arial"/>
          <w:spacing w:val="20"/>
          <w:szCs w:val="20"/>
          <w:lang w:val="es-MX"/>
        </w:rPr>
        <w:t>Evolución  de la Deuda Pública Estatal y  Créditos Bancarios a corto plazo</w:t>
      </w:r>
    </w:p>
    <w:p w:rsidR="00281B04" w:rsidRPr="004F529F" w:rsidRDefault="00281B04" w:rsidP="00281B04">
      <w:pPr>
        <w:jc w:val="both"/>
        <w:rPr>
          <w:rFonts w:ascii="Arial" w:hAnsi="Arial" w:cs="Arial"/>
          <w:spacing w:val="20"/>
          <w:szCs w:val="20"/>
          <w:lang w:val="es-MX"/>
        </w:rPr>
      </w:pPr>
    </w:p>
    <w:p w:rsidR="00281B04" w:rsidRPr="004F529F" w:rsidRDefault="00281B04" w:rsidP="00281B04">
      <w:pPr>
        <w:jc w:val="both"/>
        <w:rPr>
          <w:rFonts w:ascii="Arial" w:hAnsi="Arial" w:cs="Arial"/>
          <w:b/>
          <w:spacing w:val="20"/>
          <w:szCs w:val="20"/>
          <w:lang w:val="es-MX"/>
        </w:rPr>
      </w:pPr>
      <w:r w:rsidRPr="004F529F">
        <w:rPr>
          <w:rFonts w:ascii="Arial" w:hAnsi="Arial" w:cs="Arial"/>
          <w:b/>
          <w:spacing w:val="20"/>
          <w:szCs w:val="20"/>
          <w:lang w:val="es-MX"/>
        </w:rPr>
        <w:t>Endeudamiento.</w:t>
      </w:r>
    </w:p>
    <w:p w:rsidR="00281B04" w:rsidRPr="004F529F" w:rsidRDefault="00281B04" w:rsidP="00281B04">
      <w:pPr>
        <w:jc w:val="both"/>
        <w:rPr>
          <w:rFonts w:ascii="Arial" w:hAnsi="Arial" w:cs="Arial"/>
          <w:spacing w:val="20"/>
          <w:szCs w:val="20"/>
          <w:lang w:val="es-MX"/>
        </w:rPr>
      </w:pPr>
    </w:p>
    <w:p w:rsidR="00281B04" w:rsidRPr="004F529F" w:rsidRDefault="00281B04" w:rsidP="00281B04">
      <w:pPr>
        <w:jc w:val="both"/>
        <w:rPr>
          <w:rFonts w:ascii="Arial" w:hAnsi="Arial" w:cs="Arial"/>
          <w:spacing w:val="20"/>
          <w:szCs w:val="20"/>
          <w:lang w:val="es-MX"/>
        </w:rPr>
      </w:pPr>
      <w:r w:rsidRPr="004F529F">
        <w:rPr>
          <w:rFonts w:ascii="Arial" w:hAnsi="Arial" w:cs="Arial"/>
          <w:spacing w:val="20"/>
          <w:szCs w:val="20"/>
          <w:lang w:val="es-MX"/>
        </w:rPr>
        <w:t xml:space="preserve">El día 18 de junio de 2015, el Estado suscribió un Contrato  de Apertura de Crédito Simple con BBVA Bancomer, S.A., por 1,000 millones de pesos, con periodo de gracia  de 24 meses, destinado para inversiones públicas productivas. La  fuente de pago es el 1.9% </w:t>
      </w:r>
      <w:r w:rsidRPr="004F529F">
        <w:rPr>
          <w:rFonts w:ascii="Arial" w:hAnsi="Arial" w:cs="Arial"/>
          <w:spacing w:val="20"/>
          <w:szCs w:val="20"/>
          <w:lang w:val="es-MX"/>
        </w:rPr>
        <w:lastRenderedPageBreak/>
        <w:t>de los derechos sobre las participaciones que en ingresos federales le corresponden al Estado derivadas del Fondo General de Participaciones. La contratación  no rebasa el importe autorizado por el H. Congreso del Estado, en el decreto número 670, publicado el día 27 de diciembre de2014.</w:t>
      </w:r>
    </w:p>
    <w:p w:rsidR="00281B04" w:rsidRPr="004F529F" w:rsidRDefault="00281B04" w:rsidP="00281B04">
      <w:pPr>
        <w:jc w:val="both"/>
        <w:rPr>
          <w:rFonts w:ascii="Arial" w:hAnsi="Arial" w:cs="Arial"/>
          <w:spacing w:val="20"/>
          <w:szCs w:val="20"/>
          <w:lang w:val="es-MX"/>
        </w:rPr>
      </w:pPr>
    </w:p>
    <w:p w:rsidR="00281B04" w:rsidRPr="004F529F" w:rsidRDefault="00281B04" w:rsidP="00281B04">
      <w:pPr>
        <w:jc w:val="both"/>
        <w:rPr>
          <w:rFonts w:ascii="Arial" w:hAnsi="Arial" w:cs="Arial"/>
          <w:spacing w:val="20"/>
          <w:szCs w:val="20"/>
          <w:lang w:val="es-MX"/>
        </w:rPr>
      </w:pPr>
      <w:r w:rsidRPr="004F529F">
        <w:rPr>
          <w:rFonts w:ascii="Arial" w:hAnsi="Arial" w:cs="Arial"/>
          <w:spacing w:val="20"/>
          <w:szCs w:val="20"/>
          <w:lang w:val="es-MX"/>
        </w:rPr>
        <w:t>También  se suscribió un Contrato de Fideicomiso Irrevocable de Administración y Fuente de Pago identificado con el número 70049, con Banca AFIRME, S.A. como fiduciario, que servirá como mecánica de pago, garantizando de esta forma el cumplimiento de la obligación.</w:t>
      </w:r>
    </w:p>
    <w:p w:rsidR="00281B04" w:rsidRPr="004F529F" w:rsidRDefault="00281B04" w:rsidP="00281B04">
      <w:pPr>
        <w:jc w:val="both"/>
        <w:rPr>
          <w:rFonts w:ascii="Arial" w:hAnsi="Arial" w:cs="Arial"/>
          <w:spacing w:val="20"/>
          <w:szCs w:val="20"/>
          <w:lang w:val="es-MX"/>
        </w:rPr>
      </w:pPr>
      <w:r w:rsidRPr="004F529F">
        <w:rPr>
          <w:rFonts w:ascii="Arial" w:hAnsi="Arial" w:cs="Arial"/>
          <w:spacing w:val="20"/>
          <w:szCs w:val="20"/>
          <w:lang w:val="es-MX"/>
        </w:rPr>
        <w:t>El Estado aun no dispone de los recursos del crédito al cierre del trimestre.</w:t>
      </w:r>
    </w:p>
    <w:p w:rsidR="00281B04" w:rsidRPr="004F529F" w:rsidRDefault="00281B04" w:rsidP="00281B04">
      <w:pPr>
        <w:jc w:val="both"/>
        <w:rPr>
          <w:rFonts w:ascii="Arial" w:hAnsi="Arial" w:cs="Arial"/>
          <w:spacing w:val="20"/>
          <w:szCs w:val="20"/>
          <w:lang w:val="es-MX"/>
        </w:rPr>
      </w:pPr>
    </w:p>
    <w:p w:rsidR="00281B04" w:rsidRPr="004F529F" w:rsidRDefault="00281B04" w:rsidP="00281B04">
      <w:pPr>
        <w:jc w:val="both"/>
        <w:rPr>
          <w:rFonts w:ascii="Arial" w:hAnsi="Arial" w:cs="Arial"/>
          <w:b/>
          <w:spacing w:val="20"/>
          <w:szCs w:val="20"/>
          <w:lang w:val="es-MX"/>
        </w:rPr>
      </w:pPr>
      <w:r w:rsidRPr="004F529F">
        <w:rPr>
          <w:rFonts w:ascii="Arial" w:hAnsi="Arial" w:cs="Arial"/>
          <w:b/>
          <w:spacing w:val="20"/>
          <w:szCs w:val="20"/>
          <w:lang w:val="es-MX"/>
        </w:rPr>
        <w:t xml:space="preserve">Saldos de la Deuda </w:t>
      </w:r>
    </w:p>
    <w:p w:rsidR="00281B04" w:rsidRPr="004F529F" w:rsidRDefault="00281B04" w:rsidP="00281B04">
      <w:pPr>
        <w:jc w:val="both"/>
        <w:rPr>
          <w:rFonts w:ascii="Arial" w:hAnsi="Arial" w:cs="Arial"/>
          <w:b/>
          <w:spacing w:val="20"/>
          <w:szCs w:val="20"/>
          <w:lang w:val="es-MX"/>
        </w:rPr>
      </w:pPr>
    </w:p>
    <w:p w:rsidR="00281B04" w:rsidRPr="004F529F" w:rsidRDefault="00281B04" w:rsidP="00281B04">
      <w:pPr>
        <w:jc w:val="both"/>
        <w:rPr>
          <w:rFonts w:ascii="Arial" w:hAnsi="Arial" w:cs="Arial"/>
          <w:spacing w:val="20"/>
          <w:szCs w:val="20"/>
          <w:lang w:val="es-MX"/>
        </w:rPr>
      </w:pPr>
      <w:r w:rsidRPr="004F529F">
        <w:rPr>
          <w:rFonts w:ascii="Arial" w:hAnsi="Arial" w:cs="Arial"/>
          <w:spacing w:val="20"/>
          <w:szCs w:val="20"/>
          <w:lang w:val="es-MX"/>
        </w:rPr>
        <w:t>Existen 8 financiamientos a largo plazo considerados como deuda pública y 5 créditos bancarios a corto plazo considerados como obligaciones de pago, a continuación se describen:</w:t>
      </w:r>
    </w:p>
    <w:p w:rsidR="00281B04" w:rsidRPr="004F529F" w:rsidRDefault="00281B04" w:rsidP="00281B04">
      <w:pPr>
        <w:jc w:val="both"/>
        <w:rPr>
          <w:rFonts w:ascii="Arial" w:hAnsi="Arial" w:cs="Arial"/>
          <w:spacing w:val="20"/>
          <w:szCs w:val="20"/>
          <w:lang w:val="es-MX"/>
        </w:rPr>
      </w:pPr>
    </w:p>
    <w:p w:rsidR="00281B04" w:rsidRPr="004F529F" w:rsidRDefault="00281B04" w:rsidP="00281B04">
      <w:pPr>
        <w:jc w:val="both"/>
        <w:rPr>
          <w:rFonts w:ascii="Arial" w:hAnsi="Arial" w:cs="Arial"/>
          <w:spacing w:val="20"/>
          <w:szCs w:val="20"/>
          <w:lang w:val="es-MX"/>
        </w:rPr>
      </w:pPr>
      <w:r w:rsidRPr="004F529F">
        <w:rPr>
          <w:rFonts w:ascii="Arial" w:hAnsi="Arial" w:cs="Arial"/>
          <w:noProof/>
          <w:spacing w:val="20"/>
          <w:szCs w:val="20"/>
          <w:lang w:val="es-MX" w:eastAsia="es-MX"/>
        </w:rPr>
        <w:drawing>
          <wp:inline distT="0" distB="0" distL="0" distR="0">
            <wp:extent cx="5943600" cy="4047325"/>
            <wp:effectExtent l="0" t="0" r="0" b="0"/>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950617" cy="4052103"/>
                    </a:xfrm>
                    <a:prstGeom prst="rect">
                      <a:avLst/>
                    </a:prstGeom>
                    <a:noFill/>
                    <a:ln w="9525">
                      <a:noFill/>
                      <a:miter lim="800000"/>
                      <a:headEnd/>
                      <a:tailEnd/>
                    </a:ln>
                  </pic:spPr>
                </pic:pic>
              </a:graphicData>
            </a:graphic>
          </wp:inline>
        </w:drawing>
      </w:r>
    </w:p>
    <w:p w:rsidR="00281B04" w:rsidRPr="004F529F" w:rsidRDefault="00281B04" w:rsidP="00281B04">
      <w:pPr>
        <w:jc w:val="both"/>
        <w:rPr>
          <w:rFonts w:ascii="Arial" w:hAnsi="Arial" w:cs="Arial"/>
          <w:spacing w:val="20"/>
          <w:szCs w:val="20"/>
          <w:lang w:val="es-MX"/>
        </w:rPr>
      </w:pPr>
      <w:r w:rsidRPr="004F529F">
        <w:rPr>
          <w:rFonts w:ascii="Arial" w:hAnsi="Arial" w:cs="Arial"/>
          <w:spacing w:val="20"/>
          <w:szCs w:val="20"/>
          <w:lang w:val="es-MX"/>
        </w:rPr>
        <w:lastRenderedPageBreak/>
        <w:t>Al cierre del periodo, el saldo de créditos a corto plazo asciende a 2,373 millones de pesos y  la deuda pública estatal asciende a 4,405 millones 35 mil  pesos, sumando un total de 6,778 millones 35 mil  26 pesos.</w:t>
      </w:r>
    </w:p>
    <w:p w:rsidR="00281B04" w:rsidRPr="004F529F" w:rsidRDefault="00281B04" w:rsidP="00281B04">
      <w:pPr>
        <w:jc w:val="both"/>
        <w:rPr>
          <w:rFonts w:ascii="Arial" w:hAnsi="Arial" w:cs="Arial"/>
          <w:spacing w:val="20"/>
          <w:szCs w:val="20"/>
          <w:lang w:val="es-MX"/>
        </w:rPr>
      </w:pPr>
    </w:p>
    <w:p w:rsidR="00281B04" w:rsidRPr="004F529F" w:rsidRDefault="00281B04" w:rsidP="00281B04">
      <w:pPr>
        <w:jc w:val="both"/>
        <w:rPr>
          <w:rFonts w:ascii="Arial" w:hAnsi="Arial" w:cs="Arial"/>
          <w:spacing w:val="20"/>
          <w:szCs w:val="20"/>
          <w:lang w:val="es-MX"/>
        </w:rPr>
      </w:pPr>
      <w:r w:rsidRPr="004F529F">
        <w:rPr>
          <w:rFonts w:ascii="Arial" w:hAnsi="Arial" w:cs="Arial"/>
          <w:spacing w:val="20"/>
          <w:szCs w:val="20"/>
          <w:lang w:val="es-MX"/>
        </w:rPr>
        <w:t>El desendeudamiento neto de la deuda pública estatal del periodo, asciende a  79 millones 88 mil 518 pesos, ejerciendo recursos del Fondo de Aportaciones para el Fortalecimiento de las Entidades Federativas (FAFEF) para el saneamiento financiero, Fondo de Infraestructura Social Estatal (FISE) y  Asignación de Operación Ordinaria.</w:t>
      </w:r>
    </w:p>
    <w:p w:rsidR="00281B04" w:rsidRPr="004F529F" w:rsidRDefault="00281B04" w:rsidP="00281B04">
      <w:pPr>
        <w:jc w:val="both"/>
        <w:rPr>
          <w:rFonts w:ascii="Arial" w:hAnsi="Arial" w:cs="Arial"/>
          <w:spacing w:val="20"/>
          <w:szCs w:val="20"/>
          <w:lang w:val="es-MX"/>
        </w:rPr>
      </w:pPr>
    </w:p>
    <w:p w:rsidR="00281B04" w:rsidRPr="004F529F" w:rsidRDefault="00281B04" w:rsidP="00281B04">
      <w:pPr>
        <w:jc w:val="both"/>
        <w:rPr>
          <w:rFonts w:ascii="Arial" w:hAnsi="Arial" w:cs="Arial"/>
          <w:b/>
          <w:spacing w:val="20"/>
          <w:szCs w:val="20"/>
          <w:lang w:val="es-MX"/>
        </w:rPr>
      </w:pPr>
      <w:r w:rsidRPr="004F529F">
        <w:rPr>
          <w:rFonts w:ascii="Arial" w:hAnsi="Arial" w:cs="Arial"/>
          <w:b/>
          <w:spacing w:val="20"/>
          <w:szCs w:val="20"/>
          <w:lang w:val="es-MX"/>
        </w:rPr>
        <w:t>Costo Financiero</w:t>
      </w:r>
    </w:p>
    <w:p w:rsidR="00281B04" w:rsidRPr="004F529F" w:rsidRDefault="00281B04" w:rsidP="00281B04">
      <w:pPr>
        <w:jc w:val="both"/>
        <w:rPr>
          <w:rFonts w:ascii="Arial" w:hAnsi="Arial" w:cs="Arial"/>
          <w:spacing w:val="20"/>
          <w:szCs w:val="20"/>
          <w:lang w:val="es-MX"/>
        </w:rPr>
      </w:pPr>
    </w:p>
    <w:p w:rsidR="00281B04" w:rsidRPr="004F529F" w:rsidRDefault="00281B04" w:rsidP="00281B04">
      <w:pPr>
        <w:jc w:val="both"/>
        <w:rPr>
          <w:rFonts w:ascii="Arial" w:hAnsi="Arial" w:cs="Arial"/>
          <w:spacing w:val="20"/>
          <w:szCs w:val="20"/>
          <w:lang w:val="es-MX"/>
        </w:rPr>
      </w:pPr>
      <w:r w:rsidRPr="004F529F">
        <w:rPr>
          <w:rFonts w:ascii="Arial" w:hAnsi="Arial" w:cs="Arial"/>
          <w:spacing w:val="20"/>
          <w:szCs w:val="20"/>
          <w:lang w:val="es-MX"/>
        </w:rPr>
        <w:t>El costo por financiamiento de la deuda pública asciende a  92 millones 968 mil  pesos, ejerciendo  recursos de FAFEF para el saneamiento  financiero, FISE  y  Asignación de Operación Ordinaria; y el costo de los créditos bancarios a corto plazo asciende a 46 millones 389 mil 733 pesos.</w:t>
      </w:r>
    </w:p>
    <w:p w:rsidR="00281B04" w:rsidRPr="004F529F" w:rsidRDefault="00281B04" w:rsidP="00281B04">
      <w:pPr>
        <w:jc w:val="both"/>
        <w:rPr>
          <w:rFonts w:ascii="Arial" w:hAnsi="Arial" w:cs="Arial"/>
          <w:spacing w:val="20"/>
          <w:szCs w:val="20"/>
          <w:lang w:val="es-MX"/>
        </w:rPr>
      </w:pPr>
    </w:p>
    <w:p w:rsidR="00281B04" w:rsidRPr="004F529F" w:rsidRDefault="00281B04" w:rsidP="00281B04">
      <w:pPr>
        <w:jc w:val="center"/>
        <w:rPr>
          <w:rFonts w:ascii="Arial" w:hAnsi="Arial" w:cs="Arial"/>
          <w:spacing w:val="20"/>
          <w:szCs w:val="20"/>
          <w:lang w:val="es-MX"/>
        </w:rPr>
      </w:pPr>
      <w:r w:rsidRPr="004F529F">
        <w:rPr>
          <w:rFonts w:ascii="Arial" w:hAnsi="Arial" w:cs="Arial"/>
          <w:noProof/>
          <w:spacing w:val="20"/>
          <w:szCs w:val="20"/>
          <w:lang w:val="es-MX" w:eastAsia="es-MX"/>
        </w:rPr>
        <w:drawing>
          <wp:inline distT="0" distB="0" distL="0" distR="0">
            <wp:extent cx="5171847" cy="3856873"/>
            <wp:effectExtent l="0" t="0" r="0" b="0"/>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5173209" cy="3857889"/>
                    </a:xfrm>
                    <a:prstGeom prst="rect">
                      <a:avLst/>
                    </a:prstGeom>
                    <a:noFill/>
                    <a:ln w="9525">
                      <a:noFill/>
                      <a:miter lim="800000"/>
                      <a:headEnd/>
                      <a:tailEnd/>
                    </a:ln>
                  </pic:spPr>
                </pic:pic>
              </a:graphicData>
            </a:graphic>
          </wp:inline>
        </w:drawing>
      </w:r>
    </w:p>
    <w:p w:rsidR="00281B04" w:rsidRPr="004F529F" w:rsidRDefault="00281B04" w:rsidP="00281B04">
      <w:pPr>
        <w:pStyle w:val="Prrafodelista"/>
        <w:ind w:left="0"/>
        <w:jc w:val="both"/>
        <w:rPr>
          <w:rFonts w:ascii="Arial" w:hAnsi="Arial" w:cs="Arial"/>
          <w:spacing w:val="20"/>
          <w:sz w:val="24"/>
        </w:rPr>
      </w:pPr>
    </w:p>
    <w:p w:rsidR="00281B04" w:rsidRPr="004F529F" w:rsidRDefault="00281B04" w:rsidP="00281B04">
      <w:pPr>
        <w:pStyle w:val="Prrafodelista"/>
        <w:ind w:left="0"/>
        <w:jc w:val="both"/>
        <w:rPr>
          <w:rFonts w:ascii="Arial" w:hAnsi="Arial" w:cs="Arial"/>
          <w:b/>
          <w:spacing w:val="20"/>
          <w:sz w:val="24"/>
        </w:rPr>
      </w:pPr>
      <w:r w:rsidRPr="004F529F">
        <w:rPr>
          <w:rFonts w:ascii="Arial" w:hAnsi="Arial" w:cs="Arial"/>
          <w:b/>
          <w:spacing w:val="20"/>
          <w:sz w:val="24"/>
        </w:rPr>
        <w:t>OBLIGACIONES DE PAGO (Bonos Cupón Cero).</w:t>
      </w:r>
    </w:p>
    <w:p w:rsidR="00281B04" w:rsidRPr="004F529F" w:rsidRDefault="00281B04" w:rsidP="00281B04">
      <w:pPr>
        <w:jc w:val="both"/>
        <w:rPr>
          <w:rFonts w:ascii="Arial" w:hAnsi="Arial" w:cs="Arial"/>
          <w:spacing w:val="20"/>
          <w:szCs w:val="20"/>
          <w:lang w:val="es-MX"/>
        </w:rPr>
      </w:pPr>
    </w:p>
    <w:p w:rsidR="00281B04" w:rsidRPr="004F529F" w:rsidRDefault="00281B04" w:rsidP="00281B04">
      <w:pPr>
        <w:jc w:val="both"/>
        <w:rPr>
          <w:rFonts w:ascii="Arial" w:hAnsi="Arial" w:cs="Arial"/>
          <w:spacing w:val="20"/>
          <w:szCs w:val="20"/>
          <w:lang w:val="es-MX"/>
        </w:rPr>
      </w:pPr>
      <w:r w:rsidRPr="004F529F">
        <w:rPr>
          <w:rFonts w:ascii="Arial" w:hAnsi="Arial" w:cs="Arial"/>
          <w:spacing w:val="20"/>
          <w:szCs w:val="20"/>
          <w:lang w:val="es-MX"/>
        </w:rPr>
        <w:t xml:space="preserve">Dentro de esta clasificación también se consideran los créditos contratados  derivados del Fondo de Reconstrucción para Entidades Federativas (FONREC I, II y III)  y  el Fondo de Apoyo para Infraestructura y Seguridad (PROFISE), que se destinaron para atender los desastres naturales y el desarrollo de la infraestructura pública respectivamente,  propuesto y aprobado por el Gobierno Federal, a finales del año 2010, donde se </w:t>
      </w:r>
      <w:proofErr w:type="spellStart"/>
      <w:r w:rsidRPr="004F529F">
        <w:rPr>
          <w:rFonts w:ascii="Arial" w:hAnsi="Arial" w:cs="Arial"/>
          <w:spacing w:val="20"/>
          <w:szCs w:val="20"/>
          <w:lang w:val="es-MX"/>
        </w:rPr>
        <w:t>aperturaron</w:t>
      </w:r>
      <w:proofErr w:type="spellEnd"/>
      <w:r w:rsidRPr="004F529F">
        <w:rPr>
          <w:rFonts w:ascii="Arial" w:hAnsi="Arial" w:cs="Arial"/>
          <w:spacing w:val="20"/>
          <w:szCs w:val="20"/>
          <w:lang w:val="es-MX"/>
        </w:rPr>
        <w:t xml:space="preserve"> líneas de crédito a través del Banco Nacional de Obras y Servicios Públicos (BANOBRAS) con beneficios como el manejo de un bono cupón cero sin pago de capital, solo el pago de intereses por parte de los estados beneficiados, y con un plazo de 20 años.</w:t>
      </w:r>
    </w:p>
    <w:p w:rsidR="00281B04" w:rsidRPr="004F529F" w:rsidRDefault="00281B04" w:rsidP="00281B04">
      <w:pPr>
        <w:jc w:val="both"/>
        <w:rPr>
          <w:rFonts w:ascii="Arial" w:hAnsi="Arial" w:cs="Arial"/>
          <w:spacing w:val="20"/>
          <w:szCs w:val="20"/>
          <w:lang w:val="es-MX"/>
        </w:rPr>
      </w:pPr>
    </w:p>
    <w:p w:rsidR="00281B04" w:rsidRPr="004F529F" w:rsidRDefault="00281B04" w:rsidP="00281B04">
      <w:pPr>
        <w:jc w:val="both"/>
        <w:rPr>
          <w:rFonts w:ascii="Arial" w:hAnsi="Arial" w:cs="Arial"/>
          <w:spacing w:val="20"/>
          <w:szCs w:val="20"/>
          <w:lang w:val="es-MX"/>
        </w:rPr>
      </w:pPr>
      <w:r w:rsidRPr="004F529F">
        <w:rPr>
          <w:rFonts w:ascii="Arial" w:hAnsi="Arial" w:cs="Arial"/>
          <w:spacing w:val="20"/>
          <w:szCs w:val="20"/>
          <w:lang w:val="es-MX"/>
        </w:rPr>
        <w:t xml:space="preserve">Actualmente existen 5 créditos contratados con </w:t>
      </w:r>
      <w:proofErr w:type="spellStart"/>
      <w:r w:rsidRPr="004F529F">
        <w:rPr>
          <w:rFonts w:ascii="Arial" w:hAnsi="Arial" w:cs="Arial"/>
          <w:spacing w:val="20"/>
          <w:szCs w:val="20"/>
          <w:lang w:val="es-MX"/>
        </w:rPr>
        <w:t>Banobras</w:t>
      </w:r>
      <w:proofErr w:type="spellEnd"/>
      <w:r w:rsidRPr="004F529F">
        <w:rPr>
          <w:rFonts w:ascii="Arial" w:hAnsi="Arial" w:cs="Arial"/>
          <w:spacing w:val="20"/>
          <w:szCs w:val="20"/>
          <w:lang w:val="es-MX"/>
        </w:rPr>
        <w:t>, bajo esta modalidad:</w:t>
      </w:r>
    </w:p>
    <w:p w:rsidR="00281B04" w:rsidRPr="004F529F" w:rsidRDefault="00281B04" w:rsidP="00281B04">
      <w:pPr>
        <w:jc w:val="both"/>
        <w:rPr>
          <w:rFonts w:ascii="Arial" w:hAnsi="Arial" w:cs="Arial"/>
          <w:spacing w:val="20"/>
          <w:szCs w:val="20"/>
          <w:lang w:val="es-MX"/>
        </w:rPr>
      </w:pPr>
    </w:p>
    <w:p w:rsidR="00281B04" w:rsidRPr="004F529F" w:rsidRDefault="00281B04" w:rsidP="00281B04">
      <w:pPr>
        <w:pStyle w:val="Prrafodelista"/>
        <w:ind w:left="0"/>
        <w:jc w:val="center"/>
        <w:rPr>
          <w:rFonts w:ascii="Arial" w:hAnsi="Arial" w:cs="Arial"/>
          <w:spacing w:val="20"/>
          <w:sz w:val="24"/>
        </w:rPr>
      </w:pPr>
      <w:r w:rsidRPr="004F529F">
        <w:rPr>
          <w:rFonts w:ascii="Arial" w:hAnsi="Arial" w:cs="Arial"/>
          <w:noProof/>
          <w:spacing w:val="20"/>
          <w:sz w:val="24"/>
          <w:lang w:eastAsia="es-MX"/>
        </w:rPr>
        <w:drawing>
          <wp:inline distT="0" distB="0" distL="0" distR="0">
            <wp:extent cx="5665853" cy="2043953"/>
            <wp:effectExtent l="0" t="0" r="0" b="0"/>
            <wp:docPr id="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673775" cy="2046811"/>
                    </a:xfrm>
                    <a:prstGeom prst="rect">
                      <a:avLst/>
                    </a:prstGeom>
                    <a:noFill/>
                    <a:ln w="9525">
                      <a:noFill/>
                      <a:miter lim="800000"/>
                      <a:headEnd/>
                      <a:tailEnd/>
                    </a:ln>
                  </pic:spPr>
                </pic:pic>
              </a:graphicData>
            </a:graphic>
          </wp:inline>
        </w:drawing>
      </w:r>
    </w:p>
    <w:p w:rsidR="00440C67" w:rsidRPr="004F529F" w:rsidRDefault="00440C67" w:rsidP="00281B04">
      <w:pPr>
        <w:jc w:val="both"/>
        <w:rPr>
          <w:rFonts w:ascii="Arial" w:hAnsi="Arial" w:cs="Arial"/>
          <w:b/>
          <w:spacing w:val="20"/>
          <w:szCs w:val="20"/>
          <w:lang w:val="es-MX"/>
        </w:rPr>
      </w:pPr>
    </w:p>
    <w:p w:rsidR="00281B04" w:rsidRPr="004F529F" w:rsidRDefault="00281B04" w:rsidP="00281B04">
      <w:pPr>
        <w:jc w:val="both"/>
        <w:rPr>
          <w:rFonts w:ascii="Arial" w:hAnsi="Arial" w:cs="Arial"/>
          <w:b/>
          <w:spacing w:val="20"/>
          <w:szCs w:val="20"/>
          <w:lang w:val="es-MX"/>
        </w:rPr>
      </w:pPr>
      <w:r w:rsidRPr="004F529F">
        <w:rPr>
          <w:rFonts w:ascii="Arial" w:hAnsi="Arial" w:cs="Arial"/>
          <w:b/>
          <w:spacing w:val="20"/>
          <w:szCs w:val="20"/>
          <w:lang w:val="es-MX"/>
        </w:rPr>
        <w:t>Nuevo Financiamiento.</w:t>
      </w:r>
    </w:p>
    <w:p w:rsidR="00281B04" w:rsidRPr="004F529F" w:rsidRDefault="00281B04" w:rsidP="00281B04">
      <w:pPr>
        <w:jc w:val="both"/>
        <w:rPr>
          <w:rFonts w:ascii="Arial" w:hAnsi="Arial" w:cs="Arial"/>
          <w:spacing w:val="20"/>
          <w:szCs w:val="20"/>
          <w:lang w:val="es-MX"/>
        </w:rPr>
      </w:pPr>
    </w:p>
    <w:p w:rsidR="00281B04" w:rsidRPr="004F529F" w:rsidRDefault="00281B04" w:rsidP="00281B04">
      <w:pPr>
        <w:jc w:val="both"/>
        <w:rPr>
          <w:rFonts w:ascii="Arial" w:hAnsi="Arial" w:cs="Arial"/>
          <w:spacing w:val="20"/>
          <w:szCs w:val="20"/>
          <w:lang w:val="es-MX"/>
        </w:rPr>
      </w:pPr>
      <w:r w:rsidRPr="004F529F">
        <w:rPr>
          <w:rFonts w:ascii="Arial" w:hAnsi="Arial" w:cs="Arial"/>
          <w:spacing w:val="20"/>
          <w:szCs w:val="20"/>
          <w:lang w:val="es-MX"/>
        </w:rPr>
        <w:t xml:space="preserve">Se suscribe un nuevo financiamiento bajo este mismo esquema, entre el Estado y </w:t>
      </w:r>
      <w:proofErr w:type="spellStart"/>
      <w:r w:rsidRPr="004F529F">
        <w:rPr>
          <w:rFonts w:ascii="Arial" w:hAnsi="Arial" w:cs="Arial"/>
          <w:spacing w:val="20"/>
          <w:szCs w:val="20"/>
          <w:lang w:val="es-MX"/>
        </w:rPr>
        <w:t>Banobras</w:t>
      </w:r>
      <w:proofErr w:type="spellEnd"/>
      <w:r w:rsidRPr="004F529F">
        <w:rPr>
          <w:rFonts w:ascii="Arial" w:hAnsi="Arial" w:cs="Arial"/>
          <w:spacing w:val="20"/>
          <w:szCs w:val="20"/>
          <w:lang w:val="es-MX"/>
        </w:rPr>
        <w:t xml:space="preserve"> S.N.C., el día 22 de mayo de 2015,  hasta por la cantidad de  405 millones 456 mil pesos, dejando como fuente de pago el 0.80% de los derechos sobre las participaciones que en ingresos federales le corresponden al Estado del Fondo General de Participaciones. La contratación  se deriva de la  autorización del  H. Congreso del Estado, decreto número 670, publicado el día 27 de diciembre de2014.</w:t>
      </w:r>
    </w:p>
    <w:p w:rsidR="00281B04" w:rsidRPr="004F529F" w:rsidRDefault="00281B04" w:rsidP="00281B04">
      <w:pPr>
        <w:jc w:val="both"/>
        <w:rPr>
          <w:rFonts w:ascii="Arial" w:hAnsi="Arial" w:cs="Arial"/>
          <w:spacing w:val="20"/>
          <w:szCs w:val="20"/>
          <w:lang w:val="es-MX"/>
        </w:rPr>
      </w:pPr>
      <w:r w:rsidRPr="004F529F">
        <w:rPr>
          <w:rFonts w:ascii="Arial" w:hAnsi="Arial" w:cs="Arial"/>
          <w:spacing w:val="20"/>
          <w:szCs w:val="20"/>
          <w:lang w:val="es-MX"/>
        </w:rPr>
        <w:lastRenderedPageBreak/>
        <w:t>Así mismo, se celebró un Contrato de Fideicomiso Irrevocable de Administración y Fuente de Pago identificado con el número F/10754 con Banco Interacciones, S.A. como fiduciario, que servirá como mecánica de pago, para el cumplimiento de la obligación.</w:t>
      </w:r>
    </w:p>
    <w:p w:rsidR="00281B04" w:rsidRPr="004F529F" w:rsidRDefault="00281B04" w:rsidP="00281B04">
      <w:pPr>
        <w:jc w:val="both"/>
        <w:rPr>
          <w:rFonts w:ascii="Arial" w:hAnsi="Arial" w:cs="Arial"/>
          <w:spacing w:val="20"/>
          <w:szCs w:val="20"/>
          <w:lang w:val="es-MX"/>
        </w:rPr>
      </w:pPr>
    </w:p>
    <w:p w:rsidR="00281B04" w:rsidRPr="004F529F" w:rsidRDefault="00281B04" w:rsidP="00281B04">
      <w:pPr>
        <w:jc w:val="both"/>
        <w:rPr>
          <w:rFonts w:ascii="Arial" w:hAnsi="Arial" w:cs="Arial"/>
          <w:spacing w:val="20"/>
          <w:szCs w:val="20"/>
          <w:lang w:val="es-MX"/>
        </w:rPr>
      </w:pPr>
      <w:r w:rsidRPr="004F529F">
        <w:rPr>
          <w:rFonts w:ascii="Arial" w:hAnsi="Arial" w:cs="Arial"/>
          <w:spacing w:val="20"/>
          <w:szCs w:val="20"/>
          <w:lang w:val="es-MX"/>
        </w:rPr>
        <w:t>El destino del crédito es solventar el costo de inversiones en infraestructura y equipamiento orientadas a apoyar la  implementación del Sistema de Justicia Penal en el Estado, que se precisan a continuación:</w:t>
      </w:r>
    </w:p>
    <w:p w:rsidR="00281B04" w:rsidRPr="004F529F" w:rsidRDefault="00281B04" w:rsidP="00281B04">
      <w:pPr>
        <w:jc w:val="both"/>
        <w:rPr>
          <w:rFonts w:ascii="Arial" w:hAnsi="Arial" w:cs="Arial"/>
          <w:spacing w:val="20"/>
          <w:szCs w:val="20"/>
          <w:lang w:val="es-MX"/>
        </w:rPr>
      </w:pPr>
    </w:p>
    <w:p w:rsidR="00281B04" w:rsidRPr="004F529F" w:rsidRDefault="00281B04" w:rsidP="00281B04">
      <w:pPr>
        <w:jc w:val="center"/>
        <w:rPr>
          <w:rFonts w:ascii="Arial" w:hAnsi="Arial" w:cs="Arial"/>
          <w:spacing w:val="20"/>
          <w:szCs w:val="20"/>
          <w:lang w:val="es-MX"/>
        </w:rPr>
      </w:pPr>
      <w:r w:rsidRPr="004F529F">
        <w:rPr>
          <w:rFonts w:ascii="Arial" w:hAnsi="Arial" w:cs="Arial"/>
          <w:noProof/>
          <w:spacing w:val="20"/>
          <w:szCs w:val="20"/>
          <w:lang w:val="es-MX" w:eastAsia="es-MX"/>
        </w:rPr>
        <w:drawing>
          <wp:inline distT="0" distB="0" distL="0" distR="0">
            <wp:extent cx="4270663" cy="2023572"/>
            <wp:effectExtent l="0" t="0" r="0" b="0"/>
            <wp:docPr id="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4272442" cy="2024415"/>
                    </a:xfrm>
                    <a:prstGeom prst="rect">
                      <a:avLst/>
                    </a:prstGeom>
                    <a:noFill/>
                    <a:ln w="9525">
                      <a:noFill/>
                      <a:miter lim="800000"/>
                      <a:headEnd/>
                      <a:tailEnd/>
                    </a:ln>
                  </pic:spPr>
                </pic:pic>
              </a:graphicData>
            </a:graphic>
          </wp:inline>
        </w:drawing>
      </w:r>
    </w:p>
    <w:p w:rsidR="004F529F" w:rsidRDefault="004F529F" w:rsidP="00281B04">
      <w:pPr>
        <w:jc w:val="both"/>
        <w:rPr>
          <w:rFonts w:ascii="Arial" w:hAnsi="Arial" w:cs="Arial"/>
          <w:spacing w:val="20"/>
          <w:szCs w:val="20"/>
          <w:lang w:val="es-MX"/>
        </w:rPr>
      </w:pPr>
    </w:p>
    <w:p w:rsidR="00281B04" w:rsidRPr="004F529F" w:rsidRDefault="00281B04" w:rsidP="00281B04">
      <w:pPr>
        <w:jc w:val="both"/>
        <w:rPr>
          <w:rFonts w:ascii="Arial" w:hAnsi="Arial" w:cs="Arial"/>
          <w:spacing w:val="20"/>
          <w:szCs w:val="20"/>
          <w:lang w:val="es-MX"/>
        </w:rPr>
      </w:pPr>
      <w:r w:rsidRPr="004F529F">
        <w:rPr>
          <w:rFonts w:ascii="Arial" w:hAnsi="Arial" w:cs="Arial"/>
          <w:spacing w:val="20"/>
          <w:szCs w:val="20"/>
          <w:lang w:val="es-MX"/>
        </w:rPr>
        <w:t>Al cierre del trimestre aun no dispone de los recursos del crédito.</w:t>
      </w:r>
    </w:p>
    <w:p w:rsidR="00281B04" w:rsidRPr="004F529F" w:rsidRDefault="00281B04" w:rsidP="00281B04">
      <w:pPr>
        <w:jc w:val="both"/>
        <w:rPr>
          <w:rFonts w:ascii="Arial" w:hAnsi="Arial" w:cs="Arial"/>
          <w:spacing w:val="20"/>
          <w:szCs w:val="20"/>
          <w:lang w:val="es-MX"/>
        </w:rPr>
      </w:pPr>
      <w:r w:rsidRPr="004F529F">
        <w:rPr>
          <w:rFonts w:ascii="Arial" w:hAnsi="Arial" w:cs="Arial"/>
          <w:spacing w:val="20"/>
          <w:szCs w:val="20"/>
          <w:lang w:val="es-MX"/>
        </w:rPr>
        <w:t>Costo Financiero de los Créditos bono cupón cero.</w:t>
      </w:r>
    </w:p>
    <w:p w:rsidR="00281B04" w:rsidRPr="004F529F" w:rsidRDefault="00281B04" w:rsidP="00281B04">
      <w:pPr>
        <w:jc w:val="both"/>
        <w:rPr>
          <w:rFonts w:ascii="Arial" w:hAnsi="Arial" w:cs="Arial"/>
          <w:spacing w:val="20"/>
          <w:szCs w:val="20"/>
          <w:lang w:val="es-MX"/>
        </w:rPr>
      </w:pPr>
    </w:p>
    <w:p w:rsidR="00281B04" w:rsidRPr="004F529F" w:rsidRDefault="00281B04" w:rsidP="00281B04">
      <w:pPr>
        <w:spacing w:after="120" w:line="264" w:lineRule="auto"/>
        <w:contextualSpacing/>
        <w:jc w:val="both"/>
        <w:rPr>
          <w:rFonts w:ascii="Arial" w:hAnsi="Arial" w:cs="Arial"/>
          <w:spacing w:val="20"/>
          <w:szCs w:val="20"/>
          <w:lang w:val="es-MX"/>
        </w:rPr>
      </w:pPr>
      <w:r w:rsidRPr="004F529F">
        <w:rPr>
          <w:rFonts w:ascii="Arial" w:hAnsi="Arial" w:cs="Arial"/>
          <w:spacing w:val="20"/>
          <w:szCs w:val="20"/>
          <w:lang w:val="es-MX"/>
        </w:rPr>
        <w:t>Se amortizaron intereses  por la cantidad de 64 millones  728 mil 647 pesos, los cuales se aplicaron con recursos de Asignación de Operación Ordinaria.</w:t>
      </w:r>
    </w:p>
    <w:p w:rsidR="00281B04" w:rsidRPr="004F529F" w:rsidRDefault="00281B04" w:rsidP="00281B04">
      <w:pPr>
        <w:spacing w:after="120" w:line="264" w:lineRule="auto"/>
        <w:contextualSpacing/>
        <w:jc w:val="both"/>
        <w:rPr>
          <w:rFonts w:ascii="Arial" w:hAnsi="Arial" w:cs="Arial"/>
          <w:spacing w:val="20"/>
          <w:szCs w:val="20"/>
          <w:lang w:val="es-MX"/>
        </w:rPr>
      </w:pPr>
    </w:p>
    <w:p w:rsidR="004F529F" w:rsidRPr="004F529F" w:rsidRDefault="00281B04" w:rsidP="00281B04">
      <w:pPr>
        <w:spacing w:after="120" w:line="264" w:lineRule="auto"/>
        <w:contextualSpacing/>
        <w:jc w:val="center"/>
        <w:rPr>
          <w:rFonts w:ascii="Arial" w:hAnsi="Arial" w:cs="Arial"/>
          <w:spacing w:val="20"/>
          <w:szCs w:val="20"/>
          <w:lang w:val="es-MX"/>
        </w:rPr>
      </w:pPr>
      <w:r w:rsidRPr="004F529F">
        <w:rPr>
          <w:rFonts w:ascii="Arial" w:hAnsi="Arial" w:cs="Arial"/>
          <w:noProof/>
          <w:spacing w:val="20"/>
          <w:szCs w:val="20"/>
          <w:lang w:val="es-MX" w:eastAsia="es-MX"/>
        </w:rPr>
        <w:drawing>
          <wp:inline distT="0" distB="0" distL="0" distR="0">
            <wp:extent cx="4049847" cy="1914525"/>
            <wp:effectExtent l="0" t="0" r="0" b="0"/>
            <wp:docPr id="2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4070874" cy="1924465"/>
                    </a:xfrm>
                    <a:prstGeom prst="rect">
                      <a:avLst/>
                    </a:prstGeom>
                    <a:noFill/>
                    <a:ln w="9525">
                      <a:noFill/>
                      <a:miter lim="800000"/>
                      <a:headEnd/>
                      <a:tailEnd/>
                    </a:ln>
                  </pic:spPr>
                </pic:pic>
              </a:graphicData>
            </a:graphic>
          </wp:inline>
        </w:drawing>
      </w:r>
    </w:p>
    <w:p w:rsidR="004F529F" w:rsidRPr="004F529F" w:rsidRDefault="004F529F" w:rsidP="00281B04">
      <w:pPr>
        <w:spacing w:after="120" w:line="264" w:lineRule="auto"/>
        <w:contextualSpacing/>
        <w:jc w:val="center"/>
        <w:rPr>
          <w:rFonts w:ascii="Arial" w:hAnsi="Arial" w:cs="Arial"/>
          <w:spacing w:val="20"/>
          <w:szCs w:val="20"/>
          <w:lang w:val="es-MX"/>
        </w:rPr>
      </w:pPr>
    </w:p>
    <w:p w:rsidR="004F529F" w:rsidRDefault="004F529F" w:rsidP="004F529F">
      <w:pPr>
        <w:spacing w:after="120" w:line="264" w:lineRule="auto"/>
        <w:contextualSpacing/>
        <w:rPr>
          <w:rFonts w:ascii="Arial" w:hAnsi="Arial" w:cs="Arial"/>
        </w:rPr>
      </w:pPr>
    </w:p>
    <w:p w:rsidR="004F529F" w:rsidRPr="004F529F" w:rsidRDefault="004F529F" w:rsidP="004F529F">
      <w:pPr>
        <w:spacing w:after="120" w:line="264" w:lineRule="auto"/>
        <w:contextualSpacing/>
        <w:rPr>
          <w:rFonts w:ascii="Arial" w:hAnsi="Arial" w:cs="Arial"/>
        </w:rPr>
      </w:pPr>
      <w:r w:rsidRPr="004F529F">
        <w:rPr>
          <w:rFonts w:ascii="Arial" w:hAnsi="Arial" w:cs="Arial"/>
        </w:rPr>
        <w:t>Se presenta cuadro con características de las obligaciones  a que se refieren los artículos 47 fracción II y 50 de la Ley de Coordinación Fiscal</w:t>
      </w:r>
      <w:r>
        <w:rPr>
          <w:rFonts w:ascii="Arial" w:hAnsi="Arial" w:cs="Arial"/>
        </w:rPr>
        <w:t>.</w:t>
      </w:r>
    </w:p>
    <w:p w:rsidR="004F529F" w:rsidRPr="004F529F" w:rsidRDefault="004F529F" w:rsidP="004F529F">
      <w:pPr>
        <w:spacing w:after="120" w:line="264" w:lineRule="auto"/>
        <w:contextualSpacing/>
        <w:rPr>
          <w:rFonts w:ascii="Arial" w:hAnsi="Arial" w:cs="Arial"/>
          <w:spacing w:val="20"/>
          <w:szCs w:val="20"/>
          <w:lang w:val="es-MX"/>
        </w:rPr>
      </w:pPr>
    </w:p>
    <w:p w:rsidR="004F529F" w:rsidRPr="004F529F" w:rsidRDefault="004F529F" w:rsidP="004F529F">
      <w:pPr>
        <w:spacing w:after="120" w:line="264" w:lineRule="auto"/>
        <w:contextualSpacing/>
        <w:rPr>
          <w:rFonts w:ascii="Arial" w:hAnsi="Arial" w:cs="Arial"/>
          <w:spacing w:val="20"/>
          <w:szCs w:val="20"/>
          <w:lang w:val="es-MX"/>
        </w:rPr>
      </w:pPr>
    </w:p>
    <w:p w:rsidR="004F529F" w:rsidRPr="004F529F" w:rsidRDefault="004F529F" w:rsidP="00281B04">
      <w:pPr>
        <w:spacing w:after="120" w:line="264" w:lineRule="auto"/>
        <w:contextualSpacing/>
        <w:jc w:val="center"/>
        <w:rPr>
          <w:rFonts w:ascii="Arial" w:hAnsi="Arial" w:cs="Arial"/>
          <w:spacing w:val="20"/>
          <w:szCs w:val="20"/>
          <w:lang w:val="es-MX"/>
        </w:rPr>
      </w:pPr>
      <w:r w:rsidRPr="004F529F">
        <w:rPr>
          <w:rFonts w:ascii="Arial" w:hAnsi="Arial" w:cs="Arial"/>
          <w:noProof/>
          <w:spacing w:val="20"/>
          <w:szCs w:val="20"/>
          <w:lang w:val="es-MX" w:eastAsia="es-MX"/>
        </w:rPr>
        <w:drawing>
          <wp:inline distT="0" distB="0" distL="0" distR="0">
            <wp:extent cx="5671185" cy="3049122"/>
            <wp:effectExtent l="19050" t="0" r="571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671185" cy="3049122"/>
                    </a:xfrm>
                    <a:prstGeom prst="rect">
                      <a:avLst/>
                    </a:prstGeom>
                    <a:noFill/>
                    <a:ln w="9525">
                      <a:noFill/>
                      <a:miter lim="800000"/>
                      <a:headEnd/>
                      <a:tailEnd/>
                    </a:ln>
                  </pic:spPr>
                </pic:pic>
              </a:graphicData>
            </a:graphic>
          </wp:inline>
        </w:drawing>
      </w:r>
    </w:p>
    <w:p w:rsidR="004F529F" w:rsidRPr="004F529F" w:rsidRDefault="004F529F" w:rsidP="004F529F">
      <w:pPr>
        <w:spacing w:after="120" w:line="264" w:lineRule="auto"/>
        <w:contextualSpacing/>
        <w:rPr>
          <w:rFonts w:ascii="Arial" w:hAnsi="Arial" w:cs="Arial"/>
        </w:rPr>
      </w:pPr>
    </w:p>
    <w:p w:rsidR="004F529F" w:rsidRDefault="004F529F">
      <w:pPr>
        <w:rPr>
          <w:rFonts w:ascii="Arial" w:hAnsi="Arial" w:cs="Arial"/>
        </w:rPr>
      </w:pPr>
      <w:r>
        <w:rPr>
          <w:rFonts w:ascii="Arial" w:hAnsi="Arial" w:cs="Arial"/>
        </w:rPr>
        <w:br w:type="page"/>
      </w:r>
    </w:p>
    <w:p w:rsidR="004F529F" w:rsidRDefault="004F529F" w:rsidP="004F529F">
      <w:pPr>
        <w:spacing w:after="120" w:line="264" w:lineRule="auto"/>
        <w:contextualSpacing/>
        <w:rPr>
          <w:rFonts w:ascii="Arial" w:hAnsi="Arial" w:cs="Arial"/>
        </w:rPr>
      </w:pPr>
    </w:p>
    <w:p w:rsidR="004F529F" w:rsidRDefault="004F529F" w:rsidP="004F529F">
      <w:pPr>
        <w:spacing w:after="120" w:line="264" w:lineRule="auto"/>
        <w:contextualSpacing/>
        <w:rPr>
          <w:rFonts w:ascii="Arial" w:hAnsi="Arial" w:cs="Arial"/>
        </w:rPr>
      </w:pPr>
    </w:p>
    <w:p w:rsidR="004F529F" w:rsidRPr="004F529F" w:rsidRDefault="004F529F" w:rsidP="004F529F">
      <w:pPr>
        <w:spacing w:after="120" w:line="264" w:lineRule="auto"/>
        <w:contextualSpacing/>
        <w:rPr>
          <w:rFonts w:ascii="Arial" w:hAnsi="Arial" w:cs="Arial"/>
        </w:rPr>
      </w:pPr>
      <w:r w:rsidRPr="004F529F">
        <w:rPr>
          <w:rFonts w:ascii="Arial" w:hAnsi="Arial" w:cs="Arial"/>
        </w:rPr>
        <w:t>Se presenta la reducción del saldo  de deuda pública bruta total  con motivo de la amortización del periodo, conforme lo establecido en el artículo 47, fracción II de la Ley de Coordinación Fiscal</w:t>
      </w:r>
      <w:r>
        <w:rPr>
          <w:rFonts w:ascii="Arial" w:hAnsi="Arial" w:cs="Arial"/>
        </w:rPr>
        <w:t>.</w:t>
      </w:r>
      <w:r w:rsidRPr="004F529F">
        <w:rPr>
          <w:rFonts w:ascii="Arial" w:hAnsi="Arial" w:cs="Arial"/>
        </w:rPr>
        <w:t xml:space="preserve"> </w:t>
      </w:r>
    </w:p>
    <w:p w:rsidR="004F529F" w:rsidRPr="004F529F" w:rsidRDefault="004F529F" w:rsidP="004F529F">
      <w:pPr>
        <w:spacing w:after="120" w:line="264" w:lineRule="auto"/>
        <w:contextualSpacing/>
        <w:rPr>
          <w:rFonts w:ascii="Arial" w:hAnsi="Arial" w:cs="Arial"/>
          <w:spacing w:val="20"/>
          <w:szCs w:val="20"/>
          <w:lang w:val="es-MX"/>
        </w:rPr>
      </w:pPr>
    </w:p>
    <w:p w:rsidR="004F529F" w:rsidRPr="004F529F" w:rsidRDefault="004F529F" w:rsidP="004F529F">
      <w:pPr>
        <w:spacing w:after="120" w:line="264" w:lineRule="auto"/>
        <w:contextualSpacing/>
        <w:jc w:val="center"/>
        <w:rPr>
          <w:rFonts w:ascii="Arial" w:hAnsi="Arial" w:cs="Arial"/>
          <w:spacing w:val="20"/>
          <w:szCs w:val="20"/>
          <w:lang w:val="es-MX"/>
        </w:rPr>
      </w:pPr>
      <w:r w:rsidRPr="004F529F">
        <w:rPr>
          <w:rFonts w:ascii="Arial" w:hAnsi="Arial" w:cs="Arial"/>
          <w:noProof/>
          <w:spacing w:val="20"/>
          <w:szCs w:val="20"/>
          <w:lang w:val="es-MX" w:eastAsia="es-MX"/>
        </w:rPr>
        <w:drawing>
          <wp:inline distT="0" distB="0" distL="0" distR="0">
            <wp:extent cx="4598670" cy="3544943"/>
            <wp:effectExtent l="19050" t="0" r="0" b="0"/>
            <wp:docPr id="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4598670" cy="3544943"/>
                    </a:xfrm>
                    <a:prstGeom prst="rect">
                      <a:avLst/>
                    </a:prstGeom>
                    <a:noFill/>
                    <a:ln w="9525">
                      <a:noFill/>
                      <a:miter lim="800000"/>
                      <a:headEnd/>
                      <a:tailEnd/>
                    </a:ln>
                  </pic:spPr>
                </pic:pic>
              </a:graphicData>
            </a:graphic>
          </wp:inline>
        </w:drawing>
      </w:r>
    </w:p>
    <w:p w:rsidR="004F529F" w:rsidRPr="004F529F" w:rsidRDefault="004F529F" w:rsidP="004F529F">
      <w:pPr>
        <w:spacing w:after="120" w:line="264" w:lineRule="auto"/>
        <w:contextualSpacing/>
        <w:jc w:val="center"/>
        <w:rPr>
          <w:rFonts w:ascii="Arial" w:hAnsi="Arial" w:cs="Arial"/>
          <w:spacing w:val="20"/>
          <w:szCs w:val="20"/>
          <w:lang w:val="es-MX"/>
        </w:rPr>
      </w:pPr>
    </w:p>
    <w:p w:rsidR="004F529F" w:rsidRDefault="004F529F">
      <w:pPr>
        <w:rPr>
          <w:rFonts w:ascii="Arial" w:hAnsi="Arial" w:cs="Arial"/>
        </w:rPr>
      </w:pPr>
      <w:r>
        <w:rPr>
          <w:rFonts w:ascii="Arial" w:hAnsi="Arial" w:cs="Arial"/>
        </w:rPr>
        <w:br w:type="page"/>
      </w:r>
    </w:p>
    <w:p w:rsidR="004F529F" w:rsidRDefault="004F529F" w:rsidP="004F529F">
      <w:pPr>
        <w:spacing w:after="200" w:line="276" w:lineRule="auto"/>
        <w:contextualSpacing/>
        <w:jc w:val="both"/>
        <w:rPr>
          <w:rFonts w:ascii="Arial" w:hAnsi="Arial" w:cs="Arial"/>
        </w:rPr>
      </w:pPr>
      <w:r w:rsidRPr="004F529F">
        <w:rPr>
          <w:rFonts w:ascii="Arial" w:hAnsi="Arial" w:cs="Arial"/>
        </w:rPr>
        <w:lastRenderedPageBreak/>
        <w:t xml:space="preserve">Se presenta comparativo de la relación deuda pública bruta total  con respecto al tamaño de su economía. Este es un indicador que relaciona el potencial del Estado a través del Producto Interno Bruto Estatal  (PIBE)  con el grado de endeudamiento. El saldo de la deuda pública bruta total del Estado al cierre de junio 2015, representa el 1.80% del PIBE. </w:t>
      </w:r>
    </w:p>
    <w:p w:rsidR="004F529F" w:rsidRDefault="004F529F" w:rsidP="004F529F">
      <w:pPr>
        <w:spacing w:after="200" w:line="276" w:lineRule="auto"/>
        <w:contextualSpacing/>
        <w:jc w:val="both"/>
        <w:rPr>
          <w:rFonts w:ascii="Arial" w:hAnsi="Arial" w:cs="Arial"/>
        </w:rPr>
      </w:pPr>
    </w:p>
    <w:p w:rsidR="004F529F" w:rsidRPr="004F529F" w:rsidRDefault="004F529F" w:rsidP="004F529F">
      <w:pPr>
        <w:spacing w:after="200" w:line="276" w:lineRule="auto"/>
        <w:contextualSpacing/>
        <w:jc w:val="both"/>
        <w:rPr>
          <w:rFonts w:ascii="Arial" w:hAnsi="Arial" w:cs="Arial"/>
        </w:rPr>
      </w:pPr>
    </w:p>
    <w:p w:rsidR="004F529F" w:rsidRPr="004F529F" w:rsidRDefault="004F529F" w:rsidP="004F529F">
      <w:pPr>
        <w:jc w:val="center"/>
        <w:rPr>
          <w:rFonts w:ascii="Arial" w:hAnsi="Arial" w:cs="Arial"/>
        </w:rPr>
      </w:pPr>
      <w:r w:rsidRPr="004F529F">
        <w:rPr>
          <w:rFonts w:ascii="Arial" w:hAnsi="Arial" w:cs="Arial"/>
          <w:noProof/>
          <w:lang w:val="es-MX" w:eastAsia="es-MX"/>
        </w:rPr>
        <w:drawing>
          <wp:inline distT="0" distB="0" distL="0" distR="0">
            <wp:extent cx="4400550" cy="2040633"/>
            <wp:effectExtent l="19050" t="0" r="0" b="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4406422" cy="2043356"/>
                    </a:xfrm>
                    <a:prstGeom prst="rect">
                      <a:avLst/>
                    </a:prstGeom>
                    <a:noFill/>
                    <a:ln w="9525">
                      <a:noFill/>
                      <a:miter lim="800000"/>
                      <a:headEnd/>
                      <a:tailEnd/>
                    </a:ln>
                  </pic:spPr>
                </pic:pic>
              </a:graphicData>
            </a:graphic>
          </wp:inline>
        </w:drawing>
      </w:r>
    </w:p>
    <w:p w:rsidR="004F529F" w:rsidRPr="004F529F" w:rsidRDefault="004F529F" w:rsidP="004F529F">
      <w:pPr>
        <w:rPr>
          <w:rFonts w:ascii="Arial" w:hAnsi="Arial" w:cs="Arial"/>
        </w:rPr>
      </w:pPr>
      <w:r w:rsidRPr="004F529F">
        <w:rPr>
          <w:rFonts w:ascii="Arial" w:hAnsi="Arial" w:cs="Arial"/>
        </w:rPr>
        <w:t xml:space="preserve">  </w:t>
      </w:r>
    </w:p>
    <w:p w:rsidR="004F529F" w:rsidRDefault="004F529F">
      <w:pPr>
        <w:rPr>
          <w:rFonts w:ascii="Arial" w:hAnsi="Arial" w:cs="Arial"/>
        </w:rPr>
      </w:pPr>
      <w:r>
        <w:rPr>
          <w:rFonts w:ascii="Arial" w:hAnsi="Arial" w:cs="Arial"/>
        </w:rPr>
        <w:br w:type="page"/>
      </w:r>
    </w:p>
    <w:p w:rsidR="004F529F" w:rsidRDefault="004F529F" w:rsidP="004F529F">
      <w:pPr>
        <w:spacing w:after="200" w:line="276" w:lineRule="auto"/>
        <w:contextualSpacing/>
        <w:jc w:val="both"/>
        <w:rPr>
          <w:rFonts w:ascii="Arial" w:hAnsi="Arial" w:cs="Arial"/>
        </w:rPr>
      </w:pPr>
    </w:p>
    <w:p w:rsidR="004F529F" w:rsidRPr="004F529F" w:rsidRDefault="004F529F" w:rsidP="004F529F">
      <w:pPr>
        <w:spacing w:after="200" w:line="276" w:lineRule="auto"/>
        <w:contextualSpacing/>
        <w:jc w:val="both"/>
        <w:rPr>
          <w:rFonts w:ascii="Arial" w:hAnsi="Arial" w:cs="Arial"/>
        </w:rPr>
      </w:pPr>
      <w:r>
        <w:rPr>
          <w:rFonts w:ascii="Arial" w:hAnsi="Arial" w:cs="Arial"/>
        </w:rPr>
        <w:t>Se</w:t>
      </w:r>
      <w:r w:rsidRPr="004F529F">
        <w:rPr>
          <w:rFonts w:ascii="Arial" w:hAnsi="Arial" w:cs="Arial"/>
        </w:rPr>
        <w:t xml:space="preserve"> presenta el grado que se tiene comprometidos los ingresos gestión para el pago de obligaciones a largo plazo. Los ingresos de gestión incluye: impuestos, derechos, productos, aprovechamientos y contribuciones no comprendidos en los conceptos antes mencionados, los cuales son parte de los recursos que no están etiquetados para un fin específico.</w:t>
      </w:r>
    </w:p>
    <w:p w:rsidR="004F529F" w:rsidRPr="004F529F" w:rsidRDefault="004F529F" w:rsidP="004F529F">
      <w:pPr>
        <w:pStyle w:val="Prrafodelista"/>
        <w:jc w:val="both"/>
        <w:rPr>
          <w:rFonts w:ascii="Arial" w:hAnsi="Arial" w:cs="Arial"/>
          <w:sz w:val="24"/>
          <w:szCs w:val="24"/>
          <w:lang w:val="es-ES"/>
        </w:rPr>
      </w:pPr>
    </w:p>
    <w:p w:rsidR="004F529F" w:rsidRPr="006F556E" w:rsidRDefault="004F529F" w:rsidP="006F556E">
      <w:pPr>
        <w:rPr>
          <w:rFonts w:ascii="Arial" w:hAnsi="Arial" w:cs="Arial"/>
        </w:rPr>
      </w:pPr>
      <w:r w:rsidRPr="006F556E">
        <w:rPr>
          <w:rFonts w:ascii="Arial" w:hAnsi="Arial" w:cs="Arial"/>
        </w:rPr>
        <w:t>Al cierre de junio 2015, el saldo de la deuda pública representa el  220.13 % de los ingresos de gestión.</w:t>
      </w:r>
    </w:p>
    <w:p w:rsidR="004F529F" w:rsidRDefault="004F529F" w:rsidP="004F529F">
      <w:pPr>
        <w:pStyle w:val="Prrafodelista"/>
        <w:jc w:val="both"/>
        <w:rPr>
          <w:rFonts w:ascii="Arial" w:hAnsi="Arial" w:cs="Arial"/>
          <w:sz w:val="24"/>
          <w:szCs w:val="24"/>
          <w:lang w:val="es-ES"/>
        </w:rPr>
      </w:pPr>
    </w:p>
    <w:p w:rsidR="004F529F" w:rsidRDefault="004F529F" w:rsidP="004F529F">
      <w:pPr>
        <w:pStyle w:val="Prrafodelista"/>
        <w:jc w:val="both"/>
        <w:rPr>
          <w:rFonts w:ascii="Arial" w:hAnsi="Arial" w:cs="Arial"/>
          <w:sz w:val="24"/>
          <w:szCs w:val="24"/>
          <w:lang w:val="es-ES"/>
        </w:rPr>
      </w:pPr>
    </w:p>
    <w:p w:rsidR="004F529F" w:rsidRPr="004F529F" w:rsidRDefault="004F529F" w:rsidP="004F529F">
      <w:pPr>
        <w:pStyle w:val="Prrafodelista"/>
        <w:jc w:val="both"/>
        <w:rPr>
          <w:rFonts w:ascii="Arial" w:hAnsi="Arial" w:cs="Arial"/>
          <w:sz w:val="24"/>
          <w:szCs w:val="24"/>
          <w:lang w:val="es-ES"/>
        </w:rPr>
      </w:pPr>
    </w:p>
    <w:p w:rsidR="004F529F" w:rsidRPr="004F529F" w:rsidRDefault="004F529F" w:rsidP="004F529F">
      <w:pPr>
        <w:pStyle w:val="Prrafodelista"/>
        <w:rPr>
          <w:rFonts w:ascii="Arial" w:hAnsi="Arial" w:cs="Arial"/>
        </w:rPr>
      </w:pPr>
    </w:p>
    <w:p w:rsidR="004F529F" w:rsidRPr="004F529F" w:rsidRDefault="004F529F" w:rsidP="004F529F">
      <w:pPr>
        <w:pStyle w:val="Prrafodelista"/>
        <w:jc w:val="center"/>
        <w:rPr>
          <w:rFonts w:ascii="Arial" w:hAnsi="Arial" w:cs="Arial"/>
        </w:rPr>
      </w:pPr>
      <w:r w:rsidRPr="004F529F">
        <w:rPr>
          <w:rFonts w:ascii="Arial" w:hAnsi="Arial" w:cs="Arial"/>
          <w:noProof/>
          <w:lang w:eastAsia="es-MX"/>
        </w:rPr>
        <w:drawing>
          <wp:inline distT="0" distB="0" distL="0" distR="0">
            <wp:extent cx="3592830" cy="1782543"/>
            <wp:effectExtent l="19050" t="0" r="7620" b="0"/>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3596301" cy="1784265"/>
                    </a:xfrm>
                    <a:prstGeom prst="rect">
                      <a:avLst/>
                    </a:prstGeom>
                    <a:noFill/>
                    <a:ln w="9525">
                      <a:noFill/>
                      <a:miter lim="800000"/>
                      <a:headEnd/>
                      <a:tailEnd/>
                    </a:ln>
                  </pic:spPr>
                </pic:pic>
              </a:graphicData>
            </a:graphic>
          </wp:inline>
        </w:drawing>
      </w:r>
    </w:p>
    <w:p w:rsidR="00281B04" w:rsidRPr="00281B04" w:rsidRDefault="00281B04" w:rsidP="004F529F">
      <w:pPr>
        <w:spacing w:after="120" w:line="264" w:lineRule="auto"/>
        <w:contextualSpacing/>
        <w:jc w:val="center"/>
        <w:rPr>
          <w:rFonts w:ascii="Arial" w:hAnsi="Arial"/>
          <w:spacing w:val="20"/>
          <w:szCs w:val="20"/>
          <w:lang w:val="es-MX"/>
        </w:rPr>
      </w:pPr>
      <w:r w:rsidRPr="00281B04">
        <w:rPr>
          <w:rFonts w:ascii="Arial" w:hAnsi="Arial"/>
          <w:spacing w:val="20"/>
          <w:szCs w:val="20"/>
          <w:lang w:val="es-MX"/>
        </w:rPr>
        <w:br w:type="page"/>
      </w:r>
    </w:p>
    <w:p w:rsidR="00593172" w:rsidRDefault="008F5A9C" w:rsidP="006B0E03">
      <w:pPr>
        <w:spacing w:line="22" w:lineRule="atLeast"/>
        <w:jc w:val="both"/>
        <w:rPr>
          <w:rFonts w:ascii="Arial" w:hAnsi="Arial" w:cs="Arial"/>
          <w:b/>
          <w:spacing w:val="20"/>
        </w:rPr>
      </w:pPr>
      <w:r>
        <w:rPr>
          <w:rFonts w:ascii="Arial" w:hAnsi="Arial" w:cs="Arial"/>
          <w:b/>
          <w:spacing w:val="20"/>
        </w:rPr>
        <w:lastRenderedPageBreak/>
        <w:t>9</w:t>
      </w:r>
      <w:r w:rsidR="003D7501">
        <w:rPr>
          <w:rFonts w:ascii="Arial" w:hAnsi="Arial" w:cs="Arial"/>
          <w:b/>
          <w:spacing w:val="20"/>
        </w:rPr>
        <w:t xml:space="preserve">.- </w:t>
      </w:r>
      <w:r w:rsidR="004C0EF3">
        <w:rPr>
          <w:rFonts w:ascii="Arial" w:hAnsi="Arial" w:cs="Arial"/>
          <w:b/>
          <w:spacing w:val="20"/>
        </w:rPr>
        <w:t>ESTADO</w:t>
      </w:r>
      <w:r w:rsidR="00FA28E3">
        <w:rPr>
          <w:rFonts w:ascii="Arial" w:hAnsi="Arial" w:cs="Arial"/>
          <w:b/>
          <w:spacing w:val="20"/>
        </w:rPr>
        <w:t>S FINANCIEROS</w:t>
      </w:r>
    </w:p>
    <w:p w:rsidR="004C0EF3" w:rsidRDefault="004C0EF3" w:rsidP="004C0EF3">
      <w:pPr>
        <w:spacing w:line="22" w:lineRule="atLeast"/>
        <w:jc w:val="center"/>
        <w:rPr>
          <w:rFonts w:ascii="Arial" w:hAnsi="Arial" w:cs="Arial"/>
          <w:b/>
          <w:spacing w:val="20"/>
        </w:rPr>
      </w:pPr>
    </w:p>
    <w:p w:rsidR="0056565A" w:rsidRDefault="004C0EF3" w:rsidP="00FA28E3">
      <w:pPr>
        <w:jc w:val="center"/>
        <w:rPr>
          <w:rFonts w:ascii="Arial" w:hAnsi="Arial" w:cs="Arial"/>
          <w:b/>
          <w:spacing w:val="20"/>
        </w:rPr>
      </w:pPr>
      <w:r>
        <w:rPr>
          <w:rFonts w:ascii="Arial" w:hAnsi="Arial" w:cs="Arial"/>
          <w:b/>
          <w:spacing w:val="20"/>
        </w:rPr>
        <w:br w:type="page"/>
      </w:r>
    </w:p>
    <w:p w:rsidR="00BC6A2E" w:rsidRDefault="00EF2947">
      <w:pPr>
        <w:rPr>
          <w:rFonts w:ascii="Arial" w:hAnsi="Arial" w:cs="Arial"/>
          <w:b/>
          <w:spacing w:val="20"/>
        </w:rPr>
      </w:pPr>
      <w:r w:rsidRPr="00EF2947">
        <w:rPr>
          <w:noProof/>
          <w:lang w:val="es-MX" w:eastAsia="es-MX"/>
        </w:rPr>
        <w:lastRenderedPageBreak/>
        <w:drawing>
          <wp:inline distT="0" distB="0" distL="0" distR="0">
            <wp:extent cx="5671185" cy="7139258"/>
            <wp:effectExtent l="19050" t="0" r="5715" b="0"/>
            <wp:docPr id="24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srcRect/>
                    <a:stretch>
                      <a:fillRect/>
                    </a:stretch>
                  </pic:blipFill>
                  <pic:spPr bwMode="auto">
                    <a:xfrm>
                      <a:off x="0" y="0"/>
                      <a:ext cx="5671185" cy="7139258"/>
                    </a:xfrm>
                    <a:prstGeom prst="rect">
                      <a:avLst/>
                    </a:prstGeom>
                    <a:noFill/>
                    <a:ln w="9525">
                      <a:noFill/>
                      <a:miter lim="800000"/>
                      <a:headEnd/>
                      <a:tailEnd/>
                    </a:ln>
                  </pic:spPr>
                </pic:pic>
              </a:graphicData>
            </a:graphic>
          </wp:inline>
        </w:drawing>
      </w:r>
      <w:r w:rsidR="00BC6A2E">
        <w:rPr>
          <w:rFonts w:ascii="Arial" w:hAnsi="Arial" w:cs="Arial"/>
          <w:b/>
          <w:spacing w:val="20"/>
        </w:rPr>
        <w:br w:type="page"/>
      </w:r>
    </w:p>
    <w:p w:rsidR="00396AD7" w:rsidRDefault="008F5A9C" w:rsidP="00396AD7">
      <w:pPr>
        <w:spacing w:line="22" w:lineRule="atLeast"/>
        <w:jc w:val="both"/>
        <w:rPr>
          <w:rFonts w:ascii="Arial" w:hAnsi="Arial" w:cs="Arial"/>
          <w:b/>
          <w:spacing w:val="20"/>
        </w:rPr>
      </w:pPr>
      <w:r>
        <w:rPr>
          <w:rFonts w:ascii="Arial" w:hAnsi="Arial" w:cs="Arial"/>
          <w:b/>
          <w:spacing w:val="20"/>
        </w:rPr>
        <w:lastRenderedPageBreak/>
        <w:t>9.9.-</w:t>
      </w:r>
      <w:r w:rsidR="00BC2ADE">
        <w:rPr>
          <w:rFonts w:ascii="Arial" w:hAnsi="Arial" w:cs="Arial"/>
          <w:b/>
          <w:spacing w:val="20"/>
        </w:rPr>
        <w:t xml:space="preserve"> NOTAS A LOS ESTADOS FINANCIEROS</w:t>
      </w:r>
    </w:p>
    <w:p w:rsidR="006A5F62" w:rsidRDefault="006A5F62" w:rsidP="0056565A">
      <w:pPr>
        <w:jc w:val="center"/>
        <w:rPr>
          <w:rFonts w:ascii="Arial" w:hAnsi="Arial" w:cs="Arial"/>
          <w:b/>
          <w:spacing w:val="20"/>
        </w:rPr>
      </w:pPr>
    </w:p>
    <w:p w:rsidR="00BC2ADE" w:rsidRPr="005152FF" w:rsidRDefault="006A5F62" w:rsidP="00BC2ADE">
      <w:pPr>
        <w:pStyle w:val="Sinespaciado"/>
        <w:spacing w:line="276" w:lineRule="auto"/>
        <w:jc w:val="center"/>
        <w:rPr>
          <w:rFonts w:ascii="Arial" w:hAnsi="Arial" w:cs="Arial"/>
          <w:b/>
          <w:sz w:val="24"/>
          <w:szCs w:val="24"/>
          <w:u w:val="single"/>
        </w:rPr>
      </w:pPr>
      <w:r w:rsidRPr="006A5F62">
        <w:t xml:space="preserve"> </w:t>
      </w:r>
      <w:r w:rsidR="00BC2ADE" w:rsidRPr="005152FF">
        <w:rPr>
          <w:rFonts w:ascii="Arial" w:hAnsi="Arial" w:cs="Arial"/>
          <w:b/>
          <w:sz w:val="24"/>
          <w:szCs w:val="24"/>
          <w:u w:val="single"/>
        </w:rPr>
        <w:t>GOBIERNO DEL ESTADO DE OAXACA</w:t>
      </w:r>
    </w:p>
    <w:p w:rsidR="00BC2ADE" w:rsidRPr="005152FF" w:rsidRDefault="00BC2ADE" w:rsidP="00BC2ADE">
      <w:pPr>
        <w:pStyle w:val="Sinespaciado"/>
        <w:spacing w:line="276" w:lineRule="auto"/>
        <w:jc w:val="center"/>
        <w:rPr>
          <w:rFonts w:ascii="Arial" w:hAnsi="Arial" w:cs="Arial"/>
          <w:b/>
          <w:sz w:val="24"/>
          <w:szCs w:val="24"/>
          <w:u w:val="single"/>
        </w:rPr>
      </w:pPr>
      <w:r w:rsidRPr="005152FF">
        <w:rPr>
          <w:rFonts w:ascii="Arial" w:hAnsi="Arial" w:cs="Arial"/>
          <w:b/>
          <w:sz w:val="24"/>
          <w:szCs w:val="24"/>
          <w:u w:val="single"/>
        </w:rPr>
        <w:t xml:space="preserve">NOTAS A LOS ESTADOS FINANCIEROS CONSOLIDADOS </w:t>
      </w:r>
    </w:p>
    <w:p w:rsidR="00BC2ADE" w:rsidRPr="005152FF" w:rsidRDefault="00BC2ADE" w:rsidP="00BC2ADE">
      <w:pPr>
        <w:pStyle w:val="Sinespaciado"/>
        <w:spacing w:line="276" w:lineRule="auto"/>
        <w:jc w:val="center"/>
        <w:rPr>
          <w:rFonts w:ascii="Arial" w:hAnsi="Arial" w:cs="Arial"/>
          <w:b/>
          <w:sz w:val="24"/>
          <w:szCs w:val="24"/>
          <w:u w:val="single"/>
        </w:rPr>
      </w:pPr>
      <w:r w:rsidRPr="005152FF">
        <w:rPr>
          <w:rFonts w:ascii="Arial" w:hAnsi="Arial" w:cs="Arial"/>
          <w:b/>
          <w:sz w:val="24"/>
          <w:szCs w:val="24"/>
          <w:u w:val="single"/>
        </w:rPr>
        <w:t>(PESOS)</w:t>
      </w:r>
    </w:p>
    <w:p w:rsidR="00BC2ADE" w:rsidRPr="005152FF" w:rsidRDefault="00BC2ADE" w:rsidP="00BC2ADE">
      <w:pPr>
        <w:pStyle w:val="Sinespaciado"/>
        <w:spacing w:line="360" w:lineRule="auto"/>
        <w:jc w:val="both"/>
        <w:rPr>
          <w:rFonts w:ascii="Arial" w:hAnsi="Arial" w:cs="Arial"/>
          <w:b/>
          <w:sz w:val="24"/>
          <w:szCs w:val="24"/>
          <w:u w:val="single"/>
        </w:rPr>
      </w:pPr>
      <w:r w:rsidRPr="005152FF">
        <w:rPr>
          <w:rFonts w:ascii="Arial" w:hAnsi="Arial" w:cs="Arial"/>
          <w:b/>
          <w:sz w:val="24"/>
          <w:szCs w:val="24"/>
          <w:u w:val="single"/>
        </w:rPr>
        <w:t>NOTAS DE DESGLOSE</w:t>
      </w:r>
    </w:p>
    <w:p w:rsidR="00BC2ADE" w:rsidRPr="005152FF" w:rsidRDefault="00BC2ADE" w:rsidP="00BC2ADE">
      <w:pPr>
        <w:pStyle w:val="Sinespaciado"/>
        <w:spacing w:line="360" w:lineRule="auto"/>
        <w:jc w:val="both"/>
        <w:rPr>
          <w:rFonts w:ascii="Arial" w:hAnsi="Arial" w:cs="Arial"/>
          <w:sz w:val="24"/>
          <w:szCs w:val="24"/>
        </w:rPr>
      </w:pPr>
    </w:p>
    <w:p w:rsidR="00BC2ADE" w:rsidRPr="005152FF" w:rsidRDefault="00BC2ADE" w:rsidP="00BC2ADE">
      <w:pPr>
        <w:pStyle w:val="Sinespaciado"/>
        <w:spacing w:line="360" w:lineRule="auto"/>
        <w:jc w:val="both"/>
        <w:rPr>
          <w:rFonts w:ascii="Arial" w:hAnsi="Arial" w:cs="Arial"/>
          <w:b/>
          <w:sz w:val="24"/>
          <w:szCs w:val="24"/>
        </w:rPr>
      </w:pPr>
      <w:r w:rsidRPr="005152FF">
        <w:rPr>
          <w:rFonts w:ascii="Arial" w:hAnsi="Arial" w:cs="Arial"/>
          <w:b/>
          <w:sz w:val="24"/>
          <w:szCs w:val="24"/>
        </w:rPr>
        <w:t>Nota.- Efectivo y Equivalentes.</w:t>
      </w:r>
    </w:p>
    <w:p w:rsidR="00BC2ADE" w:rsidRPr="005152FF" w:rsidRDefault="00BC2ADE" w:rsidP="00BC2ADE">
      <w:pPr>
        <w:pStyle w:val="Sinespaciado"/>
        <w:spacing w:line="360" w:lineRule="auto"/>
        <w:jc w:val="both"/>
        <w:rPr>
          <w:rFonts w:ascii="Arial" w:hAnsi="Arial" w:cs="Arial"/>
          <w:sz w:val="24"/>
          <w:szCs w:val="24"/>
        </w:rPr>
      </w:pPr>
    </w:p>
    <w:p w:rsidR="00BC2ADE" w:rsidRPr="005152FF" w:rsidRDefault="00BC2ADE" w:rsidP="00BC2ADE">
      <w:pPr>
        <w:pStyle w:val="Sinespaciado"/>
        <w:spacing w:line="360" w:lineRule="auto"/>
        <w:jc w:val="both"/>
        <w:rPr>
          <w:rFonts w:ascii="Arial" w:hAnsi="Arial" w:cs="Arial"/>
          <w:sz w:val="24"/>
          <w:szCs w:val="24"/>
        </w:rPr>
      </w:pPr>
      <w:r w:rsidRPr="005152FF">
        <w:rPr>
          <w:rFonts w:ascii="Arial" w:hAnsi="Arial" w:cs="Arial"/>
          <w:sz w:val="24"/>
          <w:szCs w:val="24"/>
        </w:rPr>
        <w:t>Los montos reflejados en este rubro representan la disponibilidad que se tiene para realizar pagos a corto plazo, como son, entre otros: a los prestadores de bienes y servicios; a contratistas por obra pública en proceso; a la Secretaría de Hacienda y Crédito Público, por las retenciones del Impuesto Sobre la Renta, sobre sueldos y salarios, honorarios y arrendamientos; al Instituto Mexicano del Seguro Social, por las cuotas obrero patronales de la burocracia; a la Tesorería de la Federación, por diferencias de anticipos pendientes de entregar. Asimismo, incluye recursos federales que serán utilizados para obras o programas que se encuentran en proceso de ejecución.</w:t>
      </w:r>
    </w:p>
    <w:p w:rsidR="00BC2ADE" w:rsidRPr="005152FF" w:rsidRDefault="00BC2ADE" w:rsidP="00BC2ADE">
      <w:pPr>
        <w:pStyle w:val="Sinespaciado"/>
        <w:spacing w:line="360" w:lineRule="auto"/>
        <w:jc w:val="both"/>
        <w:rPr>
          <w:rFonts w:ascii="Arial" w:hAnsi="Arial" w:cs="Arial"/>
          <w:sz w:val="24"/>
          <w:szCs w:val="24"/>
        </w:rPr>
      </w:pPr>
    </w:p>
    <w:p w:rsidR="00BC2ADE" w:rsidRPr="005152FF" w:rsidRDefault="00BC2ADE" w:rsidP="00BC2ADE">
      <w:pPr>
        <w:pStyle w:val="Sinespaciado"/>
        <w:spacing w:line="360" w:lineRule="auto"/>
        <w:jc w:val="both"/>
        <w:rPr>
          <w:rFonts w:ascii="Arial" w:hAnsi="Arial" w:cs="Arial"/>
          <w:sz w:val="24"/>
          <w:szCs w:val="24"/>
        </w:rPr>
      </w:pPr>
      <w:r w:rsidRPr="005152FF">
        <w:rPr>
          <w:rFonts w:ascii="Arial" w:hAnsi="Arial" w:cs="Arial"/>
          <w:sz w:val="24"/>
          <w:szCs w:val="24"/>
        </w:rPr>
        <w:t xml:space="preserve">Al </w:t>
      </w:r>
      <w:r>
        <w:rPr>
          <w:rFonts w:ascii="Arial" w:hAnsi="Arial" w:cs="Arial"/>
          <w:sz w:val="24"/>
          <w:szCs w:val="24"/>
        </w:rPr>
        <w:t>30</w:t>
      </w:r>
      <w:r w:rsidRPr="005152FF">
        <w:rPr>
          <w:rFonts w:ascii="Arial" w:hAnsi="Arial" w:cs="Arial"/>
          <w:sz w:val="24"/>
          <w:szCs w:val="24"/>
        </w:rPr>
        <w:t xml:space="preserve"> de </w:t>
      </w:r>
      <w:r>
        <w:rPr>
          <w:rFonts w:ascii="Arial" w:hAnsi="Arial" w:cs="Arial"/>
          <w:sz w:val="24"/>
          <w:szCs w:val="24"/>
        </w:rPr>
        <w:t xml:space="preserve">junio </w:t>
      </w:r>
      <w:r w:rsidRPr="005152FF">
        <w:rPr>
          <w:rFonts w:ascii="Arial" w:hAnsi="Arial" w:cs="Arial"/>
          <w:sz w:val="24"/>
          <w:szCs w:val="24"/>
        </w:rPr>
        <w:t>del 201</w:t>
      </w:r>
      <w:r>
        <w:rPr>
          <w:rFonts w:ascii="Arial" w:hAnsi="Arial" w:cs="Arial"/>
          <w:sz w:val="24"/>
          <w:szCs w:val="24"/>
        </w:rPr>
        <w:t xml:space="preserve">5 </w:t>
      </w:r>
      <w:r w:rsidRPr="005152FF">
        <w:rPr>
          <w:rFonts w:ascii="Arial" w:hAnsi="Arial" w:cs="Arial"/>
          <w:sz w:val="24"/>
          <w:szCs w:val="24"/>
        </w:rPr>
        <w:t>y 201</w:t>
      </w:r>
      <w:r>
        <w:rPr>
          <w:rFonts w:ascii="Arial" w:hAnsi="Arial" w:cs="Arial"/>
          <w:sz w:val="24"/>
          <w:szCs w:val="24"/>
        </w:rPr>
        <w:t>4</w:t>
      </w:r>
      <w:r w:rsidRPr="005152FF">
        <w:rPr>
          <w:rFonts w:ascii="Arial" w:hAnsi="Arial" w:cs="Arial"/>
          <w:sz w:val="24"/>
          <w:szCs w:val="24"/>
        </w:rPr>
        <w:t xml:space="preserve"> el efectivo se encuentra integrado de la siguiente manera:</w:t>
      </w:r>
    </w:p>
    <w:p w:rsidR="00BC2ADE" w:rsidRPr="005152FF" w:rsidRDefault="00BC2ADE" w:rsidP="00BC2ADE">
      <w:pPr>
        <w:pStyle w:val="Sinespaciado"/>
        <w:spacing w:line="360" w:lineRule="auto"/>
        <w:jc w:val="both"/>
        <w:rPr>
          <w:rFonts w:ascii="Arial" w:hAnsi="Arial" w:cs="Arial"/>
          <w:sz w:val="24"/>
          <w:szCs w:val="24"/>
        </w:rPr>
      </w:pPr>
    </w:p>
    <w:tbl>
      <w:tblPr>
        <w:tblW w:w="7100" w:type="dxa"/>
        <w:jc w:val="center"/>
        <w:tblCellMar>
          <w:left w:w="70" w:type="dxa"/>
          <w:right w:w="70" w:type="dxa"/>
        </w:tblCellMar>
        <w:tblLook w:val="04A0"/>
      </w:tblPr>
      <w:tblGrid>
        <w:gridCol w:w="4000"/>
        <w:gridCol w:w="1480"/>
        <w:gridCol w:w="200"/>
        <w:gridCol w:w="1420"/>
      </w:tblGrid>
      <w:tr w:rsidR="00BC2ADE" w:rsidRPr="00BC2ADE" w:rsidTr="008F5A9C">
        <w:trPr>
          <w:trHeight w:val="315"/>
          <w:jc w:val="center"/>
        </w:trPr>
        <w:tc>
          <w:tcPr>
            <w:tcW w:w="4000" w:type="dxa"/>
            <w:tcBorders>
              <w:top w:val="nil"/>
              <w:left w:val="nil"/>
              <w:bottom w:val="nil"/>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CONCEPTO</w:t>
            </w:r>
          </w:p>
        </w:tc>
        <w:tc>
          <w:tcPr>
            <w:tcW w:w="1480" w:type="dxa"/>
            <w:tcBorders>
              <w:top w:val="nil"/>
              <w:left w:val="nil"/>
              <w:bottom w:val="single" w:sz="4" w:space="0" w:color="auto"/>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2015</w:t>
            </w:r>
          </w:p>
        </w:tc>
        <w:tc>
          <w:tcPr>
            <w:tcW w:w="200" w:type="dxa"/>
            <w:tcBorders>
              <w:top w:val="nil"/>
              <w:left w:val="nil"/>
              <w:bottom w:val="nil"/>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p>
        </w:tc>
        <w:tc>
          <w:tcPr>
            <w:tcW w:w="1420" w:type="dxa"/>
            <w:tcBorders>
              <w:top w:val="nil"/>
              <w:left w:val="nil"/>
              <w:bottom w:val="single" w:sz="4" w:space="0" w:color="auto"/>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2014</w:t>
            </w:r>
          </w:p>
        </w:tc>
      </w:tr>
      <w:tr w:rsidR="00BC2ADE" w:rsidRPr="00BC2ADE" w:rsidTr="008F5A9C">
        <w:trPr>
          <w:trHeight w:val="300"/>
          <w:jc w:val="center"/>
        </w:trPr>
        <w:tc>
          <w:tcPr>
            <w:tcW w:w="4000"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Fondos fijos de caja</w:t>
            </w:r>
          </w:p>
        </w:tc>
        <w:tc>
          <w:tcPr>
            <w:tcW w:w="1480"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3,123,215 </w:t>
            </w:r>
          </w:p>
        </w:tc>
        <w:tc>
          <w:tcPr>
            <w:tcW w:w="200"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420"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4,276,924 </w:t>
            </w:r>
          </w:p>
        </w:tc>
      </w:tr>
      <w:tr w:rsidR="00BC2ADE" w:rsidRPr="00BC2ADE" w:rsidTr="008F5A9C">
        <w:trPr>
          <w:trHeight w:val="300"/>
          <w:jc w:val="center"/>
        </w:trPr>
        <w:tc>
          <w:tcPr>
            <w:tcW w:w="4000"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Bancos moneda nacional</w:t>
            </w:r>
          </w:p>
        </w:tc>
        <w:tc>
          <w:tcPr>
            <w:tcW w:w="1480"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2,261,169,331 </w:t>
            </w:r>
          </w:p>
        </w:tc>
        <w:tc>
          <w:tcPr>
            <w:tcW w:w="200"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420"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209,955,353 </w:t>
            </w:r>
          </w:p>
        </w:tc>
      </w:tr>
      <w:tr w:rsidR="00BC2ADE" w:rsidRPr="00BC2ADE" w:rsidTr="008F5A9C">
        <w:trPr>
          <w:trHeight w:val="300"/>
          <w:jc w:val="center"/>
        </w:trPr>
        <w:tc>
          <w:tcPr>
            <w:tcW w:w="4000"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Bancos moneda nacional</w:t>
            </w:r>
          </w:p>
        </w:tc>
        <w:tc>
          <w:tcPr>
            <w:tcW w:w="1480"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3,057,312,510 </w:t>
            </w:r>
          </w:p>
        </w:tc>
        <w:tc>
          <w:tcPr>
            <w:tcW w:w="200"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420"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788,471,826</w:t>
            </w:r>
          </w:p>
        </w:tc>
      </w:tr>
      <w:tr w:rsidR="00BC2ADE" w:rsidRPr="00BC2ADE" w:rsidTr="008F5A9C">
        <w:trPr>
          <w:trHeight w:val="300"/>
          <w:jc w:val="center"/>
        </w:trPr>
        <w:tc>
          <w:tcPr>
            <w:tcW w:w="4000"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 xml:space="preserve">Inversiones en moneda nacional </w:t>
            </w:r>
            <w:proofErr w:type="spellStart"/>
            <w:r w:rsidRPr="00BC2ADE">
              <w:rPr>
                <w:rFonts w:asciiTheme="minorHAnsi" w:hAnsiTheme="minorHAnsi" w:cs="Arial"/>
                <w:color w:val="000000"/>
                <w:sz w:val="20"/>
                <w:szCs w:val="20"/>
              </w:rPr>
              <w:t>cp</w:t>
            </w:r>
            <w:proofErr w:type="spellEnd"/>
          </w:p>
        </w:tc>
        <w:tc>
          <w:tcPr>
            <w:tcW w:w="1480"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3,827,411,688 </w:t>
            </w:r>
          </w:p>
        </w:tc>
        <w:tc>
          <w:tcPr>
            <w:tcW w:w="200"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420"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6,199,497,293 </w:t>
            </w:r>
          </w:p>
        </w:tc>
      </w:tr>
      <w:tr w:rsidR="00BC2ADE" w:rsidRPr="00BC2ADE" w:rsidTr="008F5A9C">
        <w:trPr>
          <w:trHeight w:val="300"/>
          <w:jc w:val="center"/>
        </w:trPr>
        <w:tc>
          <w:tcPr>
            <w:tcW w:w="4000"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Depósitos en garantía</w:t>
            </w:r>
          </w:p>
        </w:tc>
        <w:tc>
          <w:tcPr>
            <w:tcW w:w="1480"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658,412 </w:t>
            </w:r>
          </w:p>
        </w:tc>
        <w:tc>
          <w:tcPr>
            <w:tcW w:w="200"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420"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622,213 </w:t>
            </w:r>
          </w:p>
        </w:tc>
      </w:tr>
      <w:tr w:rsidR="00BC2ADE" w:rsidRPr="00BC2ADE" w:rsidTr="008F5A9C">
        <w:trPr>
          <w:trHeight w:val="300"/>
          <w:jc w:val="center"/>
        </w:trPr>
        <w:tc>
          <w:tcPr>
            <w:tcW w:w="4000"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480"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sz w:val="20"/>
                <w:szCs w:val="20"/>
              </w:rPr>
            </w:pPr>
          </w:p>
        </w:tc>
        <w:tc>
          <w:tcPr>
            <w:tcW w:w="200"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sz w:val="20"/>
                <w:szCs w:val="20"/>
              </w:rPr>
            </w:pPr>
          </w:p>
        </w:tc>
        <w:tc>
          <w:tcPr>
            <w:tcW w:w="1420"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sz w:val="20"/>
                <w:szCs w:val="20"/>
              </w:rPr>
            </w:pPr>
          </w:p>
        </w:tc>
      </w:tr>
      <w:tr w:rsidR="00BC2ADE" w:rsidRPr="00BC2ADE" w:rsidTr="008F5A9C">
        <w:trPr>
          <w:trHeight w:val="315"/>
          <w:jc w:val="center"/>
        </w:trPr>
        <w:tc>
          <w:tcPr>
            <w:tcW w:w="4000" w:type="dxa"/>
            <w:tcBorders>
              <w:top w:val="nil"/>
              <w:left w:val="nil"/>
              <w:bottom w:val="nil"/>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SUMAS</w:t>
            </w:r>
          </w:p>
        </w:tc>
        <w:tc>
          <w:tcPr>
            <w:tcW w:w="1480" w:type="dxa"/>
            <w:tcBorders>
              <w:top w:val="single" w:sz="4" w:space="0" w:color="auto"/>
              <w:left w:val="nil"/>
              <w:bottom w:val="double" w:sz="6" w:space="0" w:color="auto"/>
              <w:right w:val="nil"/>
            </w:tcBorders>
            <w:shd w:val="clear" w:color="auto" w:fill="auto"/>
            <w:noWrap/>
            <w:vAlign w:val="bottom"/>
            <w:hideMark/>
          </w:tcPr>
          <w:p w:rsidR="00BC2ADE" w:rsidRPr="00BC2ADE" w:rsidRDefault="00BC2ADE" w:rsidP="008F5A9C">
            <w:pPr>
              <w:jc w:val="right"/>
              <w:rPr>
                <w:rFonts w:asciiTheme="minorHAnsi" w:hAnsiTheme="minorHAnsi" w:cs="Arial"/>
                <w:b/>
                <w:bCs/>
                <w:color w:val="000000"/>
                <w:sz w:val="20"/>
                <w:szCs w:val="20"/>
              </w:rPr>
            </w:pPr>
            <w:r w:rsidRPr="00BC2ADE">
              <w:rPr>
                <w:rFonts w:asciiTheme="minorHAnsi" w:hAnsiTheme="minorHAnsi" w:cs="Arial"/>
                <w:b/>
                <w:bCs/>
                <w:color w:val="000000"/>
                <w:sz w:val="20"/>
                <w:szCs w:val="20"/>
              </w:rPr>
              <w:t>9,149,675,156</w:t>
            </w:r>
          </w:p>
        </w:tc>
        <w:tc>
          <w:tcPr>
            <w:tcW w:w="200"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b/>
                <w:bCs/>
                <w:color w:val="000000"/>
                <w:sz w:val="20"/>
                <w:szCs w:val="20"/>
              </w:rPr>
            </w:pPr>
          </w:p>
        </w:tc>
        <w:tc>
          <w:tcPr>
            <w:tcW w:w="1420" w:type="dxa"/>
            <w:tcBorders>
              <w:top w:val="single" w:sz="4" w:space="0" w:color="auto"/>
              <w:left w:val="nil"/>
              <w:bottom w:val="double" w:sz="6" w:space="0" w:color="auto"/>
              <w:right w:val="nil"/>
            </w:tcBorders>
            <w:shd w:val="clear" w:color="auto" w:fill="auto"/>
            <w:noWrap/>
            <w:vAlign w:val="bottom"/>
            <w:hideMark/>
          </w:tcPr>
          <w:p w:rsidR="00BC2ADE" w:rsidRPr="00BC2ADE" w:rsidRDefault="00BC2ADE" w:rsidP="008F5A9C">
            <w:pPr>
              <w:jc w:val="right"/>
              <w:rPr>
                <w:rFonts w:asciiTheme="minorHAnsi" w:hAnsiTheme="minorHAnsi" w:cs="Arial"/>
                <w:b/>
                <w:bCs/>
                <w:color w:val="000000"/>
                <w:sz w:val="20"/>
                <w:szCs w:val="20"/>
              </w:rPr>
            </w:pPr>
            <w:r w:rsidRPr="00BC2ADE">
              <w:rPr>
                <w:rFonts w:asciiTheme="minorHAnsi" w:hAnsiTheme="minorHAnsi" w:cs="Arial"/>
                <w:b/>
                <w:bCs/>
                <w:color w:val="000000"/>
                <w:sz w:val="20"/>
                <w:szCs w:val="20"/>
              </w:rPr>
              <w:t>7,202,823,609</w:t>
            </w:r>
          </w:p>
        </w:tc>
      </w:tr>
    </w:tbl>
    <w:p w:rsidR="00BC2ADE" w:rsidRPr="005152FF" w:rsidRDefault="00BC2ADE" w:rsidP="00BC2ADE">
      <w:pPr>
        <w:pStyle w:val="Sinespaciado"/>
        <w:spacing w:line="360" w:lineRule="auto"/>
        <w:jc w:val="both"/>
        <w:rPr>
          <w:rFonts w:ascii="Arial" w:hAnsi="Arial" w:cs="Arial"/>
          <w:sz w:val="24"/>
          <w:szCs w:val="24"/>
        </w:rPr>
      </w:pPr>
    </w:p>
    <w:p w:rsidR="00BC2ADE" w:rsidRPr="005152FF" w:rsidRDefault="00BC2ADE" w:rsidP="00D75E62">
      <w:pPr>
        <w:autoSpaceDE w:val="0"/>
        <w:autoSpaceDN w:val="0"/>
        <w:adjustRightInd w:val="0"/>
        <w:spacing w:before="80" w:line="360" w:lineRule="auto"/>
        <w:jc w:val="both"/>
        <w:rPr>
          <w:rFonts w:ascii="Arial" w:hAnsi="Arial" w:cs="Arial"/>
        </w:rPr>
      </w:pPr>
      <w:r w:rsidRPr="005152FF">
        <w:rPr>
          <w:rFonts w:ascii="Arial" w:hAnsi="Arial" w:cs="Arial"/>
        </w:rPr>
        <w:lastRenderedPageBreak/>
        <w:t>Respecto a este rubro, una parte corresponde al efectivo restringido del Gobierno del Estado, que concentra los ingresos afectos al fideicomiso (Impuesto de Erogaciones por Remuneración al Trabajo y Derechos por Servicios de Control Vehicular) que están destinados a cubrir las obligaciones derivadas de la Bursatilización y pago del principal e intereses de la misma y de las Fianzas de garantía del Poder Judicial. El importe por al 3</w:t>
      </w:r>
      <w:r>
        <w:rPr>
          <w:rFonts w:ascii="Arial" w:hAnsi="Arial" w:cs="Arial"/>
        </w:rPr>
        <w:t>0</w:t>
      </w:r>
      <w:r w:rsidRPr="005152FF">
        <w:rPr>
          <w:rFonts w:ascii="Arial" w:hAnsi="Arial" w:cs="Arial"/>
        </w:rPr>
        <w:t xml:space="preserve"> de </w:t>
      </w:r>
      <w:r>
        <w:rPr>
          <w:rFonts w:ascii="Arial" w:hAnsi="Arial" w:cs="Arial"/>
        </w:rPr>
        <w:t>junio del 2015 asciende a 438 mil 451 pesos</w:t>
      </w:r>
      <w:r w:rsidRPr="005152FF">
        <w:rPr>
          <w:rFonts w:ascii="Arial" w:hAnsi="Arial" w:cs="Arial"/>
        </w:rPr>
        <w:t xml:space="preserve"> </w:t>
      </w:r>
      <w:r>
        <w:rPr>
          <w:rFonts w:ascii="Arial" w:hAnsi="Arial" w:cs="Arial"/>
        </w:rPr>
        <w:t xml:space="preserve">y 982 mil 912 pesos </w:t>
      </w:r>
      <w:r w:rsidRPr="005152FF">
        <w:rPr>
          <w:rFonts w:ascii="Arial" w:hAnsi="Arial" w:cs="Arial"/>
        </w:rPr>
        <w:t xml:space="preserve">por </w:t>
      </w:r>
      <w:r>
        <w:rPr>
          <w:rFonts w:ascii="Arial" w:hAnsi="Arial" w:cs="Arial"/>
        </w:rPr>
        <w:t>al 30 de junio de 2015.</w:t>
      </w:r>
    </w:p>
    <w:p w:rsidR="00BC2ADE" w:rsidRPr="005152FF" w:rsidRDefault="00BC2ADE" w:rsidP="00D75E62">
      <w:pPr>
        <w:pStyle w:val="Sinespaciado"/>
        <w:spacing w:line="360" w:lineRule="auto"/>
        <w:jc w:val="both"/>
        <w:rPr>
          <w:rFonts w:ascii="Arial" w:hAnsi="Arial" w:cs="Arial"/>
          <w:sz w:val="24"/>
          <w:szCs w:val="24"/>
        </w:rPr>
      </w:pPr>
    </w:p>
    <w:p w:rsidR="00BC2ADE" w:rsidRPr="00BC2ADE" w:rsidRDefault="00BC2ADE" w:rsidP="00BC2ADE">
      <w:pPr>
        <w:pStyle w:val="Sinespaciado"/>
        <w:spacing w:line="360" w:lineRule="auto"/>
        <w:jc w:val="both"/>
        <w:rPr>
          <w:rFonts w:ascii="Arial" w:hAnsi="Arial" w:cs="Arial"/>
          <w:b/>
          <w:sz w:val="24"/>
          <w:szCs w:val="24"/>
        </w:rPr>
      </w:pPr>
      <w:r w:rsidRPr="00BC2ADE">
        <w:rPr>
          <w:rFonts w:ascii="Arial" w:hAnsi="Arial" w:cs="Arial"/>
          <w:b/>
          <w:sz w:val="24"/>
          <w:szCs w:val="24"/>
        </w:rPr>
        <w:t xml:space="preserve">Nota.- Derechos a Recibir Efectivo y Equivalentes y Bienes o Servicios a Recibir. </w:t>
      </w:r>
    </w:p>
    <w:p w:rsidR="00BC2ADE" w:rsidRPr="00BC2ADE" w:rsidRDefault="00BC2ADE" w:rsidP="00BC2ADE">
      <w:pPr>
        <w:pStyle w:val="Sinespaciado"/>
        <w:spacing w:line="360" w:lineRule="auto"/>
        <w:jc w:val="both"/>
        <w:rPr>
          <w:rFonts w:ascii="Arial" w:hAnsi="Arial" w:cs="Arial"/>
          <w:sz w:val="24"/>
          <w:szCs w:val="24"/>
        </w:rPr>
      </w:pPr>
    </w:p>
    <w:p w:rsidR="00BC2ADE" w:rsidRPr="005152FF" w:rsidRDefault="00BC2ADE" w:rsidP="00BC2ADE">
      <w:pPr>
        <w:pStyle w:val="Sinespaciado"/>
        <w:spacing w:line="360" w:lineRule="auto"/>
        <w:jc w:val="both"/>
        <w:rPr>
          <w:rFonts w:ascii="Arial" w:hAnsi="Arial" w:cs="Arial"/>
          <w:sz w:val="24"/>
          <w:szCs w:val="24"/>
        </w:rPr>
      </w:pPr>
      <w:r w:rsidRPr="005152FF">
        <w:rPr>
          <w:rFonts w:ascii="Arial" w:hAnsi="Arial" w:cs="Arial"/>
          <w:sz w:val="24"/>
          <w:szCs w:val="24"/>
        </w:rPr>
        <w:t>Corresponde a los derechos que tiene el Estado a recibir efectivo y equivalentes, y bienes o servicios.</w:t>
      </w:r>
    </w:p>
    <w:p w:rsidR="00BC2ADE" w:rsidRPr="005152FF" w:rsidRDefault="00BC2ADE" w:rsidP="00BC2ADE">
      <w:pPr>
        <w:pStyle w:val="Sinespaciado"/>
        <w:spacing w:line="360" w:lineRule="auto"/>
        <w:jc w:val="both"/>
        <w:rPr>
          <w:rFonts w:ascii="Arial" w:hAnsi="Arial" w:cs="Arial"/>
          <w:sz w:val="24"/>
          <w:szCs w:val="24"/>
        </w:rPr>
      </w:pPr>
    </w:p>
    <w:p w:rsidR="00BC2ADE" w:rsidRPr="00BC2ADE" w:rsidRDefault="00BC2ADE" w:rsidP="00BC2ADE">
      <w:pPr>
        <w:pStyle w:val="Sinespaciado"/>
        <w:spacing w:line="360" w:lineRule="auto"/>
        <w:jc w:val="both"/>
        <w:rPr>
          <w:rFonts w:ascii="Arial" w:hAnsi="Arial" w:cs="Arial"/>
          <w:sz w:val="24"/>
          <w:szCs w:val="24"/>
        </w:rPr>
      </w:pPr>
      <w:r w:rsidRPr="00BC2ADE">
        <w:rPr>
          <w:rFonts w:ascii="Arial" w:hAnsi="Arial" w:cs="Arial"/>
          <w:sz w:val="24"/>
          <w:szCs w:val="24"/>
        </w:rPr>
        <w:t>Derechos a Recibir Efectivo o Equivalentes.</w:t>
      </w:r>
    </w:p>
    <w:p w:rsidR="00BC2ADE" w:rsidRPr="005152FF" w:rsidRDefault="00BC2ADE" w:rsidP="00BC2ADE">
      <w:pPr>
        <w:pStyle w:val="Sinespaciado"/>
        <w:spacing w:line="360" w:lineRule="auto"/>
        <w:jc w:val="both"/>
        <w:rPr>
          <w:rFonts w:ascii="Arial" w:hAnsi="Arial" w:cs="Arial"/>
          <w:sz w:val="24"/>
          <w:szCs w:val="24"/>
        </w:rPr>
      </w:pPr>
      <w:r w:rsidRPr="005152FF">
        <w:rPr>
          <w:rFonts w:ascii="Arial" w:hAnsi="Arial" w:cs="Arial"/>
          <w:sz w:val="24"/>
          <w:szCs w:val="24"/>
        </w:rPr>
        <w:t>Los saldos de esta cuenta al 3</w:t>
      </w:r>
      <w:r>
        <w:rPr>
          <w:rFonts w:ascii="Arial" w:hAnsi="Arial" w:cs="Arial"/>
          <w:sz w:val="24"/>
          <w:szCs w:val="24"/>
        </w:rPr>
        <w:t>0</w:t>
      </w:r>
      <w:r w:rsidRPr="005152FF">
        <w:rPr>
          <w:rFonts w:ascii="Arial" w:hAnsi="Arial" w:cs="Arial"/>
          <w:sz w:val="24"/>
          <w:szCs w:val="24"/>
        </w:rPr>
        <w:t xml:space="preserve"> de </w:t>
      </w:r>
      <w:r>
        <w:rPr>
          <w:rFonts w:ascii="Arial" w:hAnsi="Arial" w:cs="Arial"/>
          <w:sz w:val="24"/>
          <w:szCs w:val="24"/>
        </w:rPr>
        <w:t>junio</w:t>
      </w:r>
      <w:r w:rsidRPr="005152FF">
        <w:rPr>
          <w:rFonts w:ascii="Arial" w:hAnsi="Arial" w:cs="Arial"/>
          <w:sz w:val="24"/>
          <w:szCs w:val="24"/>
        </w:rPr>
        <w:t xml:space="preserve"> del 201</w:t>
      </w:r>
      <w:r>
        <w:rPr>
          <w:rFonts w:ascii="Arial" w:hAnsi="Arial" w:cs="Arial"/>
          <w:sz w:val="24"/>
          <w:szCs w:val="24"/>
        </w:rPr>
        <w:t>5</w:t>
      </w:r>
      <w:r w:rsidRPr="005152FF">
        <w:rPr>
          <w:rFonts w:ascii="Arial" w:hAnsi="Arial" w:cs="Arial"/>
          <w:sz w:val="24"/>
          <w:szCs w:val="24"/>
        </w:rPr>
        <w:t xml:space="preserve"> y 201</w:t>
      </w:r>
      <w:r>
        <w:rPr>
          <w:rFonts w:ascii="Arial" w:hAnsi="Arial" w:cs="Arial"/>
          <w:sz w:val="24"/>
          <w:szCs w:val="24"/>
        </w:rPr>
        <w:t>4</w:t>
      </w:r>
      <w:r w:rsidRPr="005152FF">
        <w:rPr>
          <w:rFonts w:ascii="Arial" w:hAnsi="Arial" w:cs="Arial"/>
          <w:sz w:val="24"/>
          <w:szCs w:val="24"/>
        </w:rPr>
        <w:t xml:space="preserve"> se integran de la siguiente manera:</w:t>
      </w:r>
    </w:p>
    <w:p w:rsidR="00BC2ADE" w:rsidRPr="005152FF" w:rsidRDefault="00BC2ADE" w:rsidP="00BC2ADE">
      <w:pPr>
        <w:pStyle w:val="Sinespaciado"/>
        <w:spacing w:line="360" w:lineRule="auto"/>
        <w:jc w:val="both"/>
        <w:rPr>
          <w:rFonts w:ascii="Arial" w:hAnsi="Arial" w:cs="Arial"/>
          <w:sz w:val="24"/>
          <w:szCs w:val="24"/>
        </w:rPr>
      </w:pPr>
    </w:p>
    <w:tbl>
      <w:tblPr>
        <w:tblW w:w="7171" w:type="dxa"/>
        <w:jc w:val="center"/>
        <w:tblCellMar>
          <w:left w:w="70" w:type="dxa"/>
          <w:right w:w="70" w:type="dxa"/>
        </w:tblCellMar>
        <w:tblLook w:val="04A0"/>
      </w:tblPr>
      <w:tblGrid>
        <w:gridCol w:w="4192"/>
        <w:gridCol w:w="1410"/>
        <w:gridCol w:w="223"/>
        <w:gridCol w:w="1378"/>
      </w:tblGrid>
      <w:tr w:rsidR="00BC2ADE" w:rsidRPr="00BC2ADE" w:rsidTr="008F5A9C">
        <w:trPr>
          <w:trHeight w:val="284"/>
          <w:jc w:val="center"/>
        </w:trPr>
        <w:tc>
          <w:tcPr>
            <w:tcW w:w="4192" w:type="dxa"/>
            <w:tcBorders>
              <w:top w:val="nil"/>
              <w:left w:val="nil"/>
              <w:bottom w:val="nil"/>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CONCEPTO</w:t>
            </w:r>
          </w:p>
        </w:tc>
        <w:tc>
          <w:tcPr>
            <w:tcW w:w="1378" w:type="dxa"/>
            <w:tcBorders>
              <w:top w:val="nil"/>
              <w:left w:val="nil"/>
              <w:bottom w:val="single" w:sz="4" w:space="0" w:color="auto"/>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2015</w:t>
            </w:r>
          </w:p>
        </w:tc>
        <w:tc>
          <w:tcPr>
            <w:tcW w:w="223" w:type="dxa"/>
            <w:tcBorders>
              <w:top w:val="nil"/>
              <w:left w:val="nil"/>
              <w:bottom w:val="nil"/>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p>
        </w:tc>
        <w:tc>
          <w:tcPr>
            <w:tcW w:w="1378" w:type="dxa"/>
            <w:tcBorders>
              <w:top w:val="nil"/>
              <w:left w:val="nil"/>
              <w:bottom w:val="single" w:sz="4" w:space="0" w:color="auto"/>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2014</w:t>
            </w:r>
          </w:p>
        </w:tc>
      </w:tr>
      <w:tr w:rsidR="00BC2ADE" w:rsidRPr="00BC2ADE" w:rsidTr="008F5A9C">
        <w:trPr>
          <w:trHeight w:val="284"/>
          <w:jc w:val="center"/>
        </w:trPr>
        <w:tc>
          <w:tcPr>
            <w:tcW w:w="4192"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Cuentas por cobrar a la federación</w:t>
            </w:r>
          </w:p>
        </w:tc>
        <w:tc>
          <w:tcPr>
            <w:tcW w:w="1378"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227,567,707</w:t>
            </w:r>
          </w:p>
        </w:tc>
        <w:tc>
          <w:tcPr>
            <w:tcW w:w="223"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378"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121,932,821</w:t>
            </w:r>
          </w:p>
        </w:tc>
      </w:tr>
      <w:tr w:rsidR="00BC2ADE" w:rsidRPr="00BC2ADE" w:rsidTr="008F5A9C">
        <w:trPr>
          <w:trHeight w:val="284"/>
          <w:jc w:val="center"/>
        </w:trPr>
        <w:tc>
          <w:tcPr>
            <w:tcW w:w="4192"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Otras cuentas por cobrar</w:t>
            </w:r>
          </w:p>
        </w:tc>
        <w:tc>
          <w:tcPr>
            <w:tcW w:w="1378"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512,513,634</w:t>
            </w:r>
          </w:p>
        </w:tc>
        <w:tc>
          <w:tcPr>
            <w:tcW w:w="223"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378"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281,565,958</w:t>
            </w:r>
          </w:p>
        </w:tc>
      </w:tr>
      <w:tr w:rsidR="00BC2ADE" w:rsidRPr="00BC2ADE" w:rsidTr="008F5A9C">
        <w:trPr>
          <w:trHeight w:val="284"/>
          <w:jc w:val="center"/>
        </w:trPr>
        <w:tc>
          <w:tcPr>
            <w:tcW w:w="4192"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 xml:space="preserve">Otros deudores diversos por cobrar a </w:t>
            </w:r>
            <w:proofErr w:type="spellStart"/>
            <w:r w:rsidRPr="00BC2ADE">
              <w:rPr>
                <w:rFonts w:asciiTheme="minorHAnsi" w:hAnsiTheme="minorHAnsi" w:cs="Arial"/>
                <w:color w:val="000000"/>
                <w:sz w:val="20"/>
                <w:szCs w:val="20"/>
              </w:rPr>
              <w:t>cp</w:t>
            </w:r>
            <w:proofErr w:type="spellEnd"/>
          </w:p>
        </w:tc>
        <w:tc>
          <w:tcPr>
            <w:tcW w:w="1378"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2,144,627,512</w:t>
            </w:r>
          </w:p>
        </w:tc>
        <w:tc>
          <w:tcPr>
            <w:tcW w:w="223"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378"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1,533,602,245</w:t>
            </w:r>
          </w:p>
        </w:tc>
      </w:tr>
      <w:tr w:rsidR="00BC2ADE" w:rsidRPr="00BC2ADE" w:rsidTr="008F5A9C">
        <w:trPr>
          <w:trHeight w:val="284"/>
          <w:jc w:val="center"/>
        </w:trPr>
        <w:tc>
          <w:tcPr>
            <w:tcW w:w="4192"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Contribuciones por cobrar</w:t>
            </w:r>
          </w:p>
        </w:tc>
        <w:tc>
          <w:tcPr>
            <w:tcW w:w="1378"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9,101,698,266</w:t>
            </w:r>
          </w:p>
        </w:tc>
        <w:tc>
          <w:tcPr>
            <w:tcW w:w="223"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378"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233,963,120</w:t>
            </w:r>
          </w:p>
        </w:tc>
      </w:tr>
      <w:tr w:rsidR="00BC2ADE" w:rsidRPr="00BC2ADE" w:rsidTr="008F5A9C">
        <w:trPr>
          <w:trHeight w:val="284"/>
          <w:jc w:val="center"/>
        </w:trPr>
        <w:tc>
          <w:tcPr>
            <w:tcW w:w="4192"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Deudores por fondos rotatorios</w:t>
            </w:r>
          </w:p>
        </w:tc>
        <w:tc>
          <w:tcPr>
            <w:tcW w:w="1378"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19,658,294</w:t>
            </w:r>
          </w:p>
        </w:tc>
        <w:tc>
          <w:tcPr>
            <w:tcW w:w="223"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378"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22,119,872</w:t>
            </w:r>
          </w:p>
        </w:tc>
      </w:tr>
      <w:tr w:rsidR="00BC2ADE" w:rsidRPr="00BC2ADE" w:rsidTr="008F5A9C">
        <w:trPr>
          <w:trHeight w:val="284"/>
          <w:jc w:val="center"/>
        </w:trPr>
        <w:tc>
          <w:tcPr>
            <w:tcW w:w="4192"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Deudores por ministración de fondos</w:t>
            </w:r>
          </w:p>
        </w:tc>
        <w:tc>
          <w:tcPr>
            <w:tcW w:w="1378"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1,496,193,117</w:t>
            </w:r>
          </w:p>
        </w:tc>
        <w:tc>
          <w:tcPr>
            <w:tcW w:w="223"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378"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462,215,208</w:t>
            </w:r>
          </w:p>
        </w:tc>
      </w:tr>
      <w:tr w:rsidR="00BC2ADE" w:rsidRPr="00BC2ADE" w:rsidTr="008F5A9C">
        <w:trPr>
          <w:trHeight w:val="284"/>
          <w:jc w:val="center"/>
        </w:trPr>
        <w:tc>
          <w:tcPr>
            <w:tcW w:w="4192"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Anticipos de participaciones</w:t>
            </w:r>
          </w:p>
        </w:tc>
        <w:tc>
          <w:tcPr>
            <w:tcW w:w="1378"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61,933,983</w:t>
            </w:r>
          </w:p>
        </w:tc>
        <w:tc>
          <w:tcPr>
            <w:tcW w:w="223"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378"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37,252,377</w:t>
            </w:r>
          </w:p>
        </w:tc>
      </w:tr>
      <w:tr w:rsidR="00BC2ADE" w:rsidRPr="00BC2ADE" w:rsidTr="008F5A9C">
        <w:trPr>
          <w:trHeight w:val="284"/>
          <w:jc w:val="center"/>
        </w:trPr>
        <w:tc>
          <w:tcPr>
            <w:tcW w:w="4192"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 xml:space="preserve">Préstamos otorgados a </w:t>
            </w:r>
            <w:proofErr w:type="spellStart"/>
            <w:r w:rsidRPr="00BC2ADE">
              <w:rPr>
                <w:rFonts w:asciiTheme="minorHAnsi" w:hAnsiTheme="minorHAnsi" w:cs="Arial"/>
                <w:color w:val="000000"/>
                <w:sz w:val="20"/>
                <w:szCs w:val="20"/>
              </w:rPr>
              <w:t>cp</w:t>
            </w:r>
            <w:proofErr w:type="spellEnd"/>
            <w:r w:rsidRPr="00BC2ADE">
              <w:rPr>
                <w:rFonts w:asciiTheme="minorHAnsi" w:hAnsiTheme="minorHAnsi" w:cs="Arial"/>
                <w:color w:val="000000"/>
                <w:sz w:val="20"/>
                <w:szCs w:val="20"/>
              </w:rPr>
              <w:t xml:space="preserve"> al sector publico</w:t>
            </w:r>
          </w:p>
        </w:tc>
        <w:tc>
          <w:tcPr>
            <w:tcW w:w="1378"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771,603,385</w:t>
            </w:r>
          </w:p>
        </w:tc>
        <w:tc>
          <w:tcPr>
            <w:tcW w:w="223"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378"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867,203,115</w:t>
            </w:r>
          </w:p>
        </w:tc>
      </w:tr>
      <w:tr w:rsidR="00BC2ADE" w:rsidRPr="00BC2ADE" w:rsidTr="008F5A9C">
        <w:trPr>
          <w:trHeight w:val="284"/>
          <w:jc w:val="center"/>
        </w:trPr>
        <w:tc>
          <w:tcPr>
            <w:tcW w:w="4192"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 xml:space="preserve">Documentos por cobrar a </w:t>
            </w:r>
            <w:proofErr w:type="spellStart"/>
            <w:r w:rsidRPr="00BC2ADE">
              <w:rPr>
                <w:rFonts w:asciiTheme="minorHAnsi" w:hAnsiTheme="minorHAnsi" w:cs="Arial"/>
                <w:color w:val="000000"/>
                <w:sz w:val="20"/>
                <w:szCs w:val="20"/>
              </w:rPr>
              <w:t>cp</w:t>
            </w:r>
            <w:proofErr w:type="spellEnd"/>
          </w:p>
        </w:tc>
        <w:tc>
          <w:tcPr>
            <w:tcW w:w="1378"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23,659</w:t>
            </w:r>
          </w:p>
        </w:tc>
        <w:tc>
          <w:tcPr>
            <w:tcW w:w="223"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378"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53,490</w:t>
            </w:r>
          </w:p>
        </w:tc>
      </w:tr>
      <w:tr w:rsidR="00BC2ADE" w:rsidRPr="00BC2ADE" w:rsidTr="008F5A9C">
        <w:trPr>
          <w:trHeight w:val="284"/>
          <w:jc w:val="center"/>
        </w:trPr>
        <w:tc>
          <w:tcPr>
            <w:tcW w:w="4192"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 xml:space="preserve">Otras cuentas por cobrar a </w:t>
            </w:r>
            <w:proofErr w:type="spellStart"/>
            <w:r w:rsidRPr="00BC2ADE">
              <w:rPr>
                <w:rFonts w:asciiTheme="minorHAnsi" w:hAnsiTheme="minorHAnsi" w:cs="Arial"/>
                <w:color w:val="000000"/>
                <w:sz w:val="20"/>
                <w:szCs w:val="20"/>
              </w:rPr>
              <w:t>cp</w:t>
            </w:r>
            <w:proofErr w:type="spellEnd"/>
          </w:p>
        </w:tc>
        <w:tc>
          <w:tcPr>
            <w:tcW w:w="1378"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1,155,750,641</w:t>
            </w:r>
          </w:p>
        </w:tc>
        <w:tc>
          <w:tcPr>
            <w:tcW w:w="223"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378"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1,309,160,024</w:t>
            </w:r>
          </w:p>
        </w:tc>
      </w:tr>
      <w:tr w:rsidR="00BC2ADE" w:rsidRPr="00BC2ADE" w:rsidTr="008F5A9C">
        <w:trPr>
          <w:trHeight w:val="284"/>
          <w:jc w:val="center"/>
        </w:trPr>
        <w:tc>
          <w:tcPr>
            <w:tcW w:w="4192"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378"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sz w:val="20"/>
                <w:szCs w:val="20"/>
              </w:rPr>
            </w:pPr>
          </w:p>
        </w:tc>
        <w:tc>
          <w:tcPr>
            <w:tcW w:w="223"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sz w:val="20"/>
                <w:szCs w:val="20"/>
              </w:rPr>
            </w:pPr>
          </w:p>
        </w:tc>
        <w:tc>
          <w:tcPr>
            <w:tcW w:w="1378"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sz w:val="20"/>
                <w:szCs w:val="20"/>
              </w:rPr>
            </w:pPr>
          </w:p>
        </w:tc>
      </w:tr>
      <w:tr w:rsidR="00BC2ADE" w:rsidRPr="00BC2ADE" w:rsidTr="008F5A9C">
        <w:trPr>
          <w:trHeight w:val="298"/>
          <w:jc w:val="center"/>
        </w:trPr>
        <w:tc>
          <w:tcPr>
            <w:tcW w:w="4192" w:type="dxa"/>
            <w:tcBorders>
              <w:top w:val="nil"/>
              <w:left w:val="nil"/>
              <w:bottom w:val="nil"/>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SUMAS</w:t>
            </w:r>
          </w:p>
        </w:tc>
        <w:tc>
          <w:tcPr>
            <w:tcW w:w="1378" w:type="dxa"/>
            <w:tcBorders>
              <w:top w:val="single" w:sz="4" w:space="0" w:color="auto"/>
              <w:left w:val="nil"/>
              <w:bottom w:val="double" w:sz="6" w:space="0" w:color="auto"/>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15,491,570,198</w:t>
            </w:r>
          </w:p>
        </w:tc>
        <w:tc>
          <w:tcPr>
            <w:tcW w:w="223" w:type="dxa"/>
            <w:tcBorders>
              <w:top w:val="single" w:sz="4" w:space="0" w:color="auto"/>
              <w:left w:val="nil"/>
              <w:bottom w:val="double" w:sz="6" w:space="0" w:color="auto"/>
              <w:right w:val="nil"/>
            </w:tcBorders>
            <w:shd w:val="clear" w:color="auto" w:fill="auto"/>
            <w:noWrap/>
            <w:vAlign w:val="bottom"/>
            <w:hideMark/>
          </w:tcPr>
          <w:p w:rsidR="00BC2ADE" w:rsidRPr="00BC2ADE" w:rsidRDefault="00BC2ADE" w:rsidP="008F5A9C">
            <w:pPr>
              <w:rPr>
                <w:rFonts w:asciiTheme="minorHAnsi" w:hAnsiTheme="minorHAnsi" w:cs="Arial"/>
                <w:b/>
                <w:bCs/>
                <w:color w:val="000000"/>
                <w:sz w:val="20"/>
                <w:szCs w:val="20"/>
              </w:rPr>
            </w:pPr>
            <w:r w:rsidRPr="00BC2ADE">
              <w:rPr>
                <w:rFonts w:asciiTheme="minorHAnsi" w:hAnsiTheme="minorHAnsi" w:cs="Arial"/>
                <w:b/>
                <w:bCs/>
                <w:color w:val="000000"/>
                <w:sz w:val="20"/>
                <w:szCs w:val="20"/>
              </w:rPr>
              <w:t> </w:t>
            </w:r>
          </w:p>
        </w:tc>
        <w:tc>
          <w:tcPr>
            <w:tcW w:w="1378" w:type="dxa"/>
            <w:tcBorders>
              <w:top w:val="single" w:sz="4" w:space="0" w:color="auto"/>
              <w:left w:val="nil"/>
              <w:bottom w:val="double" w:sz="6" w:space="0" w:color="auto"/>
              <w:right w:val="nil"/>
            </w:tcBorders>
            <w:shd w:val="clear" w:color="auto" w:fill="auto"/>
            <w:noWrap/>
            <w:vAlign w:val="bottom"/>
            <w:hideMark/>
          </w:tcPr>
          <w:p w:rsidR="00BC2ADE" w:rsidRPr="00BC2ADE" w:rsidRDefault="00BC2ADE" w:rsidP="008F5A9C">
            <w:pPr>
              <w:jc w:val="right"/>
              <w:rPr>
                <w:rFonts w:asciiTheme="minorHAnsi" w:hAnsiTheme="minorHAnsi" w:cs="Arial"/>
                <w:b/>
                <w:bCs/>
                <w:color w:val="000000"/>
                <w:sz w:val="20"/>
                <w:szCs w:val="20"/>
              </w:rPr>
            </w:pPr>
            <w:r w:rsidRPr="00BC2ADE">
              <w:rPr>
                <w:rFonts w:asciiTheme="minorHAnsi" w:hAnsiTheme="minorHAnsi" w:cs="Arial"/>
                <w:b/>
                <w:bCs/>
                <w:color w:val="000000"/>
                <w:sz w:val="20"/>
                <w:szCs w:val="20"/>
              </w:rPr>
              <w:t>4,869,068,230</w:t>
            </w:r>
          </w:p>
        </w:tc>
      </w:tr>
    </w:tbl>
    <w:p w:rsidR="00BC2ADE" w:rsidRPr="005152FF" w:rsidRDefault="00BC2ADE" w:rsidP="00BC2ADE">
      <w:pPr>
        <w:pStyle w:val="Sinespaciado"/>
        <w:spacing w:line="360" w:lineRule="auto"/>
        <w:jc w:val="both"/>
        <w:rPr>
          <w:rFonts w:ascii="Arial" w:hAnsi="Arial" w:cs="Arial"/>
          <w:sz w:val="24"/>
          <w:szCs w:val="24"/>
        </w:rPr>
      </w:pPr>
    </w:p>
    <w:p w:rsidR="00BC2ADE" w:rsidRPr="005152FF" w:rsidRDefault="00BC2ADE" w:rsidP="00BC2ADE">
      <w:pPr>
        <w:pStyle w:val="Sinespaciado"/>
        <w:spacing w:line="360" w:lineRule="auto"/>
        <w:jc w:val="both"/>
        <w:rPr>
          <w:rFonts w:ascii="Arial" w:hAnsi="Arial" w:cs="Arial"/>
          <w:b/>
          <w:sz w:val="24"/>
          <w:szCs w:val="24"/>
        </w:rPr>
      </w:pPr>
      <w:r w:rsidRPr="005152FF">
        <w:rPr>
          <w:rFonts w:ascii="Arial" w:hAnsi="Arial" w:cs="Arial"/>
          <w:b/>
          <w:sz w:val="24"/>
          <w:szCs w:val="24"/>
        </w:rPr>
        <w:lastRenderedPageBreak/>
        <w:t>Derechos a Recibir Bienes y Servicios.</w:t>
      </w:r>
    </w:p>
    <w:p w:rsidR="00BC2ADE" w:rsidRPr="005152FF" w:rsidRDefault="00BC2ADE" w:rsidP="00BC2ADE">
      <w:pPr>
        <w:pStyle w:val="Sinespaciado"/>
        <w:spacing w:line="360" w:lineRule="auto"/>
        <w:jc w:val="both"/>
        <w:rPr>
          <w:rFonts w:ascii="Arial" w:hAnsi="Arial" w:cs="Arial"/>
          <w:sz w:val="24"/>
          <w:szCs w:val="24"/>
        </w:rPr>
      </w:pPr>
      <w:r w:rsidRPr="005152FF">
        <w:rPr>
          <w:rFonts w:ascii="Arial" w:hAnsi="Arial" w:cs="Arial"/>
          <w:sz w:val="24"/>
          <w:szCs w:val="24"/>
        </w:rPr>
        <w:t>Los saldos de esta cuenta al 3</w:t>
      </w:r>
      <w:r>
        <w:rPr>
          <w:rFonts w:ascii="Arial" w:hAnsi="Arial" w:cs="Arial"/>
          <w:sz w:val="24"/>
          <w:szCs w:val="24"/>
        </w:rPr>
        <w:t>0</w:t>
      </w:r>
      <w:r w:rsidRPr="005152FF">
        <w:rPr>
          <w:rFonts w:ascii="Arial" w:hAnsi="Arial" w:cs="Arial"/>
          <w:sz w:val="24"/>
          <w:szCs w:val="24"/>
        </w:rPr>
        <w:t xml:space="preserve"> de </w:t>
      </w:r>
      <w:r>
        <w:rPr>
          <w:rFonts w:ascii="Arial" w:hAnsi="Arial" w:cs="Arial"/>
          <w:sz w:val="24"/>
          <w:szCs w:val="24"/>
        </w:rPr>
        <w:t>junio</w:t>
      </w:r>
      <w:r w:rsidRPr="005152FF">
        <w:rPr>
          <w:rFonts w:ascii="Arial" w:hAnsi="Arial" w:cs="Arial"/>
          <w:sz w:val="24"/>
          <w:szCs w:val="24"/>
        </w:rPr>
        <w:t xml:space="preserve"> 2014 y 2013 respectivamente se integran de la siguiente manera:</w:t>
      </w:r>
    </w:p>
    <w:p w:rsidR="00BC2ADE" w:rsidRPr="005152FF" w:rsidRDefault="00BC2ADE" w:rsidP="00BC2ADE">
      <w:pPr>
        <w:pStyle w:val="Sinespaciado"/>
        <w:spacing w:line="360" w:lineRule="auto"/>
        <w:jc w:val="both"/>
        <w:rPr>
          <w:rFonts w:ascii="Arial" w:hAnsi="Arial" w:cs="Arial"/>
          <w:sz w:val="24"/>
          <w:szCs w:val="24"/>
        </w:rPr>
      </w:pPr>
    </w:p>
    <w:tbl>
      <w:tblPr>
        <w:tblW w:w="7137" w:type="dxa"/>
        <w:jc w:val="center"/>
        <w:tblCellMar>
          <w:left w:w="70" w:type="dxa"/>
          <w:right w:w="70" w:type="dxa"/>
        </w:tblCellMar>
        <w:tblLook w:val="04A0"/>
      </w:tblPr>
      <w:tblGrid>
        <w:gridCol w:w="4307"/>
        <w:gridCol w:w="1311"/>
        <w:gridCol w:w="246"/>
        <w:gridCol w:w="1273"/>
      </w:tblGrid>
      <w:tr w:rsidR="00BC2ADE" w:rsidRPr="00BC2ADE" w:rsidTr="008F5A9C">
        <w:trPr>
          <w:trHeight w:val="192"/>
          <w:jc w:val="center"/>
        </w:trPr>
        <w:tc>
          <w:tcPr>
            <w:tcW w:w="4307" w:type="dxa"/>
            <w:tcBorders>
              <w:top w:val="nil"/>
              <w:left w:val="nil"/>
              <w:bottom w:val="nil"/>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CONCEPTO</w:t>
            </w:r>
          </w:p>
        </w:tc>
        <w:tc>
          <w:tcPr>
            <w:tcW w:w="1311" w:type="dxa"/>
            <w:tcBorders>
              <w:top w:val="nil"/>
              <w:left w:val="nil"/>
              <w:bottom w:val="single" w:sz="4" w:space="0" w:color="auto"/>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2015</w:t>
            </w:r>
          </w:p>
        </w:tc>
        <w:tc>
          <w:tcPr>
            <w:tcW w:w="246" w:type="dxa"/>
            <w:tcBorders>
              <w:top w:val="nil"/>
              <w:left w:val="nil"/>
              <w:bottom w:val="nil"/>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p>
        </w:tc>
        <w:tc>
          <w:tcPr>
            <w:tcW w:w="1273" w:type="dxa"/>
            <w:tcBorders>
              <w:top w:val="nil"/>
              <w:left w:val="nil"/>
              <w:bottom w:val="single" w:sz="4" w:space="0" w:color="auto"/>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2014</w:t>
            </w:r>
          </w:p>
        </w:tc>
      </w:tr>
      <w:tr w:rsidR="00BC2ADE" w:rsidRPr="00BC2ADE" w:rsidTr="008F5A9C">
        <w:trPr>
          <w:trHeight w:val="192"/>
          <w:jc w:val="center"/>
        </w:trPr>
        <w:tc>
          <w:tcPr>
            <w:tcW w:w="4307"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Anticipo a proveedores por adquisición de bienes y prestación de servicios a corto plazo</w:t>
            </w:r>
          </w:p>
        </w:tc>
        <w:tc>
          <w:tcPr>
            <w:tcW w:w="1311"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                 111,207</w:t>
            </w:r>
          </w:p>
        </w:tc>
        <w:tc>
          <w:tcPr>
            <w:tcW w:w="246"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273"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                   24,041</w:t>
            </w:r>
          </w:p>
        </w:tc>
      </w:tr>
      <w:tr w:rsidR="00BC2ADE" w:rsidRPr="00BC2ADE" w:rsidTr="008F5A9C">
        <w:trPr>
          <w:trHeight w:val="192"/>
          <w:jc w:val="center"/>
        </w:trPr>
        <w:tc>
          <w:tcPr>
            <w:tcW w:w="4307"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Anticipo a contratistas por obra pública en bienes propios</w:t>
            </w:r>
          </w:p>
        </w:tc>
        <w:tc>
          <w:tcPr>
            <w:tcW w:w="1311"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           171,543,729</w:t>
            </w:r>
          </w:p>
        </w:tc>
        <w:tc>
          <w:tcPr>
            <w:tcW w:w="246"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273"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        186,669,500</w:t>
            </w:r>
          </w:p>
        </w:tc>
      </w:tr>
      <w:tr w:rsidR="00BC2ADE" w:rsidRPr="00BC2ADE" w:rsidTr="008F5A9C">
        <w:trPr>
          <w:trHeight w:val="192"/>
          <w:jc w:val="center"/>
        </w:trPr>
        <w:tc>
          <w:tcPr>
            <w:tcW w:w="4307"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311"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sz w:val="20"/>
                <w:szCs w:val="20"/>
              </w:rPr>
            </w:pPr>
          </w:p>
        </w:tc>
        <w:tc>
          <w:tcPr>
            <w:tcW w:w="246"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sz w:val="20"/>
                <w:szCs w:val="20"/>
              </w:rPr>
            </w:pPr>
          </w:p>
        </w:tc>
        <w:tc>
          <w:tcPr>
            <w:tcW w:w="1273"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sz w:val="20"/>
                <w:szCs w:val="20"/>
              </w:rPr>
            </w:pPr>
          </w:p>
        </w:tc>
      </w:tr>
      <w:tr w:rsidR="00BC2ADE" w:rsidRPr="00BC2ADE" w:rsidTr="008F5A9C">
        <w:trPr>
          <w:trHeight w:val="202"/>
          <w:jc w:val="center"/>
        </w:trPr>
        <w:tc>
          <w:tcPr>
            <w:tcW w:w="4307" w:type="dxa"/>
            <w:tcBorders>
              <w:top w:val="nil"/>
              <w:left w:val="nil"/>
              <w:bottom w:val="nil"/>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SUMAS</w:t>
            </w:r>
          </w:p>
        </w:tc>
        <w:tc>
          <w:tcPr>
            <w:tcW w:w="1311" w:type="dxa"/>
            <w:tcBorders>
              <w:top w:val="single" w:sz="4" w:space="0" w:color="auto"/>
              <w:left w:val="nil"/>
              <w:bottom w:val="double" w:sz="6" w:space="0" w:color="auto"/>
              <w:right w:val="nil"/>
            </w:tcBorders>
            <w:shd w:val="clear" w:color="auto" w:fill="auto"/>
            <w:noWrap/>
            <w:vAlign w:val="bottom"/>
            <w:hideMark/>
          </w:tcPr>
          <w:p w:rsidR="00BC2ADE" w:rsidRPr="00BC2ADE" w:rsidRDefault="00BC2ADE" w:rsidP="008F5A9C">
            <w:pPr>
              <w:jc w:val="right"/>
              <w:rPr>
                <w:rFonts w:asciiTheme="minorHAnsi" w:hAnsiTheme="minorHAnsi" w:cs="Arial"/>
                <w:b/>
                <w:bCs/>
                <w:color w:val="000000"/>
                <w:sz w:val="20"/>
                <w:szCs w:val="20"/>
              </w:rPr>
            </w:pPr>
            <w:r w:rsidRPr="00BC2ADE">
              <w:rPr>
                <w:rFonts w:asciiTheme="minorHAnsi" w:hAnsiTheme="minorHAnsi" w:cs="Arial"/>
                <w:b/>
                <w:bCs/>
                <w:color w:val="000000"/>
                <w:sz w:val="20"/>
                <w:szCs w:val="20"/>
              </w:rPr>
              <w:t xml:space="preserve">171,654,935         </w:t>
            </w:r>
          </w:p>
        </w:tc>
        <w:tc>
          <w:tcPr>
            <w:tcW w:w="246"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b/>
                <w:bCs/>
                <w:color w:val="000000"/>
                <w:sz w:val="20"/>
                <w:szCs w:val="20"/>
              </w:rPr>
            </w:pPr>
          </w:p>
        </w:tc>
        <w:tc>
          <w:tcPr>
            <w:tcW w:w="1273" w:type="dxa"/>
            <w:tcBorders>
              <w:top w:val="single" w:sz="4" w:space="0" w:color="auto"/>
              <w:left w:val="nil"/>
              <w:bottom w:val="double" w:sz="6" w:space="0" w:color="auto"/>
              <w:right w:val="nil"/>
            </w:tcBorders>
            <w:shd w:val="clear" w:color="auto" w:fill="auto"/>
            <w:noWrap/>
            <w:vAlign w:val="bottom"/>
            <w:hideMark/>
          </w:tcPr>
          <w:p w:rsidR="00BC2ADE" w:rsidRPr="00BC2ADE" w:rsidRDefault="00BC2ADE" w:rsidP="008F5A9C">
            <w:pPr>
              <w:jc w:val="right"/>
              <w:rPr>
                <w:rFonts w:asciiTheme="minorHAnsi" w:hAnsiTheme="minorHAnsi" w:cs="Arial"/>
                <w:b/>
                <w:bCs/>
                <w:color w:val="000000"/>
                <w:sz w:val="20"/>
                <w:szCs w:val="20"/>
              </w:rPr>
            </w:pPr>
            <w:r w:rsidRPr="00BC2ADE">
              <w:rPr>
                <w:rFonts w:asciiTheme="minorHAnsi" w:hAnsiTheme="minorHAnsi" w:cs="Arial"/>
                <w:b/>
                <w:bCs/>
                <w:color w:val="000000"/>
                <w:sz w:val="20"/>
                <w:szCs w:val="20"/>
              </w:rPr>
              <w:t>186,693,541</w:t>
            </w:r>
          </w:p>
        </w:tc>
      </w:tr>
    </w:tbl>
    <w:p w:rsidR="00BC2ADE" w:rsidRPr="005152FF" w:rsidRDefault="00BC2ADE" w:rsidP="00BC2ADE">
      <w:pPr>
        <w:pStyle w:val="Sinespaciado"/>
        <w:spacing w:line="360" w:lineRule="auto"/>
        <w:jc w:val="both"/>
        <w:rPr>
          <w:rFonts w:ascii="Arial" w:hAnsi="Arial" w:cs="Arial"/>
          <w:b/>
          <w:sz w:val="24"/>
          <w:szCs w:val="24"/>
        </w:rPr>
      </w:pPr>
    </w:p>
    <w:p w:rsidR="00BC2ADE" w:rsidRDefault="00BC2ADE" w:rsidP="00BC2ADE">
      <w:pPr>
        <w:pStyle w:val="Sinespaciado"/>
        <w:spacing w:line="360" w:lineRule="auto"/>
        <w:jc w:val="both"/>
        <w:rPr>
          <w:rFonts w:ascii="Arial" w:hAnsi="Arial" w:cs="Arial"/>
          <w:b/>
          <w:sz w:val="24"/>
          <w:szCs w:val="24"/>
        </w:rPr>
      </w:pPr>
      <w:r w:rsidRPr="005152FF">
        <w:rPr>
          <w:rFonts w:ascii="Arial" w:hAnsi="Arial" w:cs="Arial"/>
          <w:b/>
          <w:sz w:val="24"/>
          <w:szCs w:val="24"/>
        </w:rPr>
        <w:t>Nota.- Inversiones Financieras a Largo Plazo</w:t>
      </w:r>
    </w:p>
    <w:p w:rsidR="00BC2ADE" w:rsidRPr="005152FF" w:rsidRDefault="00BC2ADE" w:rsidP="00BC2ADE">
      <w:pPr>
        <w:pStyle w:val="Sinespaciado"/>
        <w:spacing w:line="360" w:lineRule="auto"/>
        <w:jc w:val="both"/>
        <w:rPr>
          <w:rFonts w:ascii="Arial" w:hAnsi="Arial" w:cs="Arial"/>
          <w:b/>
          <w:sz w:val="24"/>
          <w:szCs w:val="24"/>
        </w:rPr>
      </w:pPr>
    </w:p>
    <w:p w:rsidR="00BC2ADE" w:rsidRPr="005152FF" w:rsidRDefault="00BC2ADE" w:rsidP="00BC2ADE">
      <w:pPr>
        <w:pStyle w:val="Sinespaciado"/>
        <w:spacing w:line="360" w:lineRule="auto"/>
        <w:jc w:val="both"/>
        <w:rPr>
          <w:rFonts w:ascii="Arial" w:hAnsi="Arial" w:cs="Arial"/>
          <w:sz w:val="24"/>
          <w:szCs w:val="24"/>
        </w:rPr>
      </w:pPr>
      <w:r w:rsidRPr="005152FF">
        <w:rPr>
          <w:rFonts w:ascii="Arial" w:hAnsi="Arial" w:cs="Arial"/>
          <w:sz w:val="24"/>
          <w:szCs w:val="24"/>
        </w:rPr>
        <w:t>Representan el monto de los recursos excedentes del ente público, invertidos en títulos, valores y demás instrumentos financieros cuya recuperación se efectuará en un plazo mayor a doce meses.</w:t>
      </w:r>
    </w:p>
    <w:p w:rsidR="00BC2ADE" w:rsidRPr="005152FF" w:rsidRDefault="00BC2ADE" w:rsidP="00BC2ADE">
      <w:pPr>
        <w:pStyle w:val="Sinespaciado"/>
        <w:spacing w:line="360" w:lineRule="auto"/>
        <w:jc w:val="both"/>
        <w:rPr>
          <w:rFonts w:ascii="Arial" w:hAnsi="Arial" w:cs="Arial"/>
          <w:sz w:val="24"/>
          <w:szCs w:val="24"/>
        </w:rPr>
      </w:pPr>
    </w:p>
    <w:tbl>
      <w:tblPr>
        <w:tblW w:w="6904" w:type="dxa"/>
        <w:jc w:val="center"/>
        <w:tblCellMar>
          <w:left w:w="70" w:type="dxa"/>
          <w:right w:w="70" w:type="dxa"/>
        </w:tblCellMar>
        <w:tblLook w:val="04A0"/>
      </w:tblPr>
      <w:tblGrid>
        <w:gridCol w:w="3868"/>
        <w:gridCol w:w="1420"/>
        <w:gridCol w:w="196"/>
        <w:gridCol w:w="1420"/>
      </w:tblGrid>
      <w:tr w:rsidR="00BC2ADE" w:rsidRPr="00BC2ADE" w:rsidTr="008F5A9C">
        <w:trPr>
          <w:trHeight w:val="279"/>
          <w:jc w:val="center"/>
        </w:trPr>
        <w:tc>
          <w:tcPr>
            <w:tcW w:w="3868" w:type="dxa"/>
            <w:tcBorders>
              <w:top w:val="nil"/>
              <w:left w:val="nil"/>
              <w:bottom w:val="nil"/>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CONCEPTO</w:t>
            </w:r>
          </w:p>
        </w:tc>
        <w:tc>
          <w:tcPr>
            <w:tcW w:w="1420" w:type="dxa"/>
            <w:tcBorders>
              <w:top w:val="nil"/>
              <w:left w:val="nil"/>
              <w:bottom w:val="single" w:sz="4" w:space="0" w:color="auto"/>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2015</w:t>
            </w:r>
          </w:p>
        </w:tc>
        <w:tc>
          <w:tcPr>
            <w:tcW w:w="196" w:type="dxa"/>
            <w:tcBorders>
              <w:top w:val="nil"/>
              <w:left w:val="nil"/>
              <w:bottom w:val="nil"/>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p>
        </w:tc>
        <w:tc>
          <w:tcPr>
            <w:tcW w:w="1420" w:type="dxa"/>
            <w:tcBorders>
              <w:top w:val="nil"/>
              <w:left w:val="nil"/>
              <w:bottom w:val="single" w:sz="4" w:space="0" w:color="auto"/>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2014</w:t>
            </w:r>
          </w:p>
        </w:tc>
      </w:tr>
      <w:tr w:rsidR="00BC2ADE" w:rsidRPr="00BC2ADE" w:rsidTr="008F5A9C">
        <w:trPr>
          <w:trHeight w:val="279"/>
          <w:jc w:val="center"/>
        </w:trPr>
        <w:tc>
          <w:tcPr>
            <w:tcW w:w="3868"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Fideicomisos, mandatos y análogos del poder ejecutivo</w:t>
            </w:r>
          </w:p>
        </w:tc>
        <w:tc>
          <w:tcPr>
            <w:tcW w:w="1420"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705,332,037</w:t>
            </w:r>
          </w:p>
        </w:tc>
        <w:tc>
          <w:tcPr>
            <w:tcW w:w="196"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420" w:type="dxa"/>
            <w:tcBorders>
              <w:top w:val="nil"/>
              <w:left w:val="nil"/>
              <w:bottom w:val="nil"/>
              <w:right w:val="nil"/>
            </w:tcBorders>
            <w:shd w:val="clear" w:color="auto" w:fill="auto"/>
            <w:noWrap/>
            <w:vAlign w:val="bottom"/>
            <w:hideMark/>
          </w:tcPr>
          <w:p w:rsidR="00BC2ADE" w:rsidRPr="00BC2ADE" w:rsidRDefault="008207C4" w:rsidP="008F5A9C">
            <w:pPr>
              <w:jc w:val="right"/>
              <w:rPr>
                <w:rFonts w:asciiTheme="minorHAnsi" w:hAnsiTheme="minorHAnsi" w:cs="Arial"/>
                <w:color w:val="000000"/>
                <w:sz w:val="20"/>
                <w:szCs w:val="20"/>
              </w:rPr>
            </w:pPr>
            <w:r>
              <w:rPr>
                <w:rFonts w:asciiTheme="minorHAnsi" w:hAnsiTheme="minorHAnsi" w:cs="Arial"/>
                <w:color w:val="000000"/>
                <w:sz w:val="20"/>
                <w:szCs w:val="20"/>
              </w:rPr>
              <w:t>6</w:t>
            </w:r>
            <w:r w:rsidR="00BC2ADE" w:rsidRPr="00BC2ADE">
              <w:rPr>
                <w:rFonts w:asciiTheme="minorHAnsi" w:hAnsiTheme="minorHAnsi" w:cs="Arial"/>
                <w:color w:val="000000"/>
                <w:sz w:val="20"/>
                <w:szCs w:val="20"/>
              </w:rPr>
              <w:t>71,469,106</w:t>
            </w:r>
          </w:p>
        </w:tc>
      </w:tr>
      <w:tr w:rsidR="00BC2ADE" w:rsidRPr="00BC2ADE" w:rsidTr="008F5A9C">
        <w:trPr>
          <w:trHeight w:val="293"/>
          <w:jc w:val="center"/>
        </w:trPr>
        <w:tc>
          <w:tcPr>
            <w:tcW w:w="3868" w:type="dxa"/>
            <w:tcBorders>
              <w:top w:val="nil"/>
              <w:left w:val="nil"/>
              <w:bottom w:val="nil"/>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SUMAS</w:t>
            </w:r>
          </w:p>
        </w:tc>
        <w:tc>
          <w:tcPr>
            <w:tcW w:w="1420" w:type="dxa"/>
            <w:tcBorders>
              <w:top w:val="single" w:sz="4" w:space="0" w:color="auto"/>
              <w:left w:val="nil"/>
              <w:bottom w:val="double" w:sz="6" w:space="0" w:color="auto"/>
              <w:right w:val="nil"/>
            </w:tcBorders>
            <w:shd w:val="clear" w:color="auto" w:fill="auto"/>
            <w:noWrap/>
            <w:vAlign w:val="bottom"/>
            <w:hideMark/>
          </w:tcPr>
          <w:p w:rsidR="00BC2ADE" w:rsidRPr="00BC2ADE" w:rsidRDefault="00BC2ADE" w:rsidP="008F5A9C">
            <w:pPr>
              <w:jc w:val="right"/>
              <w:rPr>
                <w:rFonts w:asciiTheme="minorHAnsi" w:hAnsiTheme="minorHAnsi" w:cs="Arial"/>
                <w:b/>
                <w:bCs/>
                <w:color w:val="000000"/>
                <w:sz w:val="20"/>
                <w:szCs w:val="20"/>
              </w:rPr>
            </w:pPr>
            <w:r w:rsidRPr="00BC2ADE">
              <w:rPr>
                <w:rFonts w:asciiTheme="minorHAnsi" w:hAnsiTheme="minorHAnsi" w:cs="Arial"/>
                <w:b/>
                <w:bCs/>
                <w:color w:val="000000"/>
                <w:sz w:val="20"/>
                <w:szCs w:val="20"/>
              </w:rPr>
              <w:t>705,332,037</w:t>
            </w:r>
          </w:p>
        </w:tc>
        <w:tc>
          <w:tcPr>
            <w:tcW w:w="196"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b/>
                <w:bCs/>
                <w:color w:val="000000"/>
                <w:sz w:val="20"/>
                <w:szCs w:val="20"/>
              </w:rPr>
            </w:pPr>
          </w:p>
        </w:tc>
        <w:tc>
          <w:tcPr>
            <w:tcW w:w="1420" w:type="dxa"/>
            <w:tcBorders>
              <w:top w:val="single" w:sz="4" w:space="0" w:color="auto"/>
              <w:left w:val="nil"/>
              <w:bottom w:val="double" w:sz="6" w:space="0" w:color="auto"/>
              <w:right w:val="nil"/>
            </w:tcBorders>
            <w:shd w:val="clear" w:color="auto" w:fill="auto"/>
            <w:noWrap/>
            <w:vAlign w:val="bottom"/>
            <w:hideMark/>
          </w:tcPr>
          <w:p w:rsidR="00BC2ADE" w:rsidRPr="00BC2ADE" w:rsidRDefault="008207C4" w:rsidP="008207C4">
            <w:pPr>
              <w:jc w:val="right"/>
              <w:rPr>
                <w:rFonts w:asciiTheme="minorHAnsi" w:hAnsiTheme="minorHAnsi" w:cs="Arial"/>
                <w:b/>
                <w:bCs/>
                <w:color w:val="000000"/>
                <w:sz w:val="20"/>
                <w:szCs w:val="20"/>
              </w:rPr>
            </w:pPr>
            <w:r>
              <w:rPr>
                <w:rFonts w:asciiTheme="minorHAnsi" w:hAnsiTheme="minorHAnsi" w:cs="Arial"/>
                <w:b/>
                <w:bCs/>
                <w:color w:val="000000"/>
                <w:sz w:val="20"/>
                <w:szCs w:val="20"/>
              </w:rPr>
              <w:t>6</w:t>
            </w:r>
            <w:r w:rsidR="00BC2ADE" w:rsidRPr="00BC2ADE">
              <w:rPr>
                <w:rFonts w:asciiTheme="minorHAnsi" w:hAnsiTheme="minorHAnsi" w:cs="Arial"/>
                <w:b/>
                <w:bCs/>
                <w:color w:val="000000"/>
                <w:sz w:val="20"/>
                <w:szCs w:val="20"/>
              </w:rPr>
              <w:t>71,469,106</w:t>
            </w:r>
          </w:p>
        </w:tc>
      </w:tr>
    </w:tbl>
    <w:p w:rsidR="00BC2ADE" w:rsidRPr="005152FF" w:rsidRDefault="00BC2ADE" w:rsidP="00BC2ADE">
      <w:pPr>
        <w:pStyle w:val="Sinespaciado"/>
        <w:spacing w:line="360" w:lineRule="auto"/>
        <w:jc w:val="both"/>
        <w:rPr>
          <w:rFonts w:ascii="Arial" w:hAnsi="Arial" w:cs="Arial"/>
          <w:sz w:val="24"/>
          <w:szCs w:val="24"/>
        </w:rPr>
      </w:pPr>
    </w:p>
    <w:p w:rsidR="00BC2ADE" w:rsidRDefault="00BC2ADE" w:rsidP="00BC2ADE">
      <w:pPr>
        <w:pStyle w:val="Sinespaciado"/>
        <w:spacing w:line="360" w:lineRule="auto"/>
        <w:jc w:val="both"/>
        <w:rPr>
          <w:rFonts w:ascii="Arial" w:hAnsi="Arial" w:cs="Arial"/>
          <w:b/>
          <w:sz w:val="24"/>
          <w:szCs w:val="24"/>
        </w:rPr>
      </w:pPr>
    </w:p>
    <w:p w:rsidR="00BC2ADE" w:rsidRPr="005152FF" w:rsidRDefault="00BC2ADE" w:rsidP="00BC2ADE">
      <w:pPr>
        <w:pStyle w:val="Sinespaciado"/>
        <w:spacing w:line="360" w:lineRule="auto"/>
        <w:jc w:val="both"/>
        <w:rPr>
          <w:rFonts w:ascii="Arial" w:hAnsi="Arial" w:cs="Arial"/>
          <w:b/>
          <w:sz w:val="24"/>
          <w:szCs w:val="24"/>
        </w:rPr>
      </w:pPr>
      <w:r w:rsidRPr="005152FF">
        <w:rPr>
          <w:rFonts w:ascii="Arial" w:hAnsi="Arial" w:cs="Arial"/>
          <w:b/>
          <w:sz w:val="24"/>
          <w:szCs w:val="24"/>
        </w:rPr>
        <w:t>Nota.- Bienes Inmuebles, Infraestructura y Construcciones en proceso.</w:t>
      </w:r>
    </w:p>
    <w:p w:rsidR="00BC2ADE" w:rsidRPr="005152FF" w:rsidRDefault="00BC2ADE" w:rsidP="00BC2ADE">
      <w:pPr>
        <w:pStyle w:val="Sinespaciado"/>
        <w:spacing w:line="360" w:lineRule="auto"/>
        <w:jc w:val="both"/>
        <w:rPr>
          <w:rFonts w:ascii="Arial" w:hAnsi="Arial" w:cs="Arial"/>
          <w:sz w:val="24"/>
          <w:szCs w:val="24"/>
        </w:rPr>
      </w:pPr>
    </w:p>
    <w:p w:rsidR="00BC2ADE" w:rsidRDefault="00BC2ADE" w:rsidP="00BC2ADE">
      <w:pPr>
        <w:pStyle w:val="Sinespaciado"/>
        <w:spacing w:line="360" w:lineRule="auto"/>
        <w:jc w:val="both"/>
        <w:rPr>
          <w:rFonts w:ascii="Arial" w:hAnsi="Arial" w:cs="Arial"/>
          <w:sz w:val="24"/>
          <w:szCs w:val="24"/>
        </w:rPr>
      </w:pPr>
      <w:r w:rsidRPr="005152FF">
        <w:rPr>
          <w:rFonts w:ascii="Arial" w:hAnsi="Arial" w:cs="Arial"/>
          <w:sz w:val="24"/>
          <w:szCs w:val="24"/>
        </w:rPr>
        <w:t xml:space="preserve">Representa el monto de todo tipo de inmuebles, infraestructura y construcciones, así como los gastos derivados de actos de su adquisición, adjudicación, expropiación e indemnización y los que se generen por estudios de pre inversión, cuando se realicen por causas de interés público.  </w:t>
      </w:r>
    </w:p>
    <w:p w:rsidR="00BC2ADE" w:rsidRPr="005152FF" w:rsidRDefault="00BC2ADE" w:rsidP="00BC2ADE">
      <w:pPr>
        <w:pStyle w:val="Sinespaciado"/>
        <w:spacing w:line="360" w:lineRule="auto"/>
        <w:jc w:val="both"/>
        <w:rPr>
          <w:rFonts w:ascii="Arial" w:hAnsi="Arial" w:cs="Arial"/>
          <w:sz w:val="24"/>
          <w:szCs w:val="24"/>
        </w:rPr>
      </w:pPr>
    </w:p>
    <w:p w:rsidR="00BC2ADE" w:rsidRPr="005152FF" w:rsidRDefault="00BC2ADE" w:rsidP="00BC2ADE">
      <w:pPr>
        <w:pStyle w:val="Sinespaciado"/>
        <w:spacing w:line="360" w:lineRule="auto"/>
        <w:jc w:val="both"/>
        <w:rPr>
          <w:rFonts w:ascii="Arial" w:hAnsi="Arial" w:cs="Arial"/>
          <w:sz w:val="24"/>
          <w:szCs w:val="24"/>
        </w:rPr>
      </w:pPr>
      <w:r w:rsidRPr="005152FF">
        <w:rPr>
          <w:rFonts w:ascii="Arial" w:hAnsi="Arial" w:cs="Arial"/>
          <w:sz w:val="24"/>
          <w:szCs w:val="24"/>
        </w:rPr>
        <w:lastRenderedPageBreak/>
        <w:t>Los saldos de esta cuenta se al 3</w:t>
      </w:r>
      <w:r>
        <w:rPr>
          <w:rFonts w:ascii="Arial" w:hAnsi="Arial" w:cs="Arial"/>
          <w:sz w:val="24"/>
          <w:szCs w:val="24"/>
        </w:rPr>
        <w:t>0</w:t>
      </w:r>
      <w:r w:rsidRPr="005152FF">
        <w:rPr>
          <w:rFonts w:ascii="Arial" w:hAnsi="Arial" w:cs="Arial"/>
          <w:sz w:val="24"/>
          <w:szCs w:val="24"/>
        </w:rPr>
        <w:t xml:space="preserve"> de </w:t>
      </w:r>
      <w:r>
        <w:rPr>
          <w:rFonts w:ascii="Arial" w:hAnsi="Arial" w:cs="Arial"/>
          <w:sz w:val="24"/>
          <w:szCs w:val="24"/>
        </w:rPr>
        <w:t>junio</w:t>
      </w:r>
      <w:r w:rsidRPr="005152FF">
        <w:rPr>
          <w:rFonts w:ascii="Arial" w:hAnsi="Arial" w:cs="Arial"/>
          <w:sz w:val="24"/>
          <w:szCs w:val="24"/>
        </w:rPr>
        <w:t xml:space="preserve"> del 201</w:t>
      </w:r>
      <w:r>
        <w:rPr>
          <w:rFonts w:ascii="Arial" w:hAnsi="Arial" w:cs="Arial"/>
          <w:sz w:val="24"/>
          <w:szCs w:val="24"/>
        </w:rPr>
        <w:t>5</w:t>
      </w:r>
      <w:r w:rsidRPr="005152FF">
        <w:rPr>
          <w:rFonts w:ascii="Arial" w:hAnsi="Arial" w:cs="Arial"/>
          <w:sz w:val="24"/>
          <w:szCs w:val="24"/>
        </w:rPr>
        <w:t xml:space="preserve"> y 201</w:t>
      </w:r>
      <w:r>
        <w:rPr>
          <w:rFonts w:ascii="Arial" w:hAnsi="Arial" w:cs="Arial"/>
          <w:sz w:val="24"/>
          <w:szCs w:val="24"/>
        </w:rPr>
        <w:t>4</w:t>
      </w:r>
      <w:r w:rsidRPr="005152FF">
        <w:rPr>
          <w:rFonts w:ascii="Arial" w:hAnsi="Arial" w:cs="Arial"/>
          <w:sz w:val="24"/>
          <w:szCs w:val="24"/>
        </w:rPr>
        <w:t xml:space="preserve"> se integran de la siguiente manera:</w:t>
      </w:r>
    </w:p>
    <w:tbl>
      <w:tblPr>
        <w:tblW w:w="9231" w:type="dxa"/>
        <w:jc w:val="center"/>
        <w:tblCellMar>
          <w:left w:w="70" w:type="dxa"/>
          <w:right w:w="70" w:type="dxa"/>
        </w:tblCellMar>
        <w:tblLook w:val="04A0"/>
      </w:tblPr>
      <w:tblGrid>
        <w:gridCol w:w="5282"/>
        <w:gridCol w:w="1965"/>
        <w:gridCol w:w="146"/>
        <w:gridCol w:w="1838"/>
      </w:tblGrid>
      <w:tr w:rsidR="00BC2ADE" w:rsidRPr="00BC2ADE" w:rsidTr="008F5A9C">
        <w:trPr>
          <w:trHeight w:val="189"/>
          <w:tblHeader/>
          <w:jc w:val="center"/>
        </w:trPr>
        <w:tc>
          <w:tcPr>
            <w:tcW w:w="5282" w:type="dxa"/>
            <w:shd w:val="clear" w:color="auto" w:fill="auto"/>
            <w:noWrap/>
            <w:vAlign w:val="bottom"/>
            <w:hideMark/>
          </w:tcPr>
          <w:p w:rsidR="00BC2ADE" w:rsidRDefault="00BC2ADE" w:rsidP="008F5A9C">
            <w:pPr>
              <w:jc w:val="center"/>
              <w:rPr>
                <w:rFonts w:asciiTheme="minorHAnsi" w:hAnsiTheme="minorHAnsi" w:cs="Arial"/>
                <w:b/>
                <w:bCs/>
                <w:color w:val="000000"/>
                <w:sz w:val="20"/>
                <w:szCs w:val="20"/>
              </w:rPr>
            </w:pPr>
          </w:p>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CONCEPTO</w:t>
            </w:r>
          </w:p>
        </w:tc>
        <w:tc>
          <w:tcPr>
            <w:tcW w:w="1965" w:type="dxa"/>
            <w:shd w:val="clear" w:color="auto" w:fill="auto"/>
            <w:noWrap/>
            <w:vAlign w:val="center"/>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2015</w:t>
            </w:r>
          </w:p>
        </w:tc>
        <w:tc>
          <w:tcPr>
            <w:tcW w:w="146" w:type="dxa"/>
            <w:shd w:val="clear" w:color="auto" w:fill="auto"/>
            <w:noWrap/>
            <w:vAlign w:val="center"/>
            <w:hideMark/>
          </w:tcPr>
          <w:p w:rsidR="00BC2ADE" w:rsidRPr="00BC2ADE" w:rsidRDefault="00BC2ADE" w:rsidP="008F5A9C">
            <w:pPr>
              <w:jc w:val="center"/>
              <w:rPr>
                <w:rFonts w:asciiTheme="minorHAnsi" w:hAnsiTheme="minorHAnsi" w:cs="Arial"/>
                <w:b/>
                <w:bCs/>
                <w:color w:val="000000"/>
                <w:sz w:val="20"/>
                <w:szCs w:val="20"/>
              </w:rPr>
            </w:pPr>
          </w:p>
        </w:tc>
        <w:tc>
          <w:tcPr>
            <w:tcW w:w="1838" w:type="dxa"/>
            <w:shd w:val="clear" w:color="auto" w:fill="auto"/>
            <w:noWrap/>
            <w:vAlign w:val="center"/>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2014</w:t>
            </w:r>
          </w:p>
        </w:tc>
      </w:tr>
      <w:tr w:rsidR="00BC2ADE" w:rsidRPr="00BC2ADE" w:rsidTr="008F5A9C">
        <w:trPr>
          <w:trHeight w:val="272"/>
          <w:jc w:val="center"/>
        </w:trPr>
        <w:tc>
          <w:tcPr>
            <w:tcW w:w="5282"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Terrenos</w:t>
            </w:r>
          </w:p>
        </w:tc>
        <w:tc>
          <w:tcPr>
            <w:tcW w:w="1965"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         1,415,061,282 </w:t>
            </w:r>
          </w:p>
        </w:tc>
        <w:tc>
          <w:tcPr>
            <w:tcW w:w="146"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838"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               404,075,164 </w:t>
            </w:r>
          </w:p>
        </w:tc>
      </w:tr>
      <w:tr w:rsidR="00BC2ADE" w:rsidRPr="00BC2ADE" w:rsidTr="008F5A9C">
        <w:trPr>
          <w:trHeight w:val="294"/>
          <w:jc w:val="center"/>
        </w:trPr>
        <w:tc>
          <w:tcPr>
            <w:tcW w:w="5282"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Edificios no residenciales</w:t>
            </w:r>
          </w:p>
        </w:tc>
        <w:tc>
          <w:tcPr>
            <w:tcW w:w="1965"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408,886,128 </w:t>
            </w:r>
          </w:p>
        </w:tc>
        <w:tc>
          <w:tcPr>
            <w:tcW w:w="146"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838"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1,303,239,542</w:t>
            </w:r>
          </w:p>
        </w:tc>
      </w:tr>
      <w:tr w:rsidR="00BC2ADE" w:rsidRPr="00BC2ADE" w:rsidTr="008F5A9C">
        <w:trPr>
          <w:trHeight w:val="315"/>
          <w:jc w:val="center"/>
        </w:trPr>
        <w:tc>
          <w:tcPr>
            <w:tcW w:w="5282"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Edificación habitacional en proceso</w:t>
            </w:r>
          </w:p>
        </w:tc>
        <w:tc>
          <w:tcPr>
            <w:tcW w:w="1965"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4,646,337 </w:t>
            </w:r>
          </w:p>
        </w:tc>
        <w:tc>
          <w:tcPr>
            <w:tcW w:w="146"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838"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2,222,200 </w:t>
            </w:r>
          </w:p>
        </w:tc>
      </w:tr>
      <w:tr w:rsidR="00BC2ADE" w:rsidRPr="00BC2ADE" w:rsidTr="008F5A9C">
        <w:trPr>
          <w:trHeight w:val="189"/>
          <w:jc w:val="center"/>
        </w:trPr>
        <w:tc>
          <w:tcPr>
            <w:tcW w:w="5282"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Edificación no habitacional en proceso</w:t>
            </w:r>
          </w:p>
        </w:tc>
        <w:tc>
          <w:tcPr>
            <w:tcW w:w="1965"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188,460,895 </w:t>
            </w:r>
          </w:p>
        </w:tc>
        <w:tc>
          <w:tcPr>
            <w:tcW w:w="146"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838"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561,035,119 </w:t>
            </w:r>
          </w:p>
        </w:tc>
      </w:tr>
      <w:tr w:rsidR="00BC2ADE" w:rsidRPr="00BC2ADE" w:rsidTr="008F5A9C">
        <w:trPr>
          <w:trHeight w:val="189"/>
          <w:jc w:val="center"/>
        </w:trPr>
        <w:tc>
          <w:tcPr>
            <w:tcW w:w="5282"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Construcción de obras para el abastecimiento de agua, petróleo, gas, electricidad y telecomunicación</w:t>
            </w:r>
          </w:p>
        </w:tc>
        <w:tc>
          <w:tcPr>
            <w:tcW w:w="1965"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         1,507,711,255 </w:t>
            </w:r>
          </w:p>
        </w:tc>
        <w:tc>
          <w:tcPr>
            <w:tcW w:w="146"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838"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           1,959,822,575 </w:t>
            </w:r>
          </w:p>
        </w:tc>
      </w:tr>
      <w:tr w:rsidR="00BC2ADE" w:rsidRPr="00BC2ADE" w:rsidTr="008F5A9C">
        <w:trPr>
          <w:trHeight w:val="550"/>
          <w:jc w:val="center"/>
        </w:trPr>
        <w:tc>
          <w:tcPr>
            <w:tcW w:w="5282"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División de terrenos y construcción de obras de urbanización en proceso</w:t>
            </w:r>
          </w:p>
        </w:tc>
        <w:tc>
          <w:tcPr>
            <w:tcW w:w="1965"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1,472,632,373 </w:t>
            </w:r>
          </w:p>
        </w:tc>
        <w:tc>
          <w:tcPr>
            <w:tcW w:w="146"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838"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1,726,765,722 </w:t>
            </w:r>
          </w:p>
        </w:tc>
      </w:tr>
      <w:tr w:rsidR="00BC2ADE" w:rsidRPr="00BC2ADE" w:rsidTr="008F5A9C">
        <w:trPr>
          <w:trHeight w:val="275"/>
          <w:jc w:val="center"/>
        </w:trPr>
        <w:tc>
          <w:tcPr>
            <w:tcW w:w="5282"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Construcción de vías de comunicación en proceso</w:t>
            </w:r>
          </w:p>
        </w:tc>
        <w:tc>
          <w:tcPr>
            <w:tcW w:w="1965"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1,615,565,546 </w:t>
            </w:r>
          </w:p>
        </w:tc>
        <w:tc>
          <w:tcPr>
            <w:tcW w:w="146"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838"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2,509,859,785 </w:t>
            </w:r>
          </w:p>
        </w:tc>
      </w:tr>
      <w:tr w:rsidR="00BC2ADE" w:rsidRPr="00BC2ADE" w:rsidTr="008F5A9C">
        <w:trPr>
          <w:trHeight w:val="189"/>
          <w:jc w:val="center"/>
        </w:trPr>
        <w:tc>
          <w:tcPr>
            <w:tcW w:w="5282"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Otras construcciones de ingeniería civil u obra pesada en proceso</w:t>
            </w:r>
          </w:p>
        </w:tc>
        <w:tc>
          <w:tcPr>
            <w:tcW w:w="1965"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         2,230,047,943 </w:t>
            </w:r>
          </w:p>
        </w:tc>
        <w:tc>
          <w:tcPr>
            <w:tcW w:w="146"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838"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           1,716,208,213 </w:t>
            </w:r>
          </w:p>
        </w:tc>
      </w:tr>
      <w:tr w:rsidR="00BC2ADE" w:rsidRPr="00BC2ADE" w:rsidTr="008F5A9C">
        <w:trPr>
          <w:trHeight w:val="189"/>
          <w:jc w:val="center"/>
        </w:trPr>
        <w:tc>
          <w:tcPr>
            <w:tcW w:w="5282"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Instalaciones y equipamiento en construcciones en proceso</w:t>
            </w:r>
          </w:p>
        </w:tc>
        <w:tc>
          <w:tcPr>
            <w:tcW w:w="1965"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             303,678,666 </w:t>
            </w:r>
          </w:p>
        </w:tc>
        <w:tc>
          <w:tcPr>
            <w:tcW w:w="146"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838"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               207,824,461 </w:t>
            </w:r>
          </w:p>
        </w:tc>
      </w:tr>
      <w:tr w:rsidR="00BC2ADE" w:rsidRPr="00BC2ADE" w:rsidTr="008F5A9C">
        <w:trPr>
          <w:trHeight w:val="189"/>
          <w:jc w:val="center"/>
        </w:trPr>
        <w:tc>
          <w:tcPr>
            <w:tcW w:w="5282"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Trabajos de acabados en edificaciones y otros trabajos especializados en proceso</w:t>
            </w:r>
          </w:p>
        </w:tc>
        <w:tc>
          <w:tcPr>
            <w:tcW w:w="1965"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                 4,591,632 </w:t>
            </w:r>
          </w:p>
        </w:tc>
        <w:tc>
          <w:tcPr>
            <w:tcW w:w="146"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838"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                 13,317,337 </w:t>
            </w:r>
          </w:p>
        </w:tc>
      </w:tr>
      <w:tr w:rsidR="00BC2ADE" w:rsidRPr="00BC2ADE" w:rsidTr="008F5A9C">
        <w:trPr>
          <w:trHeight w:val="249"/>
          <w:jc w:val="center"/>
        </w:trPr>
        <w:tc>
          <w:tcPr>
            <w:tcW w:w="5282"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Otros bienes inmuebles</w:t>
            </w:r>
          </w:p>
        </w:tc>
        <w:tc>
          <w:tcPr>
            <w:tcW w:w="1965"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800,000 </w:t>
            </w:r>
          </w:p>
        </w:tc>
        <w:tc>
          <w:tcPr>
            <w:tcW w:w="146"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838"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404,075,164 </w:t>
            </w:r>
          </w:p>
        </w:tc>
      </w:tr>
      <w:tr w:rsidR="00BC2ADE" w:rsidRPr="00BC2ADE" w:rsidTr="008F5A9C">
        <w:trPr>
          <w:trHeight w:val="198"/>
          <w:jc w:val="center"/>
        </w:trPr>
        <w:tc>
          <w:tcPr>
            <w:tcW w:w="5282" w:type="dxa"/>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p>
        </w:tc>
        <w:tc>
          <w:tcPr>
            <w:tcW w:w="1965" w:type="dxa"/>
            <w:tcBorders>
              <w:bottom w:val="single" w:sz="4" w:space="0" w:color="auto"/>
            </w:tcBorders>
            <w:shd w:val="clear" w:color="auto" w:fill="auto"/>
            <w:noWrap/>
            <w:vAlign w:val="bottom"/>
            <w:hideMark/>
          </w:tcPr>
          <w:p w:rsidR="00BC2ADE" w:rsidRPr="00BC2ADE" w:rsidRDefault="00BC2ADE" w:rsidP="008F5A9C">
            <w:pPr>
              <w:jc w:val="right"/>
              <w:rPr>
                <w:rFonts w:asciiTheme="minorHAnsi" w:hAnsiTheme="minorHAnsi" w:cs="Arial"/>
                <w:b/>
                <w:bCs/>
                <w:color w:val="000000"/>
                <w:sz w:val="20"/>
                <w:szCs w:val="20"/>
              </w:rPr>
            </w:pPr>
          </w:p>
        </w:tc>
        <w:tc>
          <w:tcPr>
            <w:tcW w:w="146" w:type="dxa"/>
            <w:shd w:val="clear" w:color="auto" w:fill="auto"/>
            <w:noWrap/>
            <w:vAlign w:val="bottom"/>
            <w:hideMark/>
          </w:tcPr>
          <w:p w:rsidR="00BC2ADE" w:rsidRPr="00BC2ADE" w:rsidRDefault="00BC2ADE" w:rsidP="008F5A9C">
            <w:pPr>
              <w:jc w:val="right"/>
              <w:rPr>
                <w:rFonts w:asciiTheme="minorHAnsi" w:hAnsiTheme="minorHAnsi" w:cs="Arial"/>
                <w:b/>
                <w:bCs/>
                <w:color w:val="000000"/>
                <w:sz w:val="20"/>
                <w:szCs w:val="20"/>
              </w:rPr>
            </w:pPr>
          </w:p>
        </w:tc>
        <w:tc>
          <w:tcPr>
            <w:tcW w:w="1838" w:type="dxa"/>
            <w:tcBorders>
              <w:bottom w:val="single" w:sz="4" w:space="0" w:color="auto"/>
            </w:tcBorders>
            <w:shd w:val="clear" w:color="auto" w:fill="auto"/>
            <w:noWrap/>
            <w:vAlign w:val="bottom"/>
            <w:hideMark/>
          </w:tcPr>
          <w:p w:rsidR="00BC2ADE" w:rsidRPr="00BC2ADE" w:rsidRDefault="00BC2ADE" w:rsidP="008F5A9C">
            <w:pPr>
              <w:jc w:val="right"/>
              <w:rPr>
                <w:rFonts w:asciiTheme="minorHAnsi" w:hAnsiTheme="minorHAnsi" w:cs="Arial"/>
                <w:b/>
                <w:bCs/>
                <w:color w:val="000000"/>
                <w:sz w:val="20"/>
                <w:szCs w:val="20"/>
              </w:rPr>
            </w:pPr>
          </w:p>
        </w:tc>
      </w:tr>
      <w:tr w:rsidR="00BC2ADE" w:rsidRPr="00BC2ADE" w:rsidTr="008F5A9C">
        <w:trPr>
          <w:trHeight w:val="198"/>
          <w:jc w:val="center"/>
        </w:trPr>
        <w:tc>
          <w:tcPr>
            <w:tcW w:w="5282" w:type="dxa"/>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SUMAS</w:t>
            </w:r>
          </w:p>
        </w:tc>
        <w:tc>
          <w:tcPr>
            <w:tcW w:w="1965" w:type="dxa"/>
            <w:tcBorders>
              <w:top w:val="single" w:sz="4" w:space="0" w:color="auto"/>
              <w:bottom w:val="double" w:sz="4" w:space="0" w:color="auto"/>
            </w:tcBorders>
            <w:shd w:val="clear" w:color="auto" w:fill="auto"/>
            <w:noWrap/>
            <w:vAlign w:val="bottom"/>
            <w:hideMark/>
          </w:tcPr>
          <w:p w:rsidR="00BC2ADE" w:rsidRPr="00BC2ADE" w:rsidRDefault="00BC2ADE" w:rsidP="008F5A9C">
            <w:pPr>
              <w:jc w:val="right"/>
              <w:rPr>
                <w:rFonts w:asciiTheme="minorHAnsi" w:hAnsiTheme="minorHAnsi" w:cs="Arial"/>
                <w:b/>
                <w:bCs/>
                <w:color w:val="000000"/>
                <w:sz w:val="20"/>
                <w:szCs w:val="20"/>
              </w:rPr>
            </w:pPr>
            <w:r w:rsidRPr="00BC2ADE">
              <w:rPr>
                <w:rFonts w:asciiTheme="minorHAnsi" w:hAnsiTheme="minorHAnsi" w:cs="Arial"/>
                <w:b/>
                <w:bCs/>
                <w:color w:val="000000"/>
                <w:sz w:val="20"/>
                <w:szCs w:val="20"/>
              </w:rPr>
              <w:t>9,152,081,750</w:t>
            </w:r>
            <w:r w:rsidR="00A22CBC" w:rsidRPr="00BC2ADE">
              <w:rPr>
                <w:rFonts w:asciiTheme="minorHAnsi" w:hAnsiTheme="minorHAnsi" w:cs="Arial"/>
                <w:b/>
                <w:bCs/>
                <w:color w:val="000000"/>
                <w:sz w:val="20"/>
                <w:szCs w:val="20"/>
              </w:rPr>
              <w:fldChar w:fldCharType="begin"/>
            </w:r>
            <w:r w:rsidRPr="00BC2ADE">
              <w:rPr>
                <w:rFonts w:asciiTheme="minorHAnsi" w:hAnsiTheme="minorHAnsi" w:cs="Arial"/>
                <w:b/>
                <w:bCs/>
                <w:color w:val="000000"/>
                <w:sz w:val="20"/>
                <w:szCs w:val="20"/>
              </w:rPr>
              <w:instrText xml:space="preserve"> =SUM(ABOVE) </w:instrText>
            </w:r>
            <w:r w:rsidR="00A22CBC" w:rsidRPr="00BC2ADE">
              <w:rPr>
                <w:rFonts w:asciiTheme="minorHAnsi" w:hAnsiTheme="minorHAnsi" w:cs="Arial"/>
                <w:b/>
                <w:bCs/>
                <w:color w:val="000000"/>
                <w:sz w:val="20"/>
                <w:szCs w:val="20"/>
              </w:rPr>
              <w:fldChar w:fldCharType="end"/>
            </w:r>
          </w:p>
        </w:tc>
        <w:tc>
          <w:tcPr>
            <w:tcW w:w="146" w:type="dxa"/>
            <w:shd w:val="clear" w:color="auto" w:fill="auto"/>
            <w:noWrap/>
            <w:vAlign w:val="bottom"/>
            <w:hideMark/>
          </w:tcPr>
          <w:p w:rsidR="00BC2ADE" w:rsidRPr="00BC2ADE" w:rsidRDefault="00BC2ADE" w:rsidP="008F5A9C">
            <w:pPr>
              <w:jc w:val="right"/>
              <w:rPr>
                <w:rFonts w:asciiTheme="minorHAnsi" w:hAnsiTheme="minorHAnsi" w:cs="Arial"/>
                <w:b/>
                <w:bCs/>
                <w:color w:val="000000"/>
                <w:sz w:val="20"/>
                <w:szCs w:val="20"/>
              </w:rPr>
            </w:pPr>
          </w:p>
        </w:tc>
        <w:tc>
          <w:tcPr>
            <w:tcW w:w="1838" w:type="dxa"/>
            <w:tcBorders>
              <w:top w:val="single" w:sz="4" w:space="0" w:color="auto"/>
              <w:bottom w:val="double" w:sz="4" w:space="0" w:color="auto"/>
            </w:tcBorders>
            <w:shd w:val="clear" w:color="auto" w:fill="auto"/>
            <w:noWrap/>
            <w:vAlign w:val="bottom"/>
            <w:hideMark/>
          </w:tcPr>
          <w:p w:rsidR="00BC2ADE" w:rsidRPr="00BC2ADE" w:rsidRDefault="00BC2ADE" w:rsidP="008F5A9C">
            <w:pPr>
              <w:jc w:val="right"/>
              <w:rPr>
                <w:rFonts w:asciiTheme="minorHAnsi" w:hAnsiTheme="minorHAnsi" w:cs="Arial"/>
                <w:b/>
                <w:bCs/>
                <w:color w:val="000000"/>
                <w:sz w:val="20"/>
                <w:szCs w:val="20"/>
              </w:rPr>
            </w:pPr>
            <w:r w:rsidRPr="00BC2ADE">
              <w:rPr>
                <w:rFonts w:asciiTheme="minorHAnsi" w:hAnsiTheme="minorHAnsi" w:cs="Arial"/>
                <w:b/>
                <w:bCs/>
                <w:color w:val="000000"/>
                <w:sz w:val="20"/>
                <w:szCs w:val="20"/>
              </w:rPr>
              <w:t>10,404,370,118</w:t>
            </w:r>
          </w:p>
        </w:tc>
      </w:tr>
    </w:tbl>
    <w:p w:rsidR="00BC2ADE" w:rsidRDefault="00BC2ADE" w:rsidP="00BC2ADE">
      <w:pPr>
        <w:pStyle w:val="Sinespaciado"/>
        <w:spacing w:line="360" w:lineRule="auto"/>
        <w:jc w:val="both"/>
        <w:rPr>
          <w:rFonts w:ascii="Arial" w:hAnsi="Arial" w:cs="Arial"/>
          <w:sz w:val="24"/>
          <w:szCs w:val="24"/>
        </w:rPr>
      </w:pPr>
    </w:p>
    <w:p w:rsidR="00BC2ADE" w:rsidRDefault="00BC2ADE" w:rsidP="00BC2ADE">
      <w:pPr>
        <w:pStyle w:val="Sinespaciado"/>
        <w:spacing w:line="360" w:lineRule="auto"/>
        <w:jc w:val="both"/>
        <w:rPr>
          <w:rFonts w:ascii="Arial" w:hAnsi="Arial" w:cs="Arial"/>
          <w:sz w:val="24"/>
          <w:szCs w:val="24"/>
        </w:rPr>
      </w:pPr>
      <w:r>
        <w:rPr>
          <w:rFonts w:ascii="Arial" w:hAnsi="Arial" w:cs="Arial"/>
          <w:sz w:val="24"/>
          <w:szCs w:val="24"/>
        </w:rPr>
        <w:t>La disminución de los saldos de los inmuebles, es originada por la revaluación de estos, producto de la conciliación entre los registros contables y los bienes físicos, los inmuebles se encontraban valuados incorrectamente  (valor comercial) y algunos bienes otorgados en comodato se tenían registrados como propiedad del gobierno del estado.</w:t>
      </w:r>
    </w:p>
    <w:p w:rsidR="00BC2ADE" w:rsidRDefault="00BC2ADE" w:rsidP="00BC2ADE">
      <w:pPr>
        <w:pStyle w:val="Sinespaciado"/>
        <w:spacing w:line="360" w:lineRule="auto"/>
        <w:jc w:val="both"/>
        <w:rPr>
          <w:rFonts w:ascii="Arial" w:hAnsi="Arial" w:cs="Arial"/>
          <w:sz w:val="24"/>
          <w:szCs w:val="24"/>
        </w:rPr>
      </w:pPr>
    </w:p>
    <w:p w:rsidR="00BC2ADE" w:rsidRDefault="00BC2ADE" w:rsidP="00BC2ADE">
      <w:pPr>
        <w:pStyle w:val="Sinespaciado"/>
        <w:spacing w:line="360" w:lineRule="auto"/>
        <w:jc w:val="both"/>
        <w:rPr>
          <w:rFonts w:ascii="Arial" w:hAnsi="Arial" w:cs="Arial"/>
          <w:sz w:val="24"/>
          <w:szCs w:val="24"/>
        </w:rPr>
      </w:pPr>
      <w:r>
        <w:rPr>
          <w:rFonts w:ascii="Arial" w:hAnsi="Arial" w:cs="Arial"/>
          <w:sz w:val="24"/>
          <w:szCs w:val="24"/>
        </w:rPr>
        <w:t>Actualmente los bienes se encuentran valuados a su valor catastral y en apego a las disposiciones establecidas por el CONAC.</w:t>
      </w:r>
    </w:p>
    <w:p w:rsidR="00BC2ADE" w:rsidRDefault="00BC2ADE" w:rsidP="00BC2ADE">
      <w:pPr>
        <w:pStyle w:val="Sinespaciado"/>
        <w:spacing w:line="360" w:lineRule="auto"/>
        <w:jc w:val="both"/>
        <w:rPr>
          <w:rFonts w:ascii="Arial" w:hAnsi="Arial" w:cs="Arial"/>
          <w:sz w:val="24"/>
          <w:szCs w:val="24"/>
        </w:rPr>
      </w:pPr>
    </w:p>
    <w:p w:rsidR="00BC2ADE" w:rsidRDefault="00BC2ADE">
      <w:pPr>
        <w:rPr>
          <w:rFonts w:ascii="Arial" w:hAnsi="Arial" w:cs="Arial"/>
          <w:b/>
        </w:rPr>
      </w:pPr>
      <w:r>
        <w:rPr>
          <w:rFonts w:ascii="Arial" w:hAnsi="Arial" w:cs="Arial"/>
          <w:b/>
        </w:rPr>
        <w:br w:type="page"/>
      </w:r>
    </w:p>
    <w:p w:rsidR="00BC2ADE" w:rsidRPr="005152FF" w:rsidRDefault="00BC2ADE" w:rsidP="00BC2ADE">
      <w:pPr>
        <w:pStyle w:val="Sinespaciado"/>
        <w:spacing w:line="360" w:lineRule="auto"/>
        <w:jc w:val="both"/>
        <w:rPr>
          <w:rFonts w:ascii="Arial" w:hAnsi="Arial" w:cs="Arial"/>
          <w:b/>
          <w:sz w:val="24"/>
          <w:szCs w:val="24"/>
        </w:rPr>
      </w:pPr>
      <w:r w:rsidRPr="005152FF">
        <w:rPr>
          <w:rFonts w:ascii="Arial" w:hAnsi="Arial" w:cs="Arial"/>
          <w:b/>
          <w:sz w:val="24"/>
          <w:szCs w:val="24"/>
        </w:rPr>
        <w:lastRenderedPageBreak/>
        <w:t>Nota</w:t>
      </w:r>
      <w:r>
        <w:rPr>
          <w:rFonts w:ascii="Arial" w:hAnsi="Arial" w:cs="Arial"/>
          <w:b/>
          <w:sz w:val="24"/>
          <w:szCs w:val="24"/>
        </w:rPr>
        <w:t>.</w:t>
      </w:r>
      <w:r w:rsidRPr="005152FF">
        <w:rPr>
          <w:rFonts w:ascii="Arial" w:hAnsi="Arial" w:cs="Arial"/>
          <w:b/>
          <w:sz w:val="24"/>
          <w:szCs w:val="24"/>
        </w:rPr>
        <w:t xml:space="preserve"> - Bienes Muebles</w:t>
      </w:r>
    </w:p>
    <w:p w:rsidR="00BC2ADE" w:rsidRPr="005152FF" w:rsidRDefault="00BC2ADE" w:rsidP="00BC2ADE">
      <w:pPr>
        <w:pStyle w:val="Sinespaciado"/>
        <w:spacing w:line="360" w:lineRule="auto"/>
        <w:jc w:val="both"/>
        <w:rPr>
          <w:rFonts w:ascii="Arial" w:hAnsi="Arial" w:cs="Arial"/>
          <w:sz w:val="24"/>
          <w:szCs w:val="24"/>
        </w:rPr>
      </w:pPr>
    </w:p>
    <w:p w:rsidR="00BC2ADE" w:rsidRPr="005152FF" w:rsidRDefault="00BC2ADE" w:rsidP="00BC2ADE">
      <w:pPr>
        <w:pStyle w:val="Sinespaciado"/>
        <w:spacing w:line="360" w:lineRule="auto"/>
        <w:jc w:val="both"/>
        <w:rPr>
          <w:rFonts w:ascii="Arial" w:hAnsi="Arial" w:cs="Arial"/>
          <w:sz w:val="24"/>
          <w:szCs w:val="24"/>
        </w:rPr>
      </w:pPr>
      <w:r w:rsidRPr="005152FF">
        <w:rPr>
          <w:rFonts w:ascii="Arial" w:hAnsi="Arial" w:cs="Arial"/>
          <w:sz w:val="24"/>
          <w:szCs w:val="24"/>
        </w:rPr>
        <w:t>Representa el monto de los bienes muebles requeridos en el desempeño de las actividades propias del Estado. Su valuación es en base al costo histórico, los saldos de estas cuentas al 3</w:t>
      </w:r>
      <w:r>
        <w:rPr>
          <w:rFonts w:ascii="Arial" w:hAnsi="Arial" w:cs="Arial"/>
          <w:sz w:val="24"/>
          <w:szCs w:val="24"/>
        </w:rPr>
        <w:t>0</w:t>
      </w:r>
      <w:r w:rsidRPr="005152FF">
        <w:rPr>
          <w:rFonts w:ascii="Arial" w:hAnsi="Arial" w:cs="Arial"/>
          <w:sz w:val="24"/>
          <w:szCs w:val="24"/>
        </w:rPr>
        <w:t xml:space="preserve"> de </w:t>
      </w:r>
      <w:r>
        <w:rPr>
          <w:rFonts w:ascii="Arial" w:hAnsi="Arial" w:cs="Arial"/>
          <w:sz w:val="24"/>
          <w:szCs w:val="24"/>
        </w:rPr>
        <w:t>Junio</w:t>
      </w:r>
      <w:r w:rsidRPr="005152FF">
        <w:rPr>
          <w:rFonts w:ascii="Arial" w:hAnsi="Arial" w:cs="Arial"/>
          <w:sz w:val="24"/>
          <w:szCs w:val="24"/>
        </w:rPr>
        <w:t xml:space="preserve"> del 201</w:t>
      </w:r>
      <w:r>
        <w:rPr>
          <w:rFonts w:ascii="Arial" w:hAnsi="Arial" w:cs="Arial"/>
          <w:sz w:val="24"/>
          <w:szCs w:val="24"/>
        </w:rPr>
        <w:t>5</w:t>
      </w:r>
      <w:r w:rsidRPr="005152FF">
        <w:rPr>
          <w:rFonts w:ascii="Arial" w:hAnsi="Arial" w:cs="Arial"/>
          <w:sz w:val="24"/>
          <w:szCs w:val="24"/>
        </w:rPr>
        <w:t xml:space="preserve"> y 201</w:t>
      </w:r>
      <w:r>
        <w:rPr>
          <w:rFonts w:ascii="Arial" w:hAnsi="Arial" w:cs="Arial"/>
          <w:sz w:val="24"/>
          <w:szCs w:val="24"/>
        </w:rPr>
        <w:t>4</w:t>
      </w:r>
      <w:r w:rsidRPr="005152FF">
        <w:rPr>
          <w:rFonts w:ascii="Arial" w:hAnsi="Arial" w:cs="Arial"/>
          <w:sz w:val="24"/>
          <w:szCs w:val="24"/>
        </w:rPr>
        <w:t xml:space="preserve"> se integran de la siguiente forma:</w:t>
      </w:r>
    </w:p>
    <w:p w:rsidR="00BC2ADE" w:rsidRPr="005152FF" w:rsidRDefault="00BC2ADE" w:rsidP="00BC2ADE">
      <w:pPr>
        <w:pStyle w:val="Sinespaciado"/>
        <w:spacing w:line="360" w:lineRule="auto"/>
        <w:jc w:val="both"/>
        <w:rPr>
          <w:rFonts w:ascii="Arial" w:hAnsi="Arial" w:cs="Arial"/>
          <w:sz w:val="24"/>
          <w:szCs w:val="24"/>
        </w:rPr>
      </w:pPr>
    </w:p>
    <w:tbl>
      <w:tblPr>
        <w:tblW w:w="8951" w:type="dxa"/>
        <w:jc w:val="center"/>
        <w:tblCellMar>
          <w:left w:w="70" w:type="dxa"/>
          <w:right w:w="70" w:type="dxa"/>
        </w:tblCellMar>
        <w:tblLook w:val="04A0"/>
      </w:tblPr>
      <w:tblGrid>
        <w:gridCol w:w="5476"/>
        <w:gridCol w:w="1547"/>
        <w:gridCol w:w="157"/>
        <w:gridCol w:w="1771"/>
      </w:tblGrid>
      <w:tr w:rsidR="00BC2ADE" w:rsidRPr="00BC2ADE" w:rsidTr="008F5A9C">
        <w:trPr>
          <w:trHeight w:val="204"/>
          <w:tblHeader/>
          <w:jc w:val="center"/>
        </w:trPr>
        <w:tc>
          <w:tcPr>
            <w:tcW w:w="5476" w:type="dxa"/>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CONCEPTO</w:t>
            </w:r>
          </w:p>
        </w:tc>
        <w:tc>
          <w:tcPr>
            <w:tcW w:w="1547" w:type="dxa"/>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2015</w:t>
            </w:r>
          </w:p>
        </w:tc>
        <w:tc>
          <w:tcPr>
            <w:tcW w:w="157" w:type="dxa"/>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p>
        </w:tc>
        <w:tc>
          <w:tcPr>
            <w:tcW w:w="1771" w:type="dxa"/>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2014</w:t>
            </w:r>
          </w:p>
        </w:tc>
      </w:tr>
      <w:tr w:rsidR="00BC2ADE" w:rsidRPr="00BC2ADE" w:rsidTr="008F5A9C">
        <w:trPr>
          <w:trHeight w:val="204"/>
          <w:jc w:val="center"/>
        </w:trPr>
        <w:tc>
          <w:tcPr>
            <w:tcW w:w="5476"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Muebles de oficina y estantería</w:t>
            </w: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113,259,067 </w:t>
            </w:r>
          </w:p>
        </w:tc>
        <w:tc>
          <w:tcPr>
            <w:tcW w:w="15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771"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87,229,240 </w:t>
            </w:r>
          </w:p>
        </w:tc>
      </w:tr>
      <w:tr w:rsidR="00BC2ADE" w:rsidRPr="00BC2ADE" w:rsidTr="008F5A9C">
        <w:trPr>
          <w:trHeight w:val="204"/>
          <w:jc w:val="center"/>
        </w:trPr>
        <w:tc>
          <w:tcPr>
            <w:tcW w:w="5476"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Muebles, excepto de oficina y estantería</w:t>
            </w: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3,290,253 </w:t>
            </w:r>
          </w:p>
        </w:tc>
        <w:tc>
          <w:tcPr>
            <w:tcW w:w="15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771"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1,975,444 </w:t>
            </w:r>
          </w:p>
        </w:tc>
      </w:tr>
      <w:tr w:rsidR="00BC2ADE" w:rsidRPr="00BC2ADE" w:rsidTr="008F5A9C">
        <w:trPr>
          <w:trHeight w:val="204"/>
          <w:jc w:val="center"/>
        </w:trPr>
        <w:tc>
          <w:tcPr>
            <w:tcW w:w="5476"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Equipo de cómputo y de tecnologías de la información</w:t>
            </w: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285,326,411 </w:t>
            </w:r>
          </w:p>
        </w:tc>
        <w:tc>
          <w:tcPr>
            <w:tcW w:w="15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771"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177,361,897 </w:t>
            </w:r>
          </w:p>
        </w:tc>
      </w:tr>
      <w:tr w:rsidR="00BC2ADE" w:rsidRPr="00BC2ADE" w:rsidTr="008F5A9C">
        <w:trPr>
          <w:trHeight w:val="204"/>
          <w:jc w:val="center"/>
        </w:trPr>
        <w:tc>
          <w:tcPr>
            <w:tcW w:w="5476"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Otros mobiliarios y equipos de administración</w:t>
            </w: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10,436,876 </w:t>
            </w:r>
          </w:p>
        </w:tc>
        <w:tc>
          <w:tcPr>
            <w:tcW w:w="15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771"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622,748 </w:t>
            </w:r>
          </w:p>
        </w:tc>
      </w:tr>
      <w:tr w:rsidR="00BC2ADE" w:rsidRPr="00BC2ADE" w:rsidTr="008F5A9C">
        <w:trPr>
          <w:trHeight w:val="204"/>
          <w:jc w:val="center"/>
        </w:trPr>
        <w:tc>
          <w:tcPr>
            <w:tcW w:w="5476"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Equipos y aparatos audiovisuales</w:t>
            </w: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54,054,821 </w:t>
            </w:r>
          </w:p>
        </w:tc>
        <w:tc>
          <w:tcPr>
            <w:tcW w:w="15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771"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36,079,987 </w:t>
            </w:r>
          </w:p>
        </w:tc>
      </w:tr>
      <w:tr w:rsidR="00BC2ADE" w:rsidRPr="00BC2ADE" w:rsidTr="008F5A9C">
        <w:trPr>
          <w:trHeight w:val="204"/>
          <w:jc w:val="center"/>
        </w:trPr>
        <w:tc>
          <w:tcPr>
            <w:tcW w:w="5476"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Aparatos deportivos</w:t>
            </w: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11,403,159 </w:t>
            </w:r>
          </w:p>
        </w:tc>
        <w:tc>
          <w:tcPr>
            <w:tcW w:w="15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771"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r>
      <w:tr w:rsidR="00BC2ADE" w:rsidRPr="00BC2ADE" w:rsidTr="008F5A9C">
        <w:trPr>
          <w:trHeight w:val="204"/>
          <w:jc w:val="center"/>
        </w:trPr>
        <w:tc>
          <w:tcPr>
            <w:tcW w:w="5476"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Cámaras fotográficas y de video</w:t>
            </w: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15,261,042 </w:t>
            </w:r>
          </w:p>
        </w:tc>
        <w:tc>
          <w:tcPr>
            <w:tcW w:w="15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771"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3,195,024 </w:t>
            </w:r>
          </w:p>
        </w:tc>
      </w:tr>
      <w:tr w:rsidR="00BC2ADE" w:rsidRPr="00BC2ADE" w:rsidTr="008F5A9C">
        <w:trPr>
          <w:trHeight w:val="204"/>
          <w:jc w:val="center"/>
        </w:trPr>
        <w:tc>
          <w:tcPr>
            <w:tcW w:w="5476"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Otro mobiliario y equipo educacional y recreativo</w:t>
            </w: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4,823,432 </w:t>
            </w:r>
          </w:p>
        </w:tc>
        <w:tc>
          <w:tcPr>
            <w:tcW w:w="15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771"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83,462 </w:t>
            </w:r>
          </w:p>
        </w:tc>
      </w:tr>
      <w:tr w:rsidR="00BC2ADE" w:rsidRPr="00BC2ADE" w:rsidTr="008F5A9C">
        <w:trPr>
          <w:trHeight w:val="204"/>
          <w:jc w:val="center"/>
        </w:trPr>
        <w:tc>
          <w:tcPr>
            <w:tcW w:w="5476"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Equipo médico y de laboratorio</w:t>
            </w: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33,120,744 </w:t>
            </w:r>
          </w:p>
        </w:tc>
        <w:tc>
          <w:tcPr>
            <w:tcW w:w="15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771"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11,790,064 </w:t>
            </w:r>
          </w:p>
        </w:tc>
      </w:tr>
      <w:tr w:rsidR="00BC2ADE" w:rsidRPr="00BC2ADE" w:rsidTr="008F5A9C">
        <w:trPr>
          <w:trHeight w:val="204"/>
          <w:jc w:val="center"/>
        </w:trPr>
        <w:tc>
          <w:tcPr>
            <w:tcW w:w="5476"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Instrumental médico y de laboratorio</w:t>
            </w: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21,021,370 </w:t>
            </w:r>
          </w:p>
        </w:tc>
        <w:tc>
          <w:tcPr>
            <w:tcW w:w="15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771"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11,047,515 </w:t>
            </w:r>
          </w:p>
        </w:tc>
      </w:tr>
      <w:tr w:rsidR="00BC2ADE" w:rsidRPr="00BC2ADE" w:rsidTr="008F5A9C">
        <w:trPr>
          <w:trHeight w:val="204"/>
          <w:jc w:val="center"/>
        </w:trPr>
        <w:tc>
          <w:tcPr>
            <w:tcW w:w="5476"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Automóviles y camiones</w:t>
            </w: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941,997,362 </w:t>
            </w:r>
          </w:p>
        </w:tc>
        <w:tc>
          <w:tcPr>
            <w:tcW w:w="15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771"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263,380,214 </w:t>
            </w:r>
          </w:p>
        </w:tc>
      </w:tr>
      <w:tr w:rsidR="00BC2ADE" w:rsidRPr="00BC2ADE" w:rsidTr="008F5A9C">
        <w:trPr>
          <w:trHeight w:val="204"/>
          <w:jc w:val="center"/>
        </w:trPr>
        <w:tc>
          <w:tcPr>
            <w:tcW w:w="5476"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Equipo aeroespacial</w:t>
            </w: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205,636,748 </w:t>
            </w:r>
          </w:p>
        </w:tc>
        <w:tc>
          <w:tcPr>
            <w:tcW w:w="15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771"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148,995,068 </w:t>
            </w:r>
          </w:p>
        </w:tc>
      </w:tr>
      <w:tr w:rsidR="00BC2ADE" w:rsidRPr="00BC2ADE" w:rsidTr="008F5A9C">
        <w:trPr>
          <w:trHeight w:val="204"/>
          <w:jc w:val="center"/>
        </w:trPr>
        <w:tc>
          <w:tcPr>
            <w:tcW w:w="5476"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Embarcaciones</w:t>
            </w: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2,881,802 </w:t>
            </w:r>
          </w:p>
        </w:tc>
        <w:tc>
          <w:tcPr>
            <w:tcW w:w="15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771"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414,361 </w:t>
            </w:r>
          </w:p>
        </w:tc>
      </w:tr>
      <w:tr w:rsidR="00BC2ADE" w:rsidRPr="00BC2ADE" w:rsidTr="008F5A9C">
        <w:trPr>
          <w:trHeight w:val="204"/>
          <w:jc w:val="center"/>
        </w:trPr>
        <w:tc>
          <w:tcPr>
            <w:tcW w:w="5476"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Otros equipos de transporte</w:t>
            </w: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878,624 </w:t>
            </w:r>
          </w:p>
        </w:tc>
        <w:tc>
          <w:tcPr>
            <w:tcW w:w="15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771"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506,784 </w:t>
            </w:r>
          </w:p>
        </w:tc>
      </w:tr>
      <w:tr w:rsidR="00BC2ADE" w:rsidRPr="00BC2ADE" w:rsidTr="008F5A9C">
        <w:trPr>
          <w:trHeight w:val="204"/>
          <w:jc w:val="center"/>
        </w:trPr>
        <w:tc>
          <w:tcPr>
            <w:tcW w:w="5476"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Equipo de defensa y seguridad</w:t>
            </w: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127,181,019 </w:t>
            </w:r>
          </w:p>
        </w:tc>
        <w:tc>
          <w:tcPr>
            <w:tcW w:w="15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771"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12,123,065 </w:t>
            </w:r>
          </w:p>
        </w:tc>
      </w:tr>
      <w:tr w:rsidR="00BC2ADE" w:rsidRPr="00BC2ADE" w:rsidTr="008F5A9C">
        <w:trPr>
          <w:trHeight w:val="204"/>
          <w:jc w:val="center"/>
        </w:trPr>
        <w:tc>
          <w:tcPr>
            <w:tcW w:w="5476"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Maquinaria y equipo agropecuario</w:t>
            </w: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 4,655,996 </w:t>
            </w:r>
          </w:p>
        </w:tc>
        <w:tc>
          <w:tcPr>
            <w:tcW w:w="15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771"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186,000 </w:t>
            </w:r>
          </w:p>
        </w:tc>
      </w:tr>
      <w:tr w:rsidR="00BC2ADE" w:rsidRPr="00BC2ADE" w:rsidTr="008F5A9C">
        <w:trPr>
          <w:trHeight w:val="204"/>
          <w:jc w:val="center"/>
        </w:trPr>
        <w:tc>
          <w:tcPr>
            <w:tcW w:w="5476"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Maquinaria y equipo industrial</w:t>
            </w: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12,249,540 </w:t>
            </w:r>
          </w:p>
        </w:tc>
        <w:tc>
          <w:tcPr>
            <w:tcW w:w="15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771"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r>
      <w:tr w:rsidR="00BC2ADE" w:rsidRPr="00BC2ADE" w:rsidTr="008F5A9C">
        <w:trPr>
          <w:trHeight w:val="204"/>
          <w:jc w:val="center"/>
        </w:trPr>
        <w:tc>
          <w:tcPr>
            <w:tcW w:w="5476"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Maquinaria y equipo de construcción</w:t>
            </w: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13,778,515 </w:t>
            </w:r>
          </w:p>
        </w:tc>
        <w:tc>
          <w:tcPr>
            <w:tcW w:w="15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771"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90,500</w:t>
            </w:r>
          </w:p>
        </w:tc>
      </w:tr>
      <w:tr w:rsidR="00BC2ADE" w:rsidRPr="00BC2ADE" w:rsidTr="008F5A9C">
        <w:trPr>
          <w:trHeight w:val="204"/>
          <w:jc w:val="center"/>
        </w:trPr>
        <w:tc>
          <w:tcPr>
            <w:tcW w:w="5476"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Sistemas de aire acondicionado, calefacción y de refrigeración industrial y comercial</w:t>
            </w: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3,854,408 </w:t>
            </w:r>
          </w:p>
        </w:tc>
        <w:tc>
          <w:tcPr>
            <w:tcW w:w="15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771"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1,262,788 </w:t>
            </w:r>
          </w:p>
        </w:tc>
      </w:tr>
      <w:tr w:rsidR="00BC2ADE" w:rsidRPr="00BC2ADE" w:rsidTr="008F5A9C">
        <w:trPr>
          <w:trHeight w:val="204"/>
          <w:jc w:val="center"/>
        </w:trPr>
        <w:tc>
          <w:tcPr>
            <w:tcW w:w="5476"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Equipo de comunicación y telecomunicación</w:t>
            </w: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175,822,765 </w:t>
            </w:r>
          </w:p>
        </w:tc>
        <w:tc>
          <w:tcPr>
            <w:tcW w:w="15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771"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37,001,106 </w:t>
            </w:r>
          </w:p>
        </w:tc>
      </w:tr>
      <w:tr w:rsidR="00BC2ADE" w:rsidRPr="00BC2ADE" w:rsidTr="008F5A9C">
        <w:trPr>
          <w:trHeight w:val="204"/>
          <w:jc w:val="center"/>
        </w:trPr>
        <w:tc>
          <w:tcPr>
            <w:tcW w:w="5476"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Equipos de generación eléctrica, aparatos y accesorios eléctricos</w:t>
            </w: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11,436,077 </w:t>
            </w:r>
          </w:p>
        </w:tc>
        <w:tc>
          <w:tcPr>
            <w:tcW w:w="15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771"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202,580 </w:t>
            </w:r>
          </w:p>
        </w:tc>
      </w:tr>
      <w:tr w:rsidR="00BC2ADE" w:rsidRPr="00BC2ADE" w:rsidTr="008F5A9C">
        <w:trPr>
          <w:trHeight w:val="204"/>
          <w:jc w:val="center"/>
        </w:trPr>
        <w:tc>
          <w:tcPr>
            <w:tcW w:w="5476"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Herramientas y máquinas-herramienta</w:t>
            </w: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12,640,818 </w:t>
            </w:r>
          </w:p>
        </w:tc>
        <w:tc>
          <w:tcPr>
            <w:tcW w:w="15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771"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80,690,473 </w:t>
            </w:r>
          </w:p>
        </w:tc>
      </w:tr>
      <w:tr w:rsidR="00BC2ADE" w:rsidRPr="00BC2ADE" w:rsidTr="008F5A9C">
        <w:trPr>
          <w:trHeight w:val="204"/>
          <w:jc w:val="center"/>
        </w:trPr>
        <w:tc>
          <w:tcPr>
            <w:tcW w:w="5476"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Otros equipos</w:t>
            </w: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32,649,807 </w:t>
            </w:r>
          </w:p>
        </w:tc>
        <w:tc>
          <w:tcPr>
            <w:tcW w:w="15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771"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2,680,535 </w:t>
            </w:r>
          </w:p>
        </w:tc>
      </w:tr>
      <w:tr w:rsidR="00BC2ADE" w:rsidRPr="00BC2ADE" w:rsidTr="008F5A9C">
        <w:trPr>
          <w:trHeight w:val="204"/>
          <w:jc w:val="center"/>
        </w:trPr>
        <w:tc>
          <w:tcPr>
            <w:tcW w:w="5476"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Bienes artísticos, culturales y científicos</w:t>
            </w: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10,925,240 </w:t>
            </w:r>
          </w:p>
        </w:tc>
        <w:tc>
          <w:tcPr>
            <w:tcW w:w="15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771"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4,375,224 </w:t>
            </w:r>
          </w:p>
        </w:tc>
      </w:tr>
      <w:tr w:rsidR="00BC2ADE" w:rsidRPr="00BC2ADE" w:rsidTr="008F5A9C">
        <w:trPr>
          <w:trHeight w:val="204"/>
          <w:jc w:val="center"/>
        </w:trPr>
        <w:tc>
          <w:tcPr>
            <w:tcW w:w="5476"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Objetos de valor</w:t>
            </w: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5,900 </w:t>
            </w:r>
          </w:p>
        </w:tc>
        <w:tc>
          <w:tcPr>
            <w:tcW w:w="15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771"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5,900 </w:t>
            </w:r>
          </w:p>
        </w:tc>
      </w:tr>
      <w:tr w:rsidR="00BC2ADE" w:rsidRPr="00BC2ADE" w:rsidTr="008F5A9C">
        <w:trPr>
          <w:trHeight w:val="204"/>
          <w:jc w:val="center"/>
        </w:trPr>
        <w:tc>
          <w:tcPr>
            <w:tcW w:w="5476"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Aves</w:t>
            </w: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65,174 </w:t>
            </w:r>
          </w:p>
        </w:tc>
        <w:tc>
          <w:tcPr>
            <w:tcW w:w="15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771"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r>
      <w:tr w:rsidR="00BC2ADE" w:rsidRPr="00BC2ADE" w:rsidTr="008F5A9C">
        <w:trPr>
          <w:trHeight w:val="204"/>
          <w:jc w:val="center"/>
        </w:trPr>
        <w:tc>
          <w:tcPr>
            <w:tcW w:w="5476"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Ovinos y caprinos</w:t>
            </w: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906,000 </w:t>
            </w:r>
          </w:p>
        </w:tc>
        <w:tc>
          <w:tcPr>
            <w:tcW w:w="15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771"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606,000 </w:t>
            </w:r>
          </w:p>
        </w:tc>
      </w:tr>
      <w:tr w:rsidR="00BC2ADE" w:rsidRPr="00BC2ADE" w:rsidTr="008F5A9C">
        <w:trPr>
          <w:trHeight w:val="204"/>
          <w:jc w:val="center"/>
        </w:trPr>
        <w:tc>
          <w:tcPr>
            <w:tcW w:w="5476"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Equinos</w:t>
            </w: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209,300 </w:t>
            </w:r>
          </w:p>
        </w:tc>
        <w:tc>
          <w:tcPr>
            <w:tcW w:w="15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771"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87,229,240 </w:t>
            </w:r>
          </w:p>
        </w:tc>
      </w:tr>
      <w:tr w:rsidR="00BC2ADE" w:rsidRPr="00BC2ADE" w:rsidTr="008F5A9C">
        <w:trPr>
          <w:trHeight w:val="204"/>
          <w:jc w:val="center"/>
        </w:trPr>
        <w:tc>
          <w:tcPr>
            <w:tcW w:w="5476"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Especies menores y de zoológico</w:t>
            </w: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480,000 </w:t>
            </w:r>
          </w:p>
        </w:tc>
        <w:tc>
          <w:tcPr>
            <w:tcW w:w="15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771"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1,975,444 </w:t>
            </w:r>
          </w:p>
        </w:tc>
      </w:tr>
      <w:tr w:rsidR="00BC2ADE" w:rsidRPr="00BC2ADE" w:rsidTr="008F5A9C">
        <w:trPr>
          <w:trHeight w:val="204"/>
          <w:jc w:val="center"/>
        </w:trPr>
        <w:tc>
          <w:tcPr>
            <w:tcW w:w="5476"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Árboles y plantas</w:t>
            </w: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40,000 </w:t>
            </w:r>
          </w:p>
        </w:tc>
        <w:tc>
          <w:tcPr>
            <w:tcW w:w="15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771"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177,361,897 </w:t>
            </w:r>
          </w:p>
        </w:tc>
      </w:tr>
      <w:tr w:rsidR="00BC2ADE" w:rsidRPr="00BC2ADE" w:rsidTr="008F5A9C">
        <w:trPr>
          <w:trHeight w:val="204"/>
          <w:jc w:val="center"/>
        </w:trPr>
        <w:tc>
          <w:tcPr>
            <w:tcW w:w="5476"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Otros activos biológicos</w:t>
            </w:r>
          </w:p>
        </w:tc>
        <w:tc>
          <w:tcPr>
            <w:tcW w:w="1547" w:type="dxa"/>
            <w:tcBorders>
              <w:bottom w:val="single" w:sz="4" w:space="0" w:color="auto"/>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490,000 </w:t>
            </w:r>
          </w:p>
        </w:tc>
        <w:tc>
          <w:tcPr>
            <w:tcW w:w="15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771" w:type="dxa"/>
            <w:tcBorders>
              <w:bottom w:val="single" w:sz="4" w:space="0" w:color="auto"/>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622,748 </w:t>
            </w:r>
          </w:p>
        </w:tc>
      </w:tr>
      <w:tr w:rsidR="00BC2ADE" w:rsidRPr="00BC2ADE" w:rsidTr="008F5A9C">
        <w:trPr>
          <w:trHeight w:val="214"/>
          <w:jc w:val="center"/>
        </w:trPr>
        <w:tc>
          <w:tcPr>
            <w:tcW w:w="5476" w:type="dxa"/>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SUMAS</w:t>
            </w:r>
          </w:p>
        </w:tc>
        <w:tc>
          <w:tcPr>
            <w:tcW w:w="1547" w:type="dxa"/>
            <w:tcBorders>
              <w:top w:val="single" w:sz="4" w:space="0" w:color="auto"/>
              <w:bottom w:val="double" w:sz="4" w:space="0" w:color="auto"/>
            </w:tcBorders>
            <w:shd w:val="clear" w:color="auto" w:fill="auto"/>
            <w:noWrap/>
            <w:vAlign w:val="bottom"/>
            <w:hideMark/>
          </w:tcPr>
          <w:p w:rsidR="00BC2ADE" w:rsidRPr="00BC2ADE" w:rsidRDefault="00BC2ADE" w:rsidP="008F5A9C">
            <w:pPr>
              <w:jc w:val="right"/>
              <w:rPr>
                <w:rFonts w:asciiTheme="minorHAnsi" w:hAnsiTheme="minorHAnsi" w:cs="Arial"/>
                <w:b/>
                <w:bCs/>
                <w:color w:val="000000"/>
                <w:sz w:val="20"/>
                <w:szCs w:val="20"/>
              </w:rPr>
            </w:pPr>
            <w:r w:rsidRPr="00BC2ADE">
              <w:rPr>
                <w:rFonts w:asciiTheme="minorHAnsi" w:hAnsiTheme="minorHAnsi" w:cs="Arial"/>
                <w:b/>
                <w:bCs/>
                <w:color w:val="000000"/>
                <w:sz w:val="20"/>
                <w:szCs w:val="20"/>
              </w:rPr>
              <w:t>2,110,782,270</w:t>
            </w:r>
          </w:p>
        </w:tc>
        <w:tc>
          <w:tcPr>
            <w:tcW w:w="157" w:type="dxa"/>
            <w:shd w:val="clear" w:color="auto" w:fill="auto"/>
            <w:noWrap/>
            <w:vAlign w:val="bottom"/>
            <w:hideMark/>
          </w:tcPr>
          <w:p w:rsidR="00BC2ADE" w:rsidRPr="00BC2ADE" w:rsidRDefault="00BC2ADE" w:rsidP="008F5A9C">
            <w:pPr>
              <w:jc w:val="right"/>
              <w:rPr>
                <w:rFonts w:asciiTheme="minorHAnsi" w:hAnsiTheme="minorHAnsi" w:cs="Arial"/>
                <w:b/>
                <w:bCs/>
                <w:color w:val="000000"/>
                <w:sz w:val="20"/>
                <w:szCs w:val="20"/>
              </w:rPr>
            </w:pPr>
          </w:p>
        </w:tc>
        <w:tc>
          <w:tcPr>
            <w:tcW w:w="1771" w:type="dxa"/>
            <w:tcBorders>
              <w:top w:val="single" w:sz="4" w:space="0" w:color="auto"/>
              <w:bottom w:val="double" w:sz="4" w:space="0" w:color="auto"/>
            </w:tcBorders>
            <w:shd w:val="clear" w:color="auto" w:fill="auto"/>
            <w:noWrap/>
            <w:vAlign w:val="bottom"/>
            <w:hideMark/>
          </w:tcPr>
          <w:p w:rsidR="00BC2ADE" w:rsidRPr="00BC2ADE" w:rsidRDefault="00BC2ADE" w:rsidP="008F5A9C">
            <w:pPr>
              <w:jc w:val="right"/>
              <w:rPr>
                <w:rFonts w:asciiTheme="minorHAnsi" w:hAnsiTheme="minorHAnsi" w:cs="Arial"/>
                <w:b/>
                <w:bCs/>
                <w:color w:val="000000"/>
                <w:sz w:val="20"/>
                <w:szCs w:val="20"/>
              </w:rPr>
            </w:pPr>
            <w:r w:rsidRPr="00BC2ADE">
              <w:rPr>
                <w:rFonts w:asciiTheme="minorHAnsi" w:hAnsiTheme="minorHAnsi" w:cs="Arial"/>
                <w:b/>
                <w:bCs/>
                <w:color w:val="000000"/>
                <w:sz w:val="20"/>
                <w:szCs w:val="20"/>
              </w:rPr>
              <w:t>881,905,979</w:t>
            </w:r>
          </w:p>
        </w:tc>
      </w:tr>
    </w:tbl>
    <w:p w:rsidR="00BC2ADE" w:rsidRPr="005152FF" w:rsidRDefault="00BC2ADE" w:rsidP="00BC2ADE">
      <w:pPr>
        <w:pStyle w:val="Sinespaciado"/>
        <w:spacing w:line="360" w:lineRule="auto"/>
        <w:jc w:val="both"/>
        <w:rPr>
          <w:rFonts w:ascii="Arial" w:hAnsi="Arial" w:cs="Arial"/>
          <w:b/>
          <w:sz w:val="24"/>
          <w:szCs w:val="24"/>
        </w:rPr>
      </w:pPr>
    </w:p>
    <w:p w:rsidR="00BC2ADE" w:rsidRDefault="00BC2ADE" w:rsidP="00BC2ADE">
      <w:pPr>
        <w:pStyle w:val="Sinespaciado"/>
        <w:spacing w:line="360" w:lineRule="auto"/>
        <w:jc w:val="both"/>
        <w:rPr>
          <w:rFonts w:ascii="Arial" w:hAnsi="Arial" w:cs="Arial"/>
          <w:b/>
          <w:sz w:val="24"/>
          <w:szCs w:val="24"/>
        </w:rPr>
      </w:pPr>
      <w:r w:rsidRPr="005152FF">
        <w:rPr>
          <w:rFonts w:ascii="Arial" w:hAnsi="Arial" w:cs="Arial"/>
          <w:b/>
          <w:sz w:val="24"/>
          <w:szCs w:val="24"/>
        </w:rPr>
        <w:lastRenderedPageBreak/>
        <w:t>Nota.- Activos Intangibles.</w:t>
      </w:r>
    </w:p>
    <w:p w:rsidR="00BC2ADE" w:rsidRPr="005152FF" w:rsidRDefault="00BC2ADE" w:rsidP="00BC2ADE">
      <w:pPr>
        <w:pStyle w:val="Sinespaciado"/>
        <w:spacing w:line="360" w:lineRule="auto"/>
        <w:jc w:val="both"/>
        <w:rPr>
          <w:rFonts w:ascii="Arial" w:hAnsi="Arial" w:cs="Arial"/>
          <w:b/>
          <w:sz w:val="24"/>
          <w:szCs w:val="24"/>
        </w:rPr>
      </w:pPr>
    </w:p>
    <w:p w:rsidR="00BC2ADE" w:rsidRPr="005152FF" w:rsidRDefault="00BC2ADE" w:rsidP="00BC2ADE">
      <w:pPr>
        <w:pStyle w:val="Sinespaciado"/>
        <w:spacing w:line="360" w:lineRule="auto"/>
        <w:jc w:val="both"/>
        <w:rPr>
          <w:rFonts w:ascii="Arial" w:hAnsi="Arial" w:cs="Arial"/>
          <w:sz w:val="24"/>
          <w:szCs w:val="24"/>
        </w:rPr>
      </w:pPr>
      <w:r w:rsidRPr="005152FF">
        <w:rPr>
          <w:rFonts w:ascii="Arial" w:hAnsi="Arial" w:cs="Arial"/>
          <w:sz w:val="24"/>
          <w:szCs w:val="24"/>
        </w:rPr>
        <w:t>Los saldos de estas cuentas representan el monto de derechos por el uso de activos de propiedad industrial, comercial, intelectual y otros. Los saldos de esta cuenta al 3</w:t>
      </w:r>
      <w:r>
        <w:rPr>
          <w:rFonts w:ascii="Arial" w:hAnsi="Arial" w:cs="Arial"/>
          <w:sz w:val="24"/>
          <w:szCs w:val="24"/>
        </w:rPr>
        <w:t>0</w:t>
      </w:r>
      <w:r w:rsidRPr="005152FF">
        <w:rPr>
          <w:rFonts w:ascii="Arial" w:hAnsi="Arial" w:cs="Arial"/>
          <w:sz w:val="24"/>
          <w:szCs w:val="24"/>
        </w:rPr>
        <w:t xml:space="preserve"> de </w:t>
      </w:r>
      <w:r>
        <w:rPr>
          <w:rFonts w:ascii="Arial" w:hAnsi="Arial" w:cs="Arial"/>
          <w:sz w:val="24"/>
          <w:szCs w:val="24"/>
        </w:rPr>
        <w:t xml:space="preserve">Junio </w:t>
      </w:r>
      <w:r w:rsidRPr="005152FF">
        <w:rPr>
          <w:rFonts w:ascii="Arial" w:hAnsi="Arial" w:cs="Arial"/>
          <w:sz w:val="24"/>
          <w:szCs w:val="24"/>
        </w:rPr>
        <w:t>del 201</w:t>
      </w:r>
      <w:r>
        <w:rPr>
          <w:rFonts w:ascii="Arial" w:hAnsi="Arial" w:cs="Arial"/>
          <w:sz w:val="24"/>
          <w:szCs w:val="24"/>
        </w:rPr>
        <w:t>5</w:t>
      </w:r>
      <w:r w:rsidRPr="005152FF">
        <w:rPr>
          <w:rFonts w:ascii="Arial" w:hAnsi="Arial" w:cs="Arial"/>
          <w:sz w:val="24"/>
          <w:szCs w:val="24"/>
        </w:rPr>
        <w:t xml:space="preserve"> y 201</w:t>
      </w:r>
      <w:r>
        <w:rPr>
          <w:rFonts w:ascii="Arial" w:hAnsi="Arial" w:cs="Arial"/>
          <w:sz w:val="24"/>
          <w:szCs w:val="24"/>
        </w:rPr>
        <w:t>4</w:t>
      </w:r>
      <w:r w:rsidRPr="005152FF">
        <w:rPr>
          <w:rFonts w:ascii="Arial" w:hAnsi="Arial" w:cs="Arial"/>
          <w:sz w:val="24"/>
          <w:szCs w:val="24"/>
        </w:rPr>
        <w:t xml:space="preserve"> se integran de la siguiente manera:</w:t>
      </w:r>
    </w:p>
    <w:p w:rsidR="00BC2ADE" w:rsidRDefault="00BC2ADE" w:rsidP="00BC2ADE">
      <w:pPr>
        <w:pStyle w:val="Sinespaciado"/>
        <w:spacing w:line="360" w:lineRule="auto"/>
        <w:jc w:val="both"/>
        <w:rPr>
          <w:rFonts w:ascii="Arial" w:hAnsi="Arial" w:cs="Arial"/>
          <w:sz w:val="24"/>
          <w:szCs w:val="24"/>
        </w:rPr>
      </w:pPr>
    </w:p>
    <w:p w:rsidR="00BC2ADE" w:rsidRPr="005152FF" w:rsidRDefault="00BC2ADE" w:rsidP="00BC2ADE">
      <w:pPr>
        <w:pStyle w:val="Sinespaciado"/>
        <w:spacing w:line="360" w:lineRule="auto"/>
        <w:jc w:val="both"/>
        <w:rPr>
          <w:rFonts w:ascii="Arial" w:hAnsi="Arial" w:cs="Arial"/>
          <w:sz w:val="24"/>
          <w:szCs w:val="24"/>
        </w:rPr>
      </w:pPr>
    </w:p>
    <w:tbl>
      <w:tblPr>
        <w:tblW w:w="7779" w:type="dxa"/>
        <w:jc w:val="center"/>
        <w:tblCellMar>
          <w:left w:w="70" w:type="dxa"/>
          <w:right w:w="70" w:type="dxa"/>
        </w:tblCellMar>
        <w:tblLook w:val="04A0"/>
      </w:tblPr>
      <w:tblGrid>
        <w:gridCol w:w="4711"/>
        <w:gridCol w:w="1468"/>
        <w:gridCol w:w="221"/>
        <w:gridCol w:w="1379"/>
      </w:tblGrid>
      <w:tr w:rsidR="00BC2ADE" w:rsidRPr="00BC2ADE" w:rsidTr="008F5A9C">
        <w:trPr>
          <w:trHeight w:val="283"/>
          <w:jc w:val="center"/>
        </w:trPr>
        <w:tc>
          <w:tcPr>
            <w:tcW w:w="4711" w:type="dxa"/>
            <w:tcBorders>
              <w:top w:val="nil"/>
              <w:left w:val="nil"/>
              <w:bottom w:val="nil"/>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CONCEPTO</w:t>
            </w:r>
          </w:p>
        </w:tc>
        <w:tc>
          <w:tcPr>
            <w:tcW w:w="1468" w:type="dxa"/>
            <w:tcBorders>
              <w:top w:val="nil"/>
              <w:left w:val="nil"/>
              <w:bottom w:val="single" w:sz="4" w:space="0" w:color="auto"/>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2015</w:t>
            </w:r>
          </w:p>
        </w:tc>
        <w:tc>
          <w:tcPr>
            <w:tcW w:w="221" w:type="dxa"/>
            <w:tcBorders>
              <w:top w:val="nil"/>
              <w:left w:val="nil"/>
              <w:bottom w:val="nil"/>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p>
        </w:tc>
        <w:tc>
          <w:tcPr>
            <w:tcW w:w="1379" w:type="dxa"/>
            <w:tcBorders>
              <w:top w:val="nil"/>
              <w:left w:val="nil"/>
              <w:bottom w:val="single" w:sz="4" w:space="0" w:color="auto"/>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2014</w:t>
            </w:r>
          </w:p>
        </w:tc>
      </w:tr>
      <w:tr w:rsidR="00BC2ADE" w:rsidRPr="00BC2ADE" w:rsidTr="008F5A9C">
        <w:trPr>
          <w:trHeight w:val="283"/>
          <w:jc w:val="center"/>
        </w:trPr>
        <w:tc>
          <w:tcPr>
            <w:tcW w:w="4711"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Software</w:t>
            </w:r>
          </w:p>
        </w:tc>
        <w:tc>
          <w:tcPr>
            <w:tcW w:w="1468"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                   174,599</w:t>
            </w:r>
          </w:p>
        </w:tc>
        <w:tc>
          <w:tcPr>
            <w:tcW w:w="221"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379"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13,492,022</w:t>
            </w:r>
          </w:p>
        </w:tc>
      </w:tr>
      <w:tr w:rsidR="00BC2ADE" w:rsidRPr="00BC2ADE" w:rsidTr="008F5A9C">
        <w:trPr>
          <w:trHeight w:val="283"/>
          <w:jc w:val="center"/>
        </w:trPr>
        <w:tc>
          <w:tcPr>
            <w:tcW w:w="4711"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Licencias informáticas e intelectuales</w:t>
            </w:r>
          </w:p>
        </w:tc>
        <w:tc>
          <w:tcPr>
            <w:tcW w:w="1468"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84,731,697</w:t>
            </w:r>
          </w:p>
        </w:tc>
        <w:tc>
          <w:tcPr>
            <w:tcW w:w="221"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379"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431,667</w:t>
            </w:r>
          </w:p>
        </w:tc>
      </w:tr>
      <w:tr w:rsidR="00BC2ADE" w:rsidRPr="00BC2ADE" w:rsidTr="008F5A9C">
        <w:trPr>
          <w:trHeight w:val="283"/>
          <w:jc w:val="center"/>
        </w:trPr>
        <w:tc>
          <w:tcPr>
            <w:tcW w:w="4711"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Otros activos intangibles</w:t>
            </w:r>
          </w:p>
        </w:tc>
        <w:tc>
          <w:tcPr>
            <w:tcW w:w="1468"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 5,907,057</w:t>
            </w:r>
          </w:p>
        </w:tc>
        <w:tc>
          <w:tcPr>
            <w:tcW w:w="221"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379" w:type="dxa"/>
            <w:tcBorders>
              <w:top w:val="nil"/>
              <w:left w:val="nil"/>
              <w:bottom w:val="nil"/>
              <w:right w:val="nil"/>
            </w:tcBorders>
            <w:shd w:val="clear" w:color="auto" w:fill="auto"/>
            <w:noWrap/>
            <w:vAlign w:val="bottom"/>
            <w:hideMark/>
          </w:tcPr>
          <w:p w:rsidR="00BC2ADE" w:rsidRPr="00BC2ADE" w:rsidRDefault="00BC2ADE" w:rsidP="008F5A9C">
            <w:pPr>
              <w:jc w:val="center"/>
              <w:rPr>
                <w:rFonts w:asciiTheme="minorHAnsi" w:hAnsiTheme="minorHAnsi" w:cs="Arial"/>
                <w:color w:val="000000"/>
                <w:sz w:val="20"/>
                <w:szCs w:val="20"/>
              </w:rPr>
            </w:pPr>
          </w:p>
        </w:tc>
      </w:tr>
      <w:tr w:rsidR="00BC2ADE" w:rsidRPr="00BC2ADE" w:rsidTr="008F5A9C">
        <w:trPr>
          <w:trHeight w:val="297"/>
          <w:jc w:val="center"/>
        </w:trPr>
        <w:tc>
          <w:tcPr>
            <w:tcW w:w="4711" w:type="dxa"/>
            <w:tcBorders>
              <w:top w:val="nil"/>
              <w:left w:val="nil"/>
              <w:bottom w:val="nil"/>
              <w:right w:val="nil"/>
            </w:tcBorders>
            <w:shd w:val="clear" w:color="auto" w:fill="auto"/>
            <w:noWrap/>
            <w:vAlign w:val="bottom"/>
            <w:hideMark/>
          </w:tcPr>
          <w:p w:rsidR="00BC2ADE" w:rsidRPr="00BC2ADE" w:rsidRDefault="00BC2ADE" w:rsidP="008F5A9C">
            <w:pPr>
              <w:jc w:val="center"/>
              <w:rPr>
                <w:rFonts w:asciiTheme="minorHAnsi" w:hAnsiTheme="minorHAnsi" w:cs="Arial"/>
                <w:b/>
                <w:color w:val="000000"/>
                <w:sz w:val="20"/>
                <w:szCs w:val="20"/>
              </w:rPr>
            </w:pPr>
            <w:r w:rsidRPr="00BC2ADE">
              <w:rPr>
                <w:rFonts w:asciiTheme="minorHAnsi" w:hAnsiTheme="minorHAnsi" w:cs="Arial"/>
                <w:b/>
                <w:color w:val="000000"/>
                <w:sz w:val="20"/>
                <w:szCs w:val="20"/>
              </w:rPr>
              <w:t>SUMAS</w:t>
            </w:r>
          </w:p>
        </w:tc>
        <w:tc>
          <w:tcPr>
            <w:tcW w:w="1468" w:type="dxa"/>
            <w:tcBorders>
              <w:top w:val="single" w:sz="4" w:space="0" w:color="auto"/>
              <w:left w:val="nil"/>
              <w:bottom w:val="double" w:sz="6" w:space="0" w:color="auto"/>
              <w:right w:val="nil"/>
            </w:tcBorders>
            <w:shd w:val="clear" w:color="auto" w:fill="auto"/>
            <w:noWrap/>
            <w:vAlign w:val="bottom"/>
            <w:hideMark/>
          </w:tcPr>
          <w:p w:rsidR="00BC2ADE" w:rsidRPr="00BC2ADE" w:rsidRDefault="00BC2ADE" w:rsidP="008F5A9C">
            <w:pPr>
              <w:jc w:val="right"/>
              <w:rPr>
                <w:rFonts w:asciiTheme="minorHAnsi" w:hAnsiTheme="minorHAnsi" w:cs="Arial"/>
                <w:b/>
                <w:color w:val="000000"/>
                <w:sz w:val="20"/>
                <w:szCs w:val="20"/>
              </w:rPr>
            </w:pPr>
            <w:r w:rsidRPr="00BC2ADE">
              <w:rPr>
                <w:rFonts w:asciiTheme="minorHAnsi" w:hAnsiTheme="minorHAnsi" w:cs="Arial"/>
                <w:b/>
                <w:color w:val="000000"/>
                <w:sz w:val="20"/>
                <w:szCs w:val="20"/>
              </w:rPr>
              <w:t>90,803,353</w:t>
            </w:r>
          </w:p>
        </w:tc>
        <w:tc>
          <w:tcPr>
            <w:tcW w:w="221"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b/>
                <w:color w:val="000000"/>
                <w:sz w:val="20"/>
                <w:szCs w:val="20"/>
              </w:rPr>
            </w:pPr>
          </w:p>
        </w:tc>
        <w:tc>
          <w:tcPr>
            <w:tcW w:w="1379" w:type="dxa"/>
            <w:tcBorders>
              <w:top w:val="single" w:sz="4" w:space="0" w:color="auto"/>
              <w:left w:val="nil"/>
              <w:bottom w:val="double" w:sz="6" w:space="0" w:color="auto"/>
              <w:right w:val="nil"/>
            </w:tcBorders>
            <w:shd w:val="clear" w:color="auto" w:fill="auto"/>
            <w:noWrap/>
            <w:vAlign w:val="bottom"/>
            <w:hideMark/>
          </w:tcPr>
          <w:p w:rsidR="00BC2ADE" w:rsidRPr="00BC2ADE" w:rsidRDefault="00BC2ADE" w:rsidP="008F5A9C">
            <w:pPr>
              <w:jc w:val="right"/>
              <w:rPr>
                <w:rFonts w:asciiTheme="minorHAnsi" w:hAnsiTheme="minorHAnsi" w:cs="Arial"/>
                <w:b/>
                <w:color w:val="000000"/>
                <w:sz w:val="20"/>
                <w:szCs w:val="20"/>
              </w:rPr>
            </w:pPr>
            <w:r w:rsidRPr="00BC2ADE">
              <w:rPr>
                <w:rFonts w:asciiTheme="minorHAnsi" w:hAnsiTheme="minorHAnsi" w:cs="Arial"/>
                <w:b/>
                <w:color w:val="000000"/>
                <w:sz w:val="20"/>
                <w:szCs w:val="20"/>
              </w:rPr>
              <w:t>13,923,689</w:t>
            </w:r>
          </w:p>
        </w:tc>
      </w:tr>
    </w:tbl>
    <w:p w:rsidR="00BC2ADE" w:rsidRDefault="00BC2ADE" w:rsidP="00BC2ADE">
      <w:pPr>
        <w:pStyle w:val="Sinespaciado"/>
        <w:spacing w:line="360" w:lineRule="auto"/>
        <w:jc w:val="both"/>
        <w:rPr>
          <w:rFonts w:ascii="Arial" w:hAnsi="Arial" w:cs="Arial"/>
          <w:b/>
          <w:sz w:val="24"/>
          <w:szCs w:val="24"/>
        </w:rPr>
      </w:pPr>
    </w:p>
    <w:p w:rsidR="00D75E62" w:rsidRDefault="00D75E62" w:rsidP="00BC2ADE">
      <w:pPr>
        <w:pStyle w:val="Sinespaciado"/>
        <w:spacing w:line="360" w:lineRule="auto"/>
        <w:jc w:val="both"/>
        <w:rPr>
          <w:rFonts w:ascii="Arial" w:hAnsi="Arial" w:cs="Arial"/>
          <w:b/>
          <w:sz w:val="24"/>
          <w:szCs w:val="24"/>
        </w:rPr>
      </w:pPr>
    </w:p>
    <w:p w:rsidR="00BC2ADE" w:rsidRDefault="00BC2ADE" w:rsidP="00BC2ADE">
      <w:pPr>
        <w:pStyle w:val="Sinespaciado"/>
        <w:spacing w:line="360" w:lineRule="auto"/>
        <w:jc w:val="both"/>
        <w:rPr>
          <w:rFonts w:ascii="Arial" w:hAnsi="Arial" w:cs="Arial"/>
          <w:b/>
          <w:sz w:val="24"/>
          <w:szCs w:val="24"/>
        </w:rPr>
      </w:pPr>
      <w:r w:rsidRPr="005152FF">
        <w:rPr>
          <w:rFonts w:ascii="Arial" w:hAnsi="Arial" w:cs="Arial"/>
          <w:b/>
          <w:sz w:val="24"/>
          <w:szCs w:val="24"/>
        </w:rPr>
        <w:t>Nota.- Cuentas Por Pagar a Corto Plazo.</w:t>
      </w:r>
    </w:p>
    <w:p w:rsidR="00BC2ADE" w:rsidRPr="005152FF" w:rsidRDefault="00BC2ADE" w:rsidP="00BC2ADE">
      <w:pPr>
        <w:pStyle w:val="Sinespaciado"/>
        <w:spacing w:line="360" w:lineRule="auto"/>
        <w:jc w:val="both"/>
        <w:rPr>
          <w:rFonts w:ascii="Arial" w:hAnsi="Arial" w:cs="Arial"/>
          <w:b/>
          <w:sz w:val="24"/>
          <w:szCs w:val="24"/>
        </w:rPr>
      </w:pPr>
    </w:p>
    <w:p w:rsidR="00BC2ADE" w:rsidRPr="005152FF" w:rsidRDefault="00BC2ADE" w:rsidP="00BC2ADE">
      <w:pPr>
        <w:pStyle w:val="Sinespaciado"/>
        <w:spacing w:line="360" w:lineRule="auto"/>
        <w:jc w:val="both"/>
        <w:rPr>
          <w:rFonts w:ascii="Arial" w:hAnsi="Arial" w:cs="Arial"/>
          <w:b/>
          <w:sz w:val="24"/>
          <w:szCs w:val="24"/>
        </w:rPr>
      </w:pPr>
      <w:r w:rsidRPr="005152FF">
        <w:rPr>
          <w:rFonts w:ascii="Arial" w:hAnsi="Arial" w:cs="Arial"/>
          <w:sz w:val="24"/>
          <w:szCs w:val="24"/>
        </w:rPr>
        <w:t>Los saldos de estas cuentas representan al monto de los adeudos del Estado, que deberá pagar en un plazo menor o igual a doce meses, los cuales se integran como sigue:</w:t>
      </w:r>
    </w:p>
    <w:tbl>
      <w:tblPr>
        <w:tblW w:w="8884" w:type="dxa"/>
        <w:jc w:val="center"/>
        <w:tblCellMar>
          <w:left w:w="70" w:type="dxa"/>
          <w:right w:w="70" w:type="dxa"/>
        </w:tblCellMar>
        <w:tblLook w:val="04A0"/>
      </w:tblPr>
      <w:tblGrid>
        <w:gridCol w:w="5338"/>
        <w:gridCol w:w="1853"/>
        <w:gridCol w:w="146"/>
        <w:gridCol w:w="1547"/>
      </w:tblGrid>
      <w:tr w:rsidR="00BC2ADE" w:rsidRPr="00BC2ADE" w:rsidTr="008F5A9C">
        <w:trPr>
          <w:trHeight w:val="230"/>
          <w:jc w:val="center"/>
        </w:trPr>
        <w:tc>
          <w:tcPr>
            <w:tcW w:w="5338" w:type="dxa"/>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CONCEPTO</w:t>
            </w:r>
          </w:p>
        </w:tc>
        <w:tc>
          <w:tcPr>
            <w:tcW w:w="1853" w:type="dxa"/>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2015</w:t>
            </w:r>
          </w:p>
        </w:tc>
        <w:tc>
          <w:tcPr>
            <w:tcW w:w="146" w:type="dxa"/>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p>
        </w:tc>
        <w:tc>
          <w:tcPr>
            <w:tcW w:w="1547" w:type="dxa"/>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2014</w:t>
            </w:r>
          </w:p>
        </w:tc>
      </w:tr>
      <w:tr w:rsidR="00BC2ADE" w:rsidRPr="00BC2ADE" w:rsidTr="008F5A9C">
        <w:trPr>
          <w:trHeight w:val="230"/>
          <w:jc w:val="center"/>
        </w:trPr>
        <w:tc>
          <w:tcPr>
            <w:tcW w:w="5338"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 xml:space="preserve">Remuneración por pagar al personal de carácter permanente a </w:t>
            </w:r>
            <w:proofErr w:type="spellStart"/>
            <w:r w:rsidRPr="00BC2ADE">
              <w:rPr>
                <w:rFonts w:asciiTheme="minorHAnsi" w:hAnsiTheme="minorHAnsi" w:cs="Arial"/>
                <w:color w:val="000000"/>
                <w:sz w:val="20"/>
                <w:szCs w:val="20"/>
              </w:rPr>
              <w:t>cp</w:t>
            </w:r>
            <w:proofErr w:type="spellEnd"/>
          </w:p>
        </w:tc>
        <w:tc>
          <w:tcPr>
            <w:tcW w:w="1853"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             1,136,765,546 </w:t>
            </w:r>
          </w:p>
        </w:tc>
        <w:tc>
          <w:tcPr>
            <w:tcW w:w="146"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                     3,793,049 </w:t>
            </w:r>
          </w:p>
        </w:tc>
      </w:tr>
      <w:tr w:rsidR="00BC2ADE" w:rsidRPr="00BC2ADE" w:rsidTr="008F5A9C">
        <w:trPr>
          <w:trHeight w:val="230"/>
          <w:jc w:val="center"/>
        </w:trPr>
        <w:tc>
          <w:tcPr>
            <w:tcW w:w="5338"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 xml:space="preserve">Remuneración por pagar al personal de carácter transitorio a </w:t>
            </w:r>
            <w:proofErr w:type="spellStart"/>
            <w:r w:rsidRPr="00BC2ADE">
              <w:rPr>
                <w:rFonts w:asciiTheme="minorHAnsi" w:hAnsiTheme="minorHAnsi" w:cs="Arial"/>
                <w:color w:val="000000"/>
                <w:sz w:val="20"/>
                <w:szCs w:val="20"/>
              </w:rPr>
              <w:t>cp</w:t>
            </w:r>
            <w:proofErr w:type="spellEnd"/>
          </w:p>
        </w:tc>
        <w:tc>
          <w:tcPr>
            <w:tcW w:w="1853"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9,769,723 </w:t>
            </w:r>
          </w:p>
        </w:tc>
        <w:tc>
          <w:tcPr>
            <w:tcW w:w="146"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1,580,153 </w:t>
            </w:r>
          </w:p>
        </w:tc>
      </w:tr>
      <w:tr w:rsidR="00BC2ADE" w:rsidRPr="00BC2ADE" w:rsidTr="008F5A9C">
        <w:trPr>
          <w:trHeight w:val="230"/>
          <w:jc w:val="center"/>
        </w:trPr>
        <w:tc>
          <w:tcPr>
            <w:tcW w:w="5338"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 xml:space="preserve">Otras prestaciones sociales y económicas pagar </w:t>
            </w:r>
            <w:proofErr w:type="spellStart"/>
            <w:r w:rsidRPr="00BC2ADE">
              <w:rPr>
                <w:rFonts w:asciiTheme="minorHAnsi" w:hAnsiTheme="minorHAnsi" w:cs="Arial"/>
                <w:color w:val="000000"/>
                <w:sz w:val="20"/>
                <w:szCs w:val="20"/>
              </w:rPr>
              <w:t>cp</w:t>
            </w:r>
            <w:proofErr w:type="spellEnd"/>
          </w:p>
        </w:tc>
        <w:tc>
          <w:tcPr>
            <w:tcW w:w="1853"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246,502,882 </w:t>
            </w:r>
          </w:p>
        </w:tc>
        <w:tc>
          <w:tcPr>
            <w:tcW w:w="146"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162,058,623 </w:t>
            </w:r>
          </w:p>
        </w:tc>
      </w:tr>
      <w:tr w:rsidR="00BC2ADE" w:rsidRPr="00BC2ADE" w:rsidTr="008F5A9C">
        <w:trPr>
          <w:trHeight w:val="230"/>
          <w:jc w:val="center"/>
        </w:trPr>
        <w:tc>
          <w:tcPr>
            <w:tcW w:w="5338"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 xml:space="preserve">Impuestos sobre nóminas y otros que se deriven de una relación laboral por pagar a </w:t>
            </w:r>
            <w:proofErr w:type="spellStart"/>
            <w:r w:rsidRPr="00BC2ADE">
              <w:rPr>
                <w:rFonts w:asciiTheme="minorHAnsi" w:hAnsiTheme="minorHAnsi" w:cs="Arial"/>
                <w:color w:val="000000"/>
                <w:sz w:val="20"/>
                <w:szCs w:val="20"/>
              </w:rPr>
              <w:t>cp</w:t>
            </w:r>
            <w:proofErr w:type="spellEnd"/>
          </w:p>
        </w:tc>
        <w:tc>
          <w:tcPr>
            <w:tcW w:w="1853"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                                     -   </w:t>
            </w:r>
          </w:p>
        </w:tc>
        <w:tc>
          <w:tcPr>
            <w:tcW w:w="146"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                           77,175 </w:t>
            </w:r>
          </w:p>
        </w:tc>
      </w:tr>
      <w:tr w:rsidR="00BC2ADE" w:rsidRPr="00BC2ADE" w:rsidTr="008F5A9C">
        <w:trPr>
          <w:trHeight w:val="230"/>
          <w:jc w:val="center"/>
        </w:trPr>
        <w:tc>
          <w:tcPr>
            <w:tcW w:w="5338"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 xml:space="preserve">Deudas por adquisición de bienes y contratación de servicios por pagar a </w:t>
            </w:r>
            <w:proofErr w:type="spellStart"/>
            <w:r w:rsidRPr="00BC2ADE">
              <w:rPr>
                <w:rFonts w:asciiTheme="minorHAnsi" w:hAnsiTheme="minorHAnsi" w:cs="Arial"/>
                <w:color w:val="000000"/>
                <w:sz w:val="20"/>
                <w:szCs w:val="20"/>
              </w:rPr>
              <w:t>cp</w:t>
            </w:r>
            <w:proofErr w:type="spellEnd"/>
          </w:p>
        </w:tc>
        <w:tc>
          <w:tcPr>
            <w:tcW w:w="1853"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                 902,918,858 </w:t>
            </w:r>
          </w:p>
        </w:tc>
        <w:tc>
          <w:tcPr>
            <w:tcW w:w="146"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                 345,731,760 </w:t>
            </w:r>
          </w:p>
        </w:tc>
      </w:tr>
      <w:tr w:rsidR="00BC2ADE" w:rsidRPr="00BC2ADE" w:rsidTr="008F5A9C">
        <w:trPr>
          <w:trHeight w:val="230"/>
          <w:jc w:val="center"/>
        </w:trPr>
        <w:tc>
          <w:tcPr>
            <w:tcW w:w="5338"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 xml:space="preserve">Contratista por obras en bienes de dominio público por pagar a </w:t>
            </w:r>
            <w:proofErr w:type="spellStart"/>
            <w:r w:rsidRPr="00BC2ADE">
              <w:rPr>
                <w:rFonts w:asciiTheme="minorHAnsi" w:hAnsiTheme="minorHAnsi" w:cs="Arial"/>
                <w:color w:val="000000"/>
                <w:sz w:val="20"/>
                <w:szCs w:val="20"/>
              </w:rPr>
              <w:t>c.p.</w:t>
            </w:r>
            <w:proofErr w:type="spellEnd"/>
          </w:p>
        </w:tc>
        <w:tc>
          <w:tcPr>
            <w:tcW w:w="1853"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                 561,791,739 </w:t>
            </w:r>
          </w:p>
        </w:tc>
        <w:tc>
          <w:tcPr>
            <w:tcW w:w="146"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                 490,505,383 </w:t>
            </w:r>
          </w:p>
        </w:tc>
      </w:tr>
      <w:tr w:rsidR="00BC2ADE" w:rsidRPr="00BC2ADE" w:rsidTr="008F5A9C">
        <w:trPr>
          <w:trHeight w:val="230"/>
          <w:jc w:val="center"/>
        </w:trPr>
        <w:tc>
          <w:tcPr>
            <w:tcW w:w="5338"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 xml:space="preserve">Contratistas por obras en bienes propios pagar a </w:t>
            </w:r>
            <w:proofErr w:type="spellStart"/>
            <w:r w:rsidRPr="00BC2ADE">
              <w:rPr>
                <w:rFonts w:asciiTheme="minorHAnsi" w:hAnsiTheme="minorHAnsi" w:cs="Arial"/>
                <w:color w:val="000000"/>
                <w:sz w:val="20"/>
                <w:szCs w:val="20"/>
              </w:rPr>
              <w:t>cp</w:t>
            </w:r>
            <w:proofErr w:type="spellEnd"/>
          </w:p>
        </w:tc>
        <w:tc>
          <w:tcPr>
            <w:tcW w:w="1853"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44,271,244 </w:t>
            </w:r>
          </w:p>
        </w:tc>
        <w:tc>
          <w:tcPr>
            <w:tcW w:w="146"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16,844,877 </w:t>
            </w:r>
          </w:p>
        </w:tc>
      </w:tr>
      <w:tr w:rsidR="00BC2ADE" w:rsidRPr="00BC2ADE" w:rsidTr="008F5A9C">
        <w:trPr>
          <w:trHeight w:val="230"/>
          <w:jc w:val="center"/>
        </w:trPr>
        <w:tc>
          <w:tcPr>
            <w:tcW w:w="5338"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 xml:space="preserve">Participaciones por pagar a </w:t>
            </w:r>
            <w:proofErr w:type="spellStart"/>
            <w:r w:rsidRPr="00BC2ADE">
              <w:rPr>
                <w:rFonts w:asciiTheme="minorHAnsi" w:hAnsiTheme="minorHAnsi" w:cs="Arial"/>
                <w:color w:val="000000"/>
                <w:sz w:val="20"/>
                <w:szCs w:val="20"/>
              </w:rPr>
              <w:t>cp</w:t>
            </w:r>
            <w:proofErr w:type="spellEnd"/>
          </w:p>
        </w:tc>
        <w:tc>
          <w:tcPr>
            <w:tcW w:w="1853"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824,135,723 </w:t>
            </w:r>
          </w:p>
        </w:tc>
        <w:tc>
          <w:tcPr>
            <w:tcW w:w="146"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1,553,993,115 </w:t>
            </w:r>
          </w:p>
        </w:tc>
      </w:tr>
      <w:tr w:rsidR="00BC2ADE" w:rsidRPr="00BC2ADE" w:rsidTr="008F5A9C">
        <w:trPr>
          <w:trHeight w:val="230"/>
          <w:jc w:val="center"/>
        </w:trPr>
        <w:tc>
          <w:tcPr>
            <w:tcW w:w="5338"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Transferencias inter y asignaciones al sector público</w:t>
            </w:r>
          </w:p>
        </w:tc>
        <w:tc>
          <w:tcPr>
            <w:tcW w:w="1853"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1,504,849,367 </w:t>
            </w:r>
          </w:p>
        </w:tc>
        <w:tc>
          <w:tcPr>
            <w:tcW w:w="146"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495,184,858 </w:t>
            </w:r>
          </w:p>
        </w:tc>
      </w:tr>
      <w:tr w:rsidR="00BC2ADE" w:rsidRPr="00BC2ADE" w:rsidTr="008F5A9C">
        <w:trPr>
          <w:trHeight w:val="230"/>
          <w:jc w:val="center"/>
        </w:trPr>
        <w:tc>
          <w:tcPr>
            <w:tcW w:w="5338"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 xml:space="preserve">Retenciones de impuestos por pagar a </w:t>
            </w:r>
            <w:proofErr w:type="spellStart"/>
            <w:r w:rsidRPr="00BC2ADE">
              <w:rPr>
                <w:rFonts w:asciiTheme="minorHAnsi" w:hAnsiTheme="minorHAnsi" w:cs="Arial"/>
                <w:color w:val="000000"/>
                <w:sz w:val="20"/>
                <w:szCs w:val="20"/>
              </w:rPr>
              <w:t>cp</w:t>
            </w:r>
            <w:proofErr w:type="spellEnd"/>
          </w:p>
        </w:tc>
        <w:tc>
          <w:tcPr>
            <w:tcW w:w="1853"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61,001,403 </w:t>
            </w:r>
          </w:p>
        </w:tc>
        <w:tc>
          <w:tcPr>
            <w:tcW w:w="146"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216,498,691 </w:t>
            </w:r>
          </w:p>
        </w:tc>
      </w:tr>
      <w:tr w:rsidR="00BC2ADE" w:rsidRPr="00BC2ADE" w:rsidTr="008F5A9C">
        <w:trPr>
          <w:trHeight w:val="230"/>
          <w:jc w:val="center"/>
        </w:trPr>
        <w:tc>
          <w:tcPr>
            <w:tcW w:w="5338"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 xml:space="preserve">Retenciones del sistema de seguridad x pagar a </w:t>
            </w:r>
            <w:proofErr w:type="spellStart"/>
            <w:r w:rsidRPr="00BC2ADE">
              <w:rPr>
                <w:rFonts w:asciiTheme="minorHAnsi" w:hAnsiTheme="minorHAnsi" w:cs="Arial"/>
                <w:color w:val="000000"/>
                <w:sz w:val="20"/>
                <w:szCs w:val="20"/>
              </w:rPr>
              <w:t>cp</w:t>
            </w:r>
            <w:proofErr w:type="spellEnd"/>
          </w:p>
        </w:tc>
        <w:tc>
          <w:tcPr>
            <w:tcW w:w="1853"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257,557,604 </w:t>
            </w:r>
          </w:p>
        </w:tc>
        <w:tc>
          <w:tcPr>
            <w:tcW w:w="146"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163,278,078 </w:t>
            </w:r>
          </w:p>
        </w:tc>
      </w:tr>
      <w:tr w:rsidR="00BC2ADE" w:rsidRPr="00BC2ADE" w:rsidTr="008F5A9C">
        <w:trPr>
          <w:trHeight w:val="230"/>
          <w:jc w:val="center"/>
        </w:trPr>
        <w:tc>
          <w:tcPr>
            <w:tcW w:w="5338"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lastRenderedPageBreak/>
              <w:t xml:space="preserve">Penas, multas, accesorios y actualizaciones a </w:t>
            </w:r>
            <w:proofErr w:type="spellStart"/>
            <w:r w:rsidRPr="00BC2ADE">
              <w:rPr>
                <w:rFonts w:asciiTheme="minorHAnsi" w:hAnsiTheme="minorHAnsi" w:cs="Arial"/>
                <w:color w:val="000000"/>
                <w:sz w:val="20"/>
                <w:szCs w:val="20"/>
              </w:rPr>
              <w:t>cp</w:t>
            </w:r>
            <w:proofErr w:type="spellEnd"/>
          </w:p>
        </w:tc>
        <w:tc>
          <w:tcPr>
            <w:tcW w:w="1853"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13,828,932 </w:t>
            </w:r>
          </w:p>
        </w:tc>
        <w:tc>
          <w:tcPr>
            <w:tcW w:w="146"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13,773,273 </w:t>
            </w:r>
          </w:p>
        </w:tc>
      </w:tr>
      <w:tr w:rsidR="00BC2ADE" w:rsidRPr="00BC2ADE" w:rsidTr="008F5A9C">
        <w:trPr>
          <w:trHeight w:val="230"/>
          <w:jc w:val="center"/>
        </w:trPr>
        <w:tc>
          <w:tcPr>
            <w:tcW w:w="5338"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 xml:space="preserve">Otras retenciones y contribuciones por pagar a </w:t>
            </w:r>
            <w:proofErr w:type="spellStart"/>
            <w:r w:rsidRPr="00BC2ADE">
              <w:rPr>
                <w:rFonts w:asciiTheme="minorHAnsi" w:hAnsiTheme="minorHAnsi" w:cs="Arial"/>
                <w:color w:val="000000"/>
                <w:sz w:val="20"/>
                <w:szCs w:val="20"/>
              </w:rPr>
              <w:t>cp</w:t>
            </w:r>
            <w:proofErr w:type="spellEnd"/>
          </w:p>
        </w:tc>
        <w:tc>
          <w:tcPr>
            <w:tcW w:w="1853"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1,070,063,168 </w:t>
            </w:r>
          </w:p>
        </w:tc>
        <w:tc>
          <w:tcPr>
            <w:tcW w:w="146"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662,532,047 </w:t>
            </w:r>
          </w:p>
        </w:tc>
      </w:tr>
      <w:tr w:rsidR="00BC2ADE" w:rsidRPr="00BC2ADE" w:rsidTr="008F5A9C">
        <w:trPr>
          <w:trHeight w:val="230"/>
          <w:jc w:val="center"/>
        </w:trPr>
        <w:tc>
          <w:tcPr>
            <w:tcW w:w="5338"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 xml:space="preserve">Interacciones </w:t>
            </w:r>
            <w:proofErr w:type="spellStart"/>
            <w:r w:rsidRPr="00BC2ADE">
              <w:rPr>
                <w:rFonts w:asciiTheme="minorHAnsi" w:hAnsiTheme="minorHAnsi" w:cs="Arial"/>
                <w:color w:val="000000"/>
                <w:sz w:val="20"/>
                <w:szCs w:val="20"/>
              </w:rPr>
              <w:t>Credito</w:t>
            </w:r>
            <w:proofErr w:type="spellEnd"/>
            <w:r w:rsidRPr="00BC2ADE">
              <w:rPr>
                <w:rFonts w:asciiTheme="minorHAnsi" w:hAnsiTheme="minorHAnsi" w:cs="Arial"/>
                <w:color w:val="000000"/>
                <w:sz w:val="20"/>
                <w:szCs w:val="20"/>
              </w:rPr>
              <w:t xml:space="preserve"> Bancario</w:t>
            </w:r>
          </w:p>
        </w:tc>
        <w:tc>
          <w:tcPr>
            <w:tcW w:w="1853"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2,000,000,000 </w:t>
            </w:r>
          </w:p>
        </w:tc>
        <w:tc>
          <w:tcPr>
            <w:tcW w:w="146"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r>
      <w:tr w:rsidR="00BC2ADE" w:rsidRPr="00BC2ADE" w:rsidTr="008F5A9C">
        <w:trPr>
          <w:trHeight w:val="230"/>
          <w:jc w:val="center"/>
        </w:trPr>
        <w:tc>
          <w:tcPr>
            <w:tcW w:w="5338" w:type="dxa"/>
            <w:shd w:val="clear" w:color="auto" w:fill="auto"/>
            <w:noWrap/>
            <w:vAlign w:val="bottom"/>
          </w:tcPr>
          <w:p w:rsidR="00BC2ADE" w:rsidRPr="00BC2ADE" w:rsidRDefault="00BC2ADE" w:rsidP="008F5A9C">
            <w:pPr>
              <w:rPr>
                <w:rFonts w:asciiTheme="minorHAnsi" w:hAnsiTheme="minorHAnsi" w:cs="Arial"/>
                <w:color w:val="000000"/>
                <w:sz w:val="20"/>
                <w:szCs w:val="20"/>
              </w:rPr>
            </w:pPr>
            <w:proofErr w:type="spellStart"/>
            <w:r w:rsidRPr="00BC2ADE">
              <w:rPr>
                <w:rFonts w:asciiTheme="minorHAnsi" w:hAnsiTheme="minorHAnsi" w:cs="Arial"/>
                <w:color w:val="000000"/>
                <w:sz w:val="20"/>
                <w:szCs w:val="20"/>
              </w:rPr>
              <w:t>HsbcCredito</w:t>
            </w:r>
            <w:proofErr w:type="spellEnd"/>
            <w:r w:rsidRPr="00BC2ADE">
              <w:rPr>
                <w:rFonts w:asciiTheme="minorHAnsi" w:hAnsiTheme="minorHAnsi" w:cs="Arial"/>
                <w:color w:val="000000"/>
                <w:sz w:val="20"/>
                <w:szCs w:val="20"/>
              </w:rPr>
              <w:t xml:space="preserve"> Bancario</w:t>
            </w:r>
          </w:p>
        </w:tc>
        <w:tc>
          <w:tcPr>
            <w:tcW w:w="1853" w:type="dxa"/>
            <w:shd w:val="clear" w:color="auto" w:fill="auto"/>
            <w:noWrap/>
            <w:vAlign w:val="bottom"/>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376,968,000 </w:t>
            </w:r>
          </w:p>
        </w:tc>
        <w:tc>
          <w:tcPr>
            <w:tcW w:w="146" w:type="dxa"/>
            <w:shd w:val="clear" w:color="auto" w:fill="auto"/>
            <w:noWrap/>
            <w:vAlign w:val="bottom"/>
          </w:tcPr>
          <w:p w:rsidR="00BC2ADE" w:rsidRPr="00BC2ADE" w:rsidRDefault="00BC2ADE" w:rsidP="008F5A9C">
            <w:pPr>
              <w:jc w:val="right"/>
              <w:rPr>
                <w:rFonts w:asciiTheme="minorHAnsi" w:hAnsiTheme="minorHAnsi" w:cs="Arial"/>
                <w:color w:val="000000"/>
                <w:sz w:val="20"/>
                <w:szCs w:val="20"/>
              </w:rPr>
            </w:pPr>
          </w:p>
        </w:tc>
        <w:tc>
          <w:tcPr>
            <w:tcW w:w="1547" w:type="dxa"/>
            <w:shd w:val="clear" w:color="auto" w:fill="auto"/>
            <w:noWrap/>
            <w:vAlign w:val="bottom"/>
          </w:tcPr>
          <w:p w:rsidR="00BC2ADE" w:rsidRPr="00BC2ADE" w:rsidRDefault="00BC2ADE" w:rsidP="008F5A9C">
            <w:pPr>
              <w:jc w:val="right"/>
              <w:rPr>
                <w:rFonts w:asciiTheme="minorHAnsi" w:hAnsiTheme="minorHAnsi" w:cs="Arial"/>
                <w:color w:val="000000"/>
                <w:sz w:val="20"/>
                <w:szCs w:val="20"/>
              </w:rPr>
            </w:pPr>
          </w:p>
        </w:tc>
      </w:tr>
      <w:tr w:rsidR="00BC2ADE" w:rsidRPr="00BC2ADE" w:rsidTr="008F5A9C">
        <w:trPr>
          <w:trHeight w:val="230"/>
          <w:jc w:val="center"/>
        </w:trPr>
        <w:tc>
          <w:tcPr>
            <w:tcW w:w="5338"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 xml:space="preserve">Fondos rotatorios por pagar a </w:t>
            </w:r>
            <w:proofErr w:type="spellStart"/>
            <w:r w:rsidRPr="00BC2ADE">
              <w:rPr>
                <w:rFonts w:asciiTheme="minorHAnsi" w:hAnsiTheme="minorHAnsi" w:cs="Arial"/>
                <w:color w:val="000000"/>
                <w:sz w:val="20"/>
                <w:szCs w:val="20"/>
              </w:rPr>
              <w:t>cp</w:t>
            </w:r>
            <w:proofErr w:type="spellEnd"/>
          </w:p>
        </w:tc>
        <w:tc>
          <w:tcPr>
            <w:tcW w:w="1853"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16,539,663 </w:t>
            </w:r>
          </w:p>
        </w:tc>
        <w:tc>
          <w:tcPr>
            <w:tcW w:w="146"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16,417,000 </w:t>
            </w:r>
          </w:p>
        </w:tc>
      </w:tr>
      <w:tr w:rsidR="00BC2ADE" w:rsidRPr="00BC2ADE" w:rsidTr="008F5A9C">
        <w:trPr>
          <w:trHeight w:val="230"/>
          <w:jc w:val="center"/>
        </w:trPr>
        <w:tc>
          <w:tcPr>
            <w:tcW w:w="5338"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 xml:space="preserve">Ministraciones de fondos por pagar a </w:t>
            </w:r>
            <w:proofErr w:type="spellStart"/>
            <w:r w:rsidRPr="00BC2ADE">
              <w:rPr>
                <w:rFonts w:asciiTheme="minorHAnsi" w:hAnsiTheme="minorHAnsi" w:cs="Arial"/>
                <w:color w:val="000000"/>
                <w:sz w:val="20"/>
                <w:szCs w:val="20"/>
              </w:rPr>
              <w:t>cp</w:t>
            </w:r>
            <w:proofErr w:type="spellEnd"/>
          </w:p>
        </w:tc>
        <w:tc>
          <w:tcPr>
            <w:tcW w:w="1853"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1,697,156,362 </w:t>
            </w:r>
          </w:p>
        </w:tc>
        <w:tc>
          <w:tcPr>
            <w:tcW w:w="146"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1,508,446,390 </w:t>
            </w:r>
          </w:p>
        </w:tc>
      </w:tr>
      <w:tr w:rsidR="00BC2ADE" w:rsidRPr="00BC2ADE" w:rsidTr="008F5A9C">
        <w:trPr>
          <w:trHeight w:val="230"/>
          <w:jc w:val="center"/>
        </w:trPr>
        <w:tc>
          <w:tcPr>
            <w:tcW w:w="5338"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Cuentas por pagar por préstamos otorgados</w:t>
            </w:r>
          </w:p>
        </w:tc>
        <w:tc>
          <w:tcPr>
            <w:tcW w:w="1853"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474,251,429 </w:t>
            </w:r>
          </w:p>
        </w:tc>
        <w:tc>
          <w:tcPr>
            <w:tcW w:w="146"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547"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387,411,542 </w:t>
            </w:r>
          </w:p>
        </w:tc>
      </w:tr>
      <w:tr w:rsidR="00BC2ADE" w:rsidRPr="00BC2ADE" w:rsidTr="008F5A9C">
        <w:trPr>
          <w:trHeight w:val="230"/>
          <w:jc w:val="center"/>
        </w:trPr>
        <w:tc>
          <w:tcPr>
            <w:tcW w:w="5338" w:type="dxa"/>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 xml:space="preserve">Otras cuentas por pagar a </w:t>
            </w:r>
            <w:proofErr w:type="spellStart"/>
            <w:r w:rsidRPr="00BC2ADE">
              <w:rPr>
                <w:rFonts w:asciiTheme="minorHAnsi" w:hAnsiTheme="minorHAnsi" w:cs="Arial"/>
                <w:color w:val="000000"/>
                <w:sz w:val="20"/>
                <w:szCs w:val="20"/>
              </w:rPr>
              <w:t>cp</w:t>
            </w:r>
            <w:proofErr w:type="spellEnd"/>
          </w:p>
        </w:tc>
        <w:tc>
          <w:tcPr>
            <w:tcW w:w="1853" w:type="dxa"/>
            <w:tcBorders>
              <w:bottom w:val="single" w:sz="4" w:space="0" w:color="auto"/>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4,013,575,889 </w:t>
            </w:r>
          </w:p>
        </w:tc>
        <w:tc>
          <w:tcPr>
            <w:tcW w:w="146" w:type="dxa"/>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547" w:type="dxa"/>
            <w:tcBorders>
              <w:bottom w:val="single" w:sz="4" w:space="0" w:color="auto"/>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3,241,515,432 </w:t>
            </w:r>
          </w:p>
        </w:tc>
      </w:tr>
      <w:tr w:rsidR="00BC2ADE" w:rsidRPr="00BC2ADE" w:rsidTr="008F5A9C">
        <w:trPr>
          <w:trHeight w:val="241"/>
          <w:jc w:val="center"/>
        </w:trPr>
        <w:tc>
          <w:tcPr>
            <w:tcW w:w="5338" w:type="dxa"/>
            <w:shd w:val="clear" w:color="auto" w:fill="auto"/>
            <w:noWrap/>
            <w:vAlign w:val="bottom"/>
            <w:hideMark/>
          </w:tcPr>
          <w:p w:rsidR="00BC2ADE" w:rsidRPr="00BC2ADE" w:rsidRDefault="00BC2ADE" w:rsidP="008F5A9C">
            <w:pPr>
              <w:jc w:val="center"/>
              <w:rPr>
                <w:rFonts w:asciiTheme="minorHAnsi" w:hAnsiTheme="minorHAnsi" w:cs="Arial"/>
                <w:b/>
                <w:color w:val="000000"/>
                <w:sz w:val="20"/>
                <w:szCs w:val="20"/>
              </w:rPr>
            </w:pPr>
            <w:r w:rsidRPr="00BC2ADE">
              <w:rPr>
                <w:rFonts w:asciiTheme="minorHAnsi" w:hAnsiTheme="minorHAnsi" w:cs="Arial"/>
                <w:b/>
                <w:color w:val="000000"/>
                <w:sz w:val="20"/>
                <w:szCs w:val="20"/>
              </w:rPr>
              <w:t>SUMAS</w:t>
            </w:r>
          </w:p>
        </w:tc>
        <w:tc>
          <w:tcPr>
            <w:tcW w:w="1853" w:type="dxa"/>
            <w:tcBorders>
              <w:top w:val="single" w:sz="4" w:space="0" w:color="auto"/>
              <w:bottom w:val="double" w:sz="4" w:space="0" w:color="auto"/>
            </w:tcBorders>
            <w:shd w:val="clear" w:color="auto" w:fill="auto"/>
            <w:noWrap/>
            <w:vAlign w:val="bottom"/>
            <w:hideMark/>
          </w:tcPr>
          <w:p w:rsidR="00BC2ADE" w:rsidRPr="00BC2ADE" w:rsidRDefault="00BC2ADE" w:rsidP="008F5A9C">
            <w:pPr>
              <w:jc w:val="right"/>
              <w:rPr>
                <w:rFonts w:asciiTheme="minorHAnsi" w:hAnsiTheme="minorHAnsi" w:cs="Arial"/>
                <w:b/>
                <w:color w:val="000000"/>
                <w:sz w:val="20"/>
                <w:szCs w:val="20"/>
              </w:rPr>
            </w:pPr>
            <w:r w:rsidRPr="00BC2ADE">
              <w:rPr>
                <w:rFonts w:asciiTheme="minorHAnsi" w:hAnsiTheme="minorHAnsi" w:cs="Arial"/>
                <w:b/>
                <w:color w:val="000000"/>
                <w:sz w:val="20"/>
                <w:szCs w:val="20"/>
              </w:rPr>
              <w:t xml:space="preserve">15,211,947,532 </w:t>
            </w:r>
          </w:p>
        </w:tc>
        <w:tc>
          <w:tcPr>
            <w:tcW w:w="146" w:type="dxa"/>
            <w:shd w:val="clear" w:color="auto" w:fill="auto"/>
            <w:noWrap/>
            <w:vAlign w:val="bottom"/>
            <w:hideMark/>
          </w:tcPr>
          <w:p w:rsidR="00BC2ADE" w:rsidRPr="00BC2ADE" w:rsidRDefault="00BC2ADE" w:rsidP="008F5A9C">
            <w:pPr>
              <w:jc w:val="right"/>
              <w:rPr>
                <w:rFonts w:asciiTheme="minorHAnsi" w:hAnsiTheme="minorHAnsi" w:cs="Arial"/>
                <w:b/>
                <w:color w:val="000000"/>
                <w:sz w:val="20"/>
                <w:szCs w:val="20"/>
              </w:rPr>
            </w:pPr>
          </w:p>
        </w:tc>
        <w:tc>
          <w:tcPr>
            <w:tcW w:w="1547" w:type="dxa"/>
            <w:tcBorders>
              <w:top w:val="single" w:sz="4" w:space="0" w:color="auto"/>
              <w:bottom w:val="double" w:sz="4" w:space="0" w:color="auto"/>
            </w:tcBorders>
            <w:shd w:val="clear" w:color="auto" w:fill="auto"/>
            <w:noWrap/>
            <w:vAlign w:val="bottom"/>
            <w:hideMark/>
          </w:tcPr>
          <w:p w:rsidR="00BC2ADE" w:rsidRPr="00BC2ADE" w:rsidRDefault="00BC2ADE" w:rsidP="008F5A9C">
            <w:pPr>
              <w:jc w:val="right"/>
              <w:rPr>
                <w:rFonts w:asciiTheme="minorHAnsi" w:hAnsiTheme="minorHAnsi" w:cs="Arial"/>
                <w:b/>
                <w:color w:val="000000"/>
                <w:sz w:val="20"/>
                <w:szCs w:val="20"/>
              </w:rPr>
            </w:pPr>
            <w:r w:rsidRPr="00BC2ADE">
              <w:rPr>
                <w:rFonts w:asciiTheme="minorHAnsi" w:hAnsiTheme="minorHAnsi" w:cs="Arial"/>
                <w:b/>
                <w:color w:val="000000"/>
                <w:sz w:val="20"/>
                <w:szCs w:val="20"/>
              </w:rPr>
              <w:t xml:space="preserve">9,279,641,446 </w:t>
            </w:r>
          </w:p>
        </w:tc>
      </w:tr>
    </w:tbl>
    <w:p w:rsidR="00BC2ADE" w:rsidRPr="005152FF" w:rsidRDefault="00BC2ADE" w:rsidP="00BC2ADE">
      <w:pPr>
        <w:pStyle w:val="Sinespaciado"/>
        <w:spacing w:line="360" w:lineRule="auto"/>
        <w:jc w:val="both"/>
        <w:rPr>
          <w:rFonts w:ascii="Arial" w:hAnsi="Arial" w:cs="Arial"/>
          <w:b/>
          <w:sz w:val="24"/>
          <w:szCs w:val="24"/>
        </w:rPr>
      </w:pPr>
    </w:p>
    <w:p w:rsidR="00BC2ADE" w:rsidRDefault="00BC2ADE" w:rsidP="00BC2ADE">
      <w:pPr>
        <w:pStyle w:val="Sinespaciado"/>
        <w:spacing w:line="360" w:lineRule="auto"/>
        <w:jc w:val="both"/>
        <w:rPr>
          <w:rFonts w:ascii="Arial" w:hAnsi="Arial" w:cs="Arial"/>
          <w:b/>
          <w:sz w:val="24"/>
          <w:szCs w:val="24"/>
        </w:rPr>
      </w:pPr>
    </w:p>
    <w:p w:rsidR="00BC2ADE" w:rsidRDefault="00BC2ADE" w:rsidP="00BC2ADE">
      <w:pPr>
        <w:rPr>
          <w:rFonts w:ascii="Arial" w:hAnsi="Arial" w:cs="Arial"/>
          <w:b/>
        </w:rPr>
      </w:pPr>
    </w:p>
    <w:p w:rsidR="00BC2ADE" w:rsidRPr="005152FF" w:rsidRDefault="00BC2ADE" w:rsidP="00BC2ADE">
      <w:pPr>
        <w:rPr>
          <w:rFonts w:ascii="Arial" w:hAnsi="Arial" w:cs="Arial"/>
          <w:b/>
        </w:rPr>
      </w:pPr>
      <w:r w:rsidRPr="005152FF">
        <w:rPr>
          <w:rFonts w:ascii="Arial" w:hAnsi="Arial" w:cs="Arial"/>
          <w:b/>
        </w:rPr>
        <w:t>Nota.- Cuentas por Pagar a Largo Plazo.</w:t>
      </w:r>
    </w:p>
    <w:p w:rsidR="00BC2ADE" w:rsidRPr="005152FF" w:rsidRDefault="00BC2ADE" w:rsidP="00BC2ADE">
      <w:pPr>
        <w:pStyle w:val="Sinespaciado"/>
        <w:spacing w:line="360" w:lineRule="auto"/>
        <w:jc w:val="both"/>
        <w:rPr>
          <w:rFonts w:ascii="Arial" w:hAnsi="Arial" w:cs="Arial"/>
          <w:b/>
          <w:sz w:val="24"/>
          <w:szCs w:val="24"/>
        </w:rPr>
      </w:pPr>
    </w:p>
    <w:tbl>
      <w:tblPr>
        <w:tblW w:w="7868" w:type="dxa"/>
        <w:jc w:val="center"/>
        <w:tblCellMar>
          <w:left w:w="70" w:type="dxa"/>
          <w:right w:w="70" w:type="dxa"/>
        </w:tblCellMar>
        <w:tblLook w:val="04A0"/>
      </w:tblPr>
      <w:tblGrid>
        <w:gridCol w:w="5057"/>
        <w:gridCol w:w="1334"/>
        <w:gridCol w:w="222"/>
        <w:gridCol w:w="1255"/>
      </w:tblGrid>
      <w:tr w:rsidR="00BC2ADE" w:rsidRPr="00BC2ADE" w:rsidTr="008F5A9C">
        <w:trPr>
          <w:trHeight w:val="263"/>
          <w:jc w:val="center"/>
        </w:trPr>
        <w:tc>
          <w:tcPr>
            <w:tcW w:w="5057" w:type="dxa"/>
            <w:tcBorders>
              <w:top w:val="nil"/>
              <w:left w:val="nil"/>
              <w:bottom w:val="nil"/>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CONCEPTO</w:t>
            </w:r>
          </w:p>
        </w:tc>
        <w:tc>
          <w:tcPr>
            <w:tcW w:w="1334" w:type="dxa"/>
            <w:tcBorders>
              <w:top w:val="nil"/>
              <w:left w:val="nil"/>
              <w:bottom w:val="single" w:sz="4" w:space="0" w:color="auto"/>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2015</w:t>
            </w:r>
          </w:p>
        </w:tc>
        <w:tc>
          <w:tcPr>
            <w:tcW w:w="222" w:type="dxa"/>
            <w:tcBorders>
              <w:top w:val="nil"/>
              <w:left w:val="nil"/>
              <w:bottom w:val="nil"/>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p>
        </w:tc>
        <w:tc>
          <w:tcPr>
            <w:tcW w:w="1255" w:type="dxa"/>
            <w:tcBorders>
              <w:top w:val="nil"/>
              <w:left w:val="nil"/>
              <w:bottom w:val="single" w:sz="4" w:space="0" w:color="auto"/>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2014</w:t>
            </w:r>
          </w:p>
        </w:tc>
      </w:tr>
      <w:tr w:rsidR="00BC2ADE" w:rsidRPr="00BC2ADE" w:rsidTr="008F5A9C">
        <w:trPr>
          <w:trHeight w:val="528"/>
          <w:jc w:val="center"/>
        </w:trPr>
        <w:tc>
          <w:tcPr>
            <w:tcW w:w="5057" w:type="dxa"/>
            <w:tcBorders>
              <w:top w:val="nil"/>
              <w:left w:val="nil"/>
              <w:bottom w:val="nil"/>
              <w:right w:val="nil"/>
            </w:tcBorders>
            <w:shd w:val="clear" w:color="auto" w:fill="auto"/>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 xml:space="preserve">Deudas por adquisición de bienes y contratación de servicios por pagar a </w:t>
            </w:r>
            <w:proofErr w:type="spellStart"/>
            <w:r w:rsidRPr="00BC2ADE">
              <w:rPr>
                <w:rFonts w:asciiTheme="minorHAnsi" w:hAnsiTheme="minorHAnsi" w:cs="Arial"/>
                <w:color w:val="000000"/>
                <w:sz w:val="20"/>
                <w:szCs w:val="20"/>
              </w:rPr>
              <w:t>l.p.</w:t>
            </w:r>
            <w:proofErr w:type="spellEnd"/>
          </w:p>
        </w:tc>
        <w:tc>
          <w:tcPr>
            <w:tcW w:w="1334"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     25,339,622</w:t>
            </w:r>
          </w:p>
        </w:tc>
        <w:tc>
          <w:tcPr>
            <w:tcW w:w="222"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255"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28,810,780</w:t>
            </w:r>
          </w:p>
        </w:tc>
      </w:tr>
      <w:tr w:rsidR="00BC2ADE" w:rsidRPr="00BC2ADE" w:rsidTr="008F5A9C">
        <w:trPr>
          <w:trHeight w:val="277"/>
          <w:jc w:val="center"/>
        </w:trPr>
        <w:tc>
          <w:tcPr>
            <w:tcW w:w="5057" w:type="dxa"/>
            <w:tcBorders>
              <w:top w:val="nil"/>
              <w:left w:val="nil"/>
              <w:bottom w:val="nil"/>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SUMAS</w:t>
            </w:r>
          </w:p>
        </w:tc>
        <w:tc>
          <w:tcPr>
            <w:tcW w:w="1334" w:type="dxa"/>
            <w:tcBorders>
              <w:top w:val="single" w:sz="4" w:space="0" w:color="auto"/>
              <w:left w:val="nil"/>
              <w:bottom w:val="double" w:sz="6" w:space="0" w:color="auto"/>
              <w:right w:val="nil"/>
            </w:tcBorders>
            <w:shd w:val="clear" w:color="auto" w:fill="auto"/>
            <w:noWrap/>
            <w:vAlign w:val="bottom"/>
            <w:hideMark/>
          </w:tcPr>
          <w:p w:rsidR="00BC2ADE" w:rsidRPr="00BC2ADE" w:rsidRDefault="00BC2ADE" w:rsidP="008F5A9C">
            <w:pPr>
              <w:jc w:val="right"/>
              <w:rPr>
                <w:rFonts w:asciiTheme="minorHAnsi" w:hAnsiTheme="minorHAnsi" w:cs="Arial"/>
                <w:b/>
                <w:bCs/>
                <w:color w:val="000000"/>
                <w:sz w:val="20"/>
                <w:szCs w:val="20"/>
              </w:rPr>
            </w:pPr>
            <w:r w:rsidRPr="00BC2ADE">
              <w:rPr>
                <w:rFonts w:asciiTheme="minorHAnsi" w:hAnsiTheme="minorHAnsi" w:cs="Arial"/>
                <w:b/>
                <w:bCs/>
                <w:color w:val="000000"/>
                <w:sz w:val="20"/>
                <w:szCs w:val="20"/>
              </w:rPr>
              <w:t>25,339,622</w:t>
            </w:r>
          </w:p>
        </w:tc>
        <w:tc>
          <w:tcPr>
            <w:tcW w:w="222"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b/>
                <w:bCs/>
                <w:color w:val="000000"/>
                <w:sz w:val="20"/>
                <w:szCs w:val="20"/>
              </w:rPr>
            </w:pPr>
          </w:p>
        </w:tc>
        <w:tc>
          <w:tcPr>
            <w:tcW w:w="1255" w:type="dxa"/>
            <w:tcBorders>
              <w:top w:val="single" w:sz="4" w:space="0" w:color="auto"/>
              <w:left w:val="nil"/>
              <w:bottom w:val="double" w:sz="6" w:space="0" w:color="auto"/>
              <w:right w:val="nil"/>
            </w:tcBorders>
            <w:shd w:val="clear" w:color="auto" w:fill="auto"/>
            <w:noWrap/>
            <w:vAlign w:val="bottom"/>
            <w:hideMark/>
          </w:tcPr>
          <w:p w:rsidR="00BC2ADE" w:rsidRPr="00BC2ADE" w:rsidRDefault="00BC2ADE" w:rsidP="008F5A9C">
            <w:pPr>
              <w:jc w:val="right"/>
              <w:rPr>
                <w:rFonts w:asciiTheme="minorHAnsi" w:hAnsiTheme="minorHAnsi" w:cs="Arial"/>
                <w:b/>
                <w:bCs/>
                <w:color w:val="000000"/>
                <w:sz w:val="20"/>
                <w:szCs w:val="20"/>
              </w:rPr>
            </w:pPr>
            <w:r w:rsidRPr="00BC2ADE">
              <w:rPr>
                <w:rFonts w:asciiTheme="minorHAnsi" w:hAnsiTheme="minorHAnsi" w:cs="Arial"/>
                <w:b/>
                <w:bCs/>
                <w:color w:val="000000"/>
                <w:sz w:val="20"/>
                <w:szCs w:val="20"/>
              </w:rPr>
              <w:t>28,810,780</w:t>
            </w:r>
          </w:p>
        </w:tc>
      </w:tr>
    </w:tbl>
    <w:p w:rsidR="00BC2ADE" w:rsidRPr="005152FF" w:rsidRDefault="00BC2ADE" w:rsidP="00BC2ADE">
      <w:pPr>
        <w:pStyle w:val="Sinespaciado"/>
        <w:tabs>
          <w:tab w:val="left" w:pos="3451"/>
          <w:tab w:val="left" w:pos="6806"/>
        </w:tabs>
        <w:spacing w:line="360" w:lineRule="auto"/>
        <w:jc w:val="both"/>
        <w:rPr>
          <w:rFonts w:ascii="Arial" w:hAnsi="Arial" w:cs="Arial"/>
          <w:b/>
          <w:sz w:val="24"/>
          <w:szCs w:val="24"/>
        </w:rPr>
      </w:pPr>
    </w:p>
    <w:p w:rsidR="00BC2ADE" w:rsidRDefault="00BC2ADE" w:rsidP="00BC2ADE">
      <w:pPr>
        <w:pStyle w:val="Sinespaciado"/>
        <w:tabs>
          <w:tab w:val="left" w:pos="3451"/>
          <w:tab w:val="left" w:pos="6806"/>
        </w:tabs>
        <w:spacing w:line="360" w:lineRule="auto"/>
        <w:jc w:val="both"/>
        <w:rPr>
          <w:rFonts w:ascii="Arial" w:hAnsi="Arial" w:cs="Arial"/>
          <w:b/>
          <w:sz w:val="24"/>
          <w:szCs w:val="24"/>
        </w:rPr>
      </w:pPr>
      <w:r w:rsidRPr="005152FF">
        <w:rPr>
          <w:rFonts w:ascii="Arial" w:hAnsi="Arial" w:cs="Arial"/>
          <w:b/>
          <w:sz w:val="24"/>
          <w:szCs w:val="24"/>
        </w:rPr>
        <w:t>Nota.- Deuda Pública a Largo Plazo.</w:t>
      </w:r>
    </w:p>
    <w:p w:rsidR="00BC2ADE" w:rsidRPr="005152FF" w:rsidRDefault="00BC2ADE" w:rsidP="00BC2ADE">
      <w:pPr>
        <w:pStyle w:val="Sinespaciado"/>
        <w:tabs>
          <w:tab w:val="left" w:pos="3451"/>
          <w:tab w:val="left" w:pos="6806"/>
        </w:tabs>
        <w:spacing w:line="360" w:lineRule="auto"/>
        <w:jc w:val="both"/>
        <w:rPr>
          <w:rFonts w:ascii="Arial" w:hAnsi="Arial" w:cs="Arial"/>
          <w:b/>
          <w:sz w:val="24"/>
          <w:szCs w:val="24"/>
        </w:rPr>
      </w:pPr>
    </w:p>
    <w:p w:rsidR="00BC2ADE" w:rsidRPr="005152FF" w:rsidRDefault="00BC2ADE" w:rsidP="00BC2ADE">
      <w:pPr>
        <w:pStyle w:val="Sinespaciado"/>
        <w:spacing w:line="360" w:lineRule="auto"/>
        <w:jc w:val="both"/>
        <w:rPr>
          <w:rFonts w:ascii="Arial" w:hAnsi="Arial" w:cs="Arial"/>
          <w:sz w:val="24"/>
          <w:szCs w:val="24"/>
        </w:rPr>
      </w:pPr>
      <w:r w:rsidRPr="005152FF">
        <w:rPr>
          <w:rFonts w:ascii="Arial" w:hAnsi="Arial" w:cs="Arial"/>
          <w:sz w:val="24"/>
          <w:szCs w:val="24"/>
        </w:rPr>
        <w:t xml:space="preserve">El saldo de esta cuenta representa el monto de las obligaciones directas o contingentes, derivadas de financiamiento a cargo del Estado. </w:t>
      </w:r>
    </w:p>
    <w:p w:rsidR="00BC2ADE" w:rsidRPr="005152FF" w:rsidRDefault="00BC2ADE" w:rsidP="00BC2ADE">
      <w:pPr>
        <w:pStyle w:val="Sinespaciado"/>
        <w:spacing w:line="360" w:lineRule="auto"/>
        <w:jc w:val="both"/>
        <w:rPr>
          <w:rFonts w:ascii="Arial" w:hAnsi="Arial" w:cs="Arial"/>
          <w:sz w:val="24"/>
          <w:szCs w:val="24"/>
        </w:rPr>
      </w:pPr>
      <w:r w:rsidRPr="005152FF">
        <w:rPr>
          <w:rFonts w:ascii="Arial" w:hAnsi="Arial" w:cs="Arial"/>
          <w:sz w:val="24"/>
          <w:szCs w:val="24"/>
        </w:rPr>
        <w:t>Los saldos de esta cuenta se integran de la siguiente manera:</w:t>
      </w:r>
    </w:p>
    <w:p w:rsidR="00BC2ADE" w:rsidRPr="005152FF" w:rsidRDefault="00BC2ADE" w:rsidP="00BC2ADE">
      <w:pPr>
        <w:pStyle w:val="Sinespaciado"/>
        <w:spacing w:line="360" w:lineRule="auto"/>
        <w:jc w:val="both"/>
        <w:rPr>
          <w:rFonts w:ascii="Arial" w:hAnsi="Arial" w:cs="Arial"/>
          <w:sz w:val="24"/>
          <w:szCs w:val="24"/>
        </w:rPr>
      </w:pPr>
    </w:p>
    <w:tbl>
      <w:tblPr>
        <w:tblW w:w="7695" w:type="dxa"/>
        <w:jc w:val="center"/>
        <w:tblCellMar>
          <w:left w:w="70" w:type="dxa"/>
          <w:right w:w="70" w:type="dxa"/>
        </w:tblCellMar>
        <w:tblLook w:val="04A0"/>
      </w:tblPr>
      <w:tblGrid>
        <w:gridCol w:w="4297"/>
        <w:gridCol w:w="1623"/>
        <w:gridCol w:w="151"/>
        <w:gridCol w:w="1624"/>
      </w:tblGrid>
      <w:tr w:rsidR="00BC2ADE" w:rsidRPr="00BC2ADE" w:rsidTr="008F5A9C">
        <w:trPr>
          <w:trHeight w:val="270"/>
          <w:jc w:val="center"/>
        </w:trPr>
        <w:tc>
          <w:tcPr>
            <w:tcW w:w="4297" w:type="dxa"/>
            <w:vMerge w:val="restart"/>
            <w:tcBorders>
              <w:top w:val="nil"/>
              <w:left w:val="nil"/>
              <w:bottom w:val="nil"/>
              <w:right w:val="nil"/>
            </w:tcBorders>
            <w:shd w:val="clear" w:color="auto" w:fill="auto"/>
            <w:vAlign w:val="center"/>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CONCEPTO</w:t>
            </w:r>
          </w:p>
        </w:tc>
        <w:tc>
          <w:tcPr>
            <w:tcW w:w="3398" w:type="dxa"/>
            <w:gridSpan w:val="3"/>
            <w:tcBorders>
              <w:top w:val="nil"/>
              <w:left w:val="nil"/>
              <w:bottom w:val="nil"/>
              <w:right w:val="nil"/>
            </w:tcBorders>
            <w:shd w:val="clear" w:color="auto" w:fill="auto"/>
            <w:noWrap/>
            <w:vAlign w:val="center"/>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Saldo Al 30 de Julio</w:t>
            </w:r>
          </w:p>
        </w:tc>
      </w:tr>
      <w:tr w:rsidR="00BC2ADE" w:rsidRPr="00BC2ADE" w:rsidTr="008F5A9C">
        <w:trPr>
          <w:trHeight w:val="270"/>
          <w:jc w:val="center"/>
        </w:trPr>
        <w:tc>
          <w:tcPr>
            <w:tcW w:w="4297" w:type="dxa"/>
            <w:vMerge/>
            <w:tcBorders>
              <w:top w:val="nil"/>
              <w:left w:val="nil"/>
              <w:bottom w:val="nil"/>
              <w:right w:val="nil"/>
            </w:tcBorders>
            <w:vAlign w:val="center"/>
            <w:hideMark/>
          </w:tcPr>
          <w:p w:rsidR="00BC2ADE" w:rsidRPr="00BC2ADE" w:rsidRDefault="00BC2ADE" w:rsidP="008F5A9C">
            <w:pPr>
              <w:rPr>
                <w:rFonts w:asciiTheme="minorHAnsi" w:hAnsiTheme="minorHAnsi" w:cs="Arial"/>
                <w:b/>
                <w:bCs/>
                <w:color w:val="000000"/>
                <w:sz w:val="20"/>
                <w:szCs w:val="20"/>
              </w:rPr>
            </w:pPr>
          </w:p>
        </w:tc>
        <w:tc>
          <w:tcPr>
            <w:tcW w:w="1623" w:type="dxa"/>
            <w:tcBorders>
              <w:top w:val="nil"/>
              <w:left w:val="nil"/>
              <w:bottom w:val="single" w:sz="4" w:space="0" w:color="auto"/>
              <w:right w:val="nil"/>
            </w:tcBorders>
            <w:shd w:val="clear" w:color="auto" w:fill="auto"/>
            <w:noWrap/>
            <w:vAlign w:val="center"/>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2015</w:t>
            </w:r>
          </w:p>
        </w:tc>
        <w:tc>
          <w:tcPr>
            <w:tcW w:w="151" w:type="dxa"/>
            <w:tcBorders>
              <w:top w:val="nil"/>
              <w:left w:val="nil"/>
              <w:bottom w:val="nil"/>
              <w:right w:val="nil"/>
            </w:tcBorders>
            <w:shd w:val="clear" w:color="auto" w:fill="auto"/>
            <w:noWrap/>
            <w:vAlign w:val="center"/>
            <w:hideMark/>
          </w:tcPr>
          <w:p w:rsidR="00BC2ADE" w:rsidRPr="00BC2ADE" w:rsidRDefault="00BC2ADE" w:rsidP="008F5A9C">
            <w:pPr>
              <w:jc w:val="center"/>
              <w:rPr>
                <w:rFonts w:asciiTheme="minorHAnsi" w:hAnsiTheme="minorHAnsi" w:cs="Arial"/>
                <w:b/>
                <w:bCs/>
                <w:color w:val="000000"/>
                <w:sz w:val="20"/>
                <w:szCs w:val="20"/>
              </w:rPr>
            </w:pPr>
          </w:p>
        </w:tc>
        <w:tc>
          <w:tcPr>
            <w:tcW w:w="1624" w:type="dxa"/>
            <w:tcBorders>
              <w:top w:val="nil"/>
              <w:left w:val="nil"/>
              <w:bottom w:val="single" w:sz="4" w:space="0" w:color="auto"/>
              <w:right w:val="nil"/>
            </w:tcBorders>
            <w:shd w:val="clear" w:color="auto" w:fill="auto"/>
            <w:noWrap/>
            <w:vAlign w:val="center"/>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2014</w:t>
            </w:r>
          </w:p>
        </w:tc>
      </w:tr>
      <w:tr w:rsidR="00BC2ADE" w:rsidRPr="00BC2ADE" w:rsidTr="008F5A9C">
        <w:trPr>
          <w:trHeight w:val="256"/>
          <w:jc w:val="center"/>
        </w:trPr>
        <w:tc>
          <w:tcPr>
            <w:tcW w:w="4297" w:type="dxa"/>
            <w:tcBorders>
              <w:top w:val="nil"/>
              <w:left w:val="nil"/>
              <w:bottom w:val="nil"/>
              <w:right w:val="nil"/>
            </w:tcBorders>
            <w:shd w:val="clear" w:color="auto" w:fill="auto"/>
            <w:noWrap/>
            <w:vAlign w:val="center"/>
            <w:hideMark/>
          </w:tcPr>
          <w:p w:rsidR="00BC2ADE" w:rsidRPr="00BC2ADE" w:rsidRDefault="00BC2ADE" w:rsidP="008F5A9C">
            <w:pPr>
              <w:jc w:val="center"/>
              <w:rPr>
                <w:rFonts w:asciiTheme="minorHAnsi" w:hAnsiTheme="minorHAnsi" w:cs="Arial"/>
                <w:b/>
                <w:bCs/>
                <w:color w:val="000000"/>
                <w:sz w:val="20"/>
                <w:szCs w:val="20"/>
              </w:rPr>
            </w:pPr>
          </w:p>
        </w:tc>
        <w:tc>
          <w:tcPr>
            <w:tcW w:w="1623" w:type="dxa"/>
            <w:tcBorders>
              <w:top w:val="nil"/>
              <w:left w:val="nil"/>
              <w:bottom w:val="nil"/>
              <w:right w:val="nil"/>
            </w:tcBorders>
            <w:shd w:val="clear" w:color="auto" w:fill="auto"/>
            <w:noWrap/>
            <w:vAlign w:val="center"/>
            <w:hideMark/>
          </w:tcPr>
          <w:p w:rsidR="00BC2ADE" w:rsidRPr="00BC2ADE" w:rsidRDefault="00BC2ADE" w:rsidP="008F5A9C">
            <w:pPr>
              <w:rPr>
                <w:rFonts w:asciiTheme="minorHAnsi" w:hAnsiTheme="minorHAnsi"/>
                <w:sz w:val="20"/>
                <w:szCs w:val="20"/>
              </w:rPr>
            </w:pPr>
          </w:p>
        </w:tc>
        <w:tc>
          <w:tcPr>
            <w:tcW w:w="151" w:type="dxa"/>
            <w:tcBorders>
              <w:top w:val="nil"/>
              <w:left w:val="nil"/>
              <w:bottom w:val="nil"/>
              <w:right w:val="nil"/>
            </w:tcBorders>
            <w:shd w:val="clear" w:color="auto" w:fill="auto"/>
            <w:noWrap/>
            <w:vAlign w:val="center"/>
            <w:hideMark/>
          </w:tcPr>
          <w:p w:rsidR="00BC2ADE" w:rsidRPr="00BC2ADE" w:rsidRDefault="00BC2ADE" w:rsidP="008F5A9C">
            <w:pPr>
              <w:rPr>
                <w:rFonts w:asciiTheme="minorHAnsi" w:hAnsiTheme="minorHAnsi"/>
                <w:sz w:val="20"/>
                <w:szCs w:val="20"/>
              </w:rPr>
            </w:pPr>
          </w:p>
        </w:tc>
        <w:tc>
          <w:tcPr>
            <w:tcW w:w="1624" w:type="dxa"/>
            <w:tcBorders>
              <w:top w:val="nil"/>
              <w:left w:val="nil"/>
              <w:bottom w:val="nil"/>
              <w:right w:val="nil"/>
            </w:tcBorders>
            <w:shd w:val="clear" w:color="auto" w:fill="auto"/>
            <w:noWrap/>
            <w:vAlign w:val="center"/>
            <w:hideMark/>
          </w:tcPr>
          <w:p w:rsidR="00BC2ADE" w:rsidRPr="00BC2ADE" w:rsidRDefault="00BC2ADE" w:rsidP="008F5A9C">
            <w:pPr>
              <w:rPr>
                <w:rFonts w:asciiTheme="minorHAnsi" w:hAnsiTheme="minorHAnsi"/>
                <w:sz w:val="20"/>
                <w:szCs w:val="20"/>
              </w:rPr>
            </w:pPr>
          </w:p>
        </w:tc>
      </w:tr>
      <w:tr w:rsidR="00BC2ADE" w:rsidRPr="00BC2ADE" w:rsidTr="008F5A9C">
        <w:trPr>
          <w:trHeight w:val="256"/>
          <w:jc w:val="center"/>
        </w:trPr>
        <w:tc>
          <w:tcPr>
            <w:tcW w:w="4297" w:type="dxa"/>
            <w:tcBorders>
              <w:top w:val="nil"/>
              <w:left w:val="nil"/>
              <w:bottom w:val="nil"/>
              <w:right w:val="nil"/>
            </w:tcBorders>
            <w:shd w:val="clear" w:color="auto" w:fill="auto"/>
            <w:noWrap/>
            <w:vAlign w:val="center"/>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Certificados Bursátiles Oaxaca 11</w:t>
            </w:r>
          </w:p>
        </w:tc>
        <w:tc>
          <w:tcPr>
            <w:tcW w:w="1623" w:type="dxa"/>
            <w:tcBorders>
              <w:top w:val="nil"/>
              <w:left w:val="nil"/>
              <w:bottom w:val="nil"/>
              <w:right w:val="nil"/>
            </w:tcBorders>
            <w:shd w:val="clear" w:color="auto" w:fill="auto"/>
            <w:noWrap/>
            <w:vAlign w:val="center"/>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1,649,887,800</w:t>
            </w:r>
          </w:p>
        </w:tc>
        <w:tc>
          <w:tcPr>
            <w:tcW w:w="151" w:type="dxa"/>
            <w:tcBorders>
              <w:top w:val="nil"/>
              <w:left w:val="nil"/>
              <w:bottom w:val="nil"/>
              <w:right w:val="nil"/>
            </w:tcBorders>
            <w:shd w:val="clear" w:color="auto" w:fill="auto"/>
            <w:noWrap/>
            <w:vAlign w:val="center"/>
            <w:hideMark/>
          </w:tcPr>
          <w:p w:rsidR="00BC2ADE" w:rsidRPr="00BC2ADE" w:rsidRDefault="00BC2ADE" w:rsidP="008F5A9C">
            <w:pPr>
              <w:jc w:val="right"/>
              <w:rPr>
                <w:rFonts w:asciiTheme="minorHAnsi" w:hAnsiTheme="minorHAnsi" w:cs="Arial"/>
                <w:color w:val="000000"/>
                <w:sz w:val="20"/>
                <w:szCs w:val="20"/>
              </w:rPr>
            </w:pPr>
          </w:p>
        </w:tc>
        <w:tc>
          <w:tcPr>
            <w:tcW w:w="1624" w:type="dxa"/>
            <w:tcBorders>
              <w:top w:val="nil"/>
              <w:left w:val="nil"/>
              <w:bottom w:val="nil"/>
              <w:right w:val="nil"/>
            </w:tcBorders>
            <w:shd w:val="clear" w:color="auto" w:fill="auto"/>
            <w:noWrap/>
            <w:vAlign w:val="center"/>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1,734,387,600</w:t>
            </w:r>
          </w:p>
        </w:tc>
      </w:tr>
      <w:tr w:rsidR="00BC2ADE" w:rsidRPr="00BC2ADE" w:rsidTr="008F5A9C">
        <w:trPr>
          <w:trHeight w:val="256"/>
          <w:jc w:val="center"/>
        </w:trPr>
        <w:tc>
          <w:tcPr>
            <w:tcW w:w="4297" w:type="dxa"/>
            <w:tcBorders>
              <w:top w:val="nil"/>
              <w:left w:val="nil"/>
              <w:bottom w:val="nil"/>
              <w:right w:val="nil"/>
            </w:tcBorders>
            <w:shd w:val="clear" w:color="auto" w:fill="auto"/>
            <w:noWrap/>
            <w:vAlign w:val="center"/>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Certificados Bursátiles Oaxaca 13</w:t>
            </w:r>
          </w:p>
        </w:tc>
        <w:tc>
          <w:tcPr>
            <w:tcW w:w="1623" w:type="dxa"/>
            <w:tcBorders>
              <w:top w:val="nil"/>
              <w:left w:val="nil"/>
              <w:bottom w:val="nil"/>
              <w:right w:val="nil"/>
            </w:tcBorders>
            <w:shd w:val="clear" w:color="auto" w:fill="auto"/>
            <w:noWrap/>
            <w:vAlign w:val="center"/>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1,145,632,528</w:t>
            </w:r>
          </w:p>
        </w:tc>
        <w:tc>
          <w:tcPr>
            <w:tcW w:w="151" w:type="dxa"/>
            <w:tcBorders>
              <w:top w:val="nil"/>
              <w:left w:val="nil"/>
              <w:bottom w:val="nil"/>
              <w:right w:val="nil"/>
            </w:tcBorders>
            <w:shd w:val="clear" w:color="auto" w:fill="auto"/>
            <w:noWrap/>
            <w:vAlign w:val="center"/>
            <w:hideMark/>
          </w:tcPr>
          <w:p w:rsidR="00BC2ADE" w:rsidRPr="00BC2ADE" w:rsidRDefault="00BC2ADE" w:rsidP="008F5A9C">
            <w:pPr>
              <w:jc w:val="right"/>
              <w:rPr>
                <w:rFonts w:asciiTheme="minorHAnsi" w:hAnsiTheme="minorHAnsi" w:cs="Arial"/>
                <w:color w:val="000000"/>
                <w:sz w:val="20"/>
                <w:szCs w:val="20"/>
              </w:rPr>
            </w:pPr>
          </w:p>
        </w:tc>
        <w:tc>
          <w:tcPr>
            <w:tcW w:w="1624" w:type="dxa"/>
            <w:tcBorders>
              <w:top w:val="nil"/>
              <w:left w:val="nil"/>
              <w:bottom w:val="nil"/>
              <w:right w:val="nil"/>
            </w:tcBorders>
            <w:shd w:val="clear" w:color="auto" w:fill="auto"/>
            <w:noWrap/>
            <w:vAlign w:val="center"/>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1,175,292,489</w:t>
            </w:r>
          </w:p>
        </w:tc>
      </w:tr>
      <w:tr w:rsidR="00BC2ADE" w:rsidRPr="00BC2ADE" w:rsidTr="008F5A9C">
        <w:trPr>
          <w:trHeight w:val="256"/>
          <w:jc w:val="center"/>
        </w:trPr>
        <w:tc>
          <w:tcPr>
            <w:tcW w:w="4297" w:type="dxa"/>
            <w:tcBorders>
              <w:top w:val="nil"/>
              <w:left w:val="nil"/>
              <w:bottom w:val="nil"/>
              <w:right w:val="nil"/>
            </w:tcBorders>
            <w:shd w:val="clear" w:color="auto" w:fill="auto"/>
            <w:noWrap/>
            <w:vAlign w:val="center"/>
            <w:hideMark/>
          </w:tcPr>
          <w:p w:rsidR="00BC2ADE" w:rsidRPr="00BC2ADE" w:rsidRDefault="00BC2ADE" w:rsidP="008F5A9C">
            <w:pPr>
              <w:rPr>
                <w:rFonts w:asciiTheme="minorHAnsi" w:hAnsiTheme="minorHAnsi" w:cs="Arial"/>
                <w:color w:val="000000"/>
                <w:sz w:val="20"/>
                <w:szCs w:val="20"/>
              </w:rPr>
            </w:pPr>
            <w:proofErr w:type="spellStart"/>
            <w:r w:rsidRPr="00BC2ADE">
              <w:rPr>
                <w:rFonts w:asciiTheme="minorHAnsi" w:hAnsiTheme="minorHAnsi" w:cs="Arial"/>
                <w:color w:val="000000"/>
                <w:sz w:val="20"/>
                <w:szCs w:val="20"/>
              </w:rPr>
              <w:t>Banobras</w:t>
            </w:r>
            <w:proofErr w:type="spellEnd"/>
          </w:p>
        </w:tc>
        <w:tc>
          <w:tcPr>
            <w:tcW w:w="1623" w:type="dxa"/>
            <w:tcBorders>
              <w:top w:val="nil"/>
              <w:left w:val="nil"/>
              <w:bottom w:val="nil"/>
              <w:right w:val="nil"/>
            </w:tcBorders>
            <w:shd w:val="clear" w:color="auto" w:fill="auto"/>
            <w:noWrap/>
            <w:vAlign w:val="center"/>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1,339,777,451</w:t>
            </w:r>
          </w:p>
        </w:tc>
        <w:tc>
          <w:tcPr>
            <w:tcW w:w="151" w:type="dxa"/>
            <w:tcBorders>
              <w:top w:val="nil"/>
              <w:left w:val="nil"/>
              <w:bottom w:val="nil"/>
              <w:right w:val="nil"/>
            </w:tcBorders>
            <w:shd w:val="clear" w:color="auto" w:fill="auto"/>
            <w:noWrap/>
            <w:vAlign w:val="center"/>
            <w:hideMark/>
          </w:tcPr>
          <w:p w:rsidR="00BC2ADE" w:rsidRPr="00BC2ADE" w:rsidRDefault="00BC2ADE" w:rsidP="008F5A9C">
            <w:pPr>
              <w:jc w:val="right"/>
              <w:rPr>
                <w:rFonts w:asciiTheme="minorHAnsi" w:hAnsiTheme="minorHAnsi" w:cs="Arial"/>
                <w:color w:val="000000"/>
                <w:sz w:val="20"/>
                <w:szCs w:val="20"/>
              </w:rPr>
            </w:pPr>
          </w:p>
        </w:tc>
        <w:tc>
          <w:tcPr>
            <w:tcW w:w="1624" w:type="dxa"/>
            <w:tcBorders>
              <w:top w:val="nil"/>
              <w:left w:val="nil"/>
              <w:bottom w:val="nil"/>
              <w:right w:val="nil"/>
            </w:tcBorders>
            <w:shd w:val="clear" w:color="auto" w:fill="auto"/>
            <w:noWrap/>
            <w:vAlign w:val="center"/>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1,428,604,028</w:t>
            </w:r>
          </w:p>
        </w:tc>
      </w:tr>
      <w:tr w:rsidR="00BC2ADE" w:rsidRPr="00BC2ADE" w:rsidTr="008F5A9C">
        <w:trPr>
          <w:trHeight w:val="256"/>
          <w:jc w:val="center"/>
        </w:trPr>
        <w:tc>
          <w:tcPr>
            <w:tcW w:w="4297" w:type="dxa"/>
            <w:tcBorders>
              <w:top w:val="nil"/>
              <w:left w:val="nil"/>
              <w:bottom w:val="nil"/>
              <w:right w:val="nil"/>
            </w:tcBorders>
            <w:shd w:val="clear" w:color="auto" w:fill="auto"/>
            <w:noWrap/>
            <w:vAlign w:val="center"/>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Interacciones</w:t>
            </w:r>
          </w:p>
        </w:tc>
        <w:tc>
          <w:tcPr>
            <w:tcW w:w="1623" w:type="dxa"/>
            <w:tcBorders>
              <w:top w:val="nil"/>
              <w:left w:val="nil"/>
              <w:bottom w:val="nil"/>
              <w:right w:val="nil"/>
            </w:tcBorders>
            <w:shd w:val="clear" w:color="auto" w:fill="auto"/>
            <w:noWrap/>
            <w:vAlign w:val="center"/>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109,036,006</w:t>
            </w:r>
          </w:p>
        </w:tc>
        <w:tc>
          <w:tcPr>
            <w:tcW w:w="151" w:type="dxa"/>
            <w:tcBorders>
              <w:top w:val="nil"/>
              <w:left w:val="nil"/>
              <w:bottom w:val="nil"/>
              <w:right w:val="nil"/>
            </w:tcBorders>
            <w:shd w:val="clear" w:color="auto" w:fill="auto"/>
            <w:noWrap/>
            <w:vAlign w:val="center"/>
            <w:hideMark/>
          </w:tcPr>
          <w:p w:rsidR="00BC2ADE" w:rsidRPr="00BC2ADE" w:rsidRDefault="00BC2ADE" w:rsidP="008F5A9C">
            <w:pPr>
              <w:jc w:val="right"/>
              <w:rPr>
                <w:rFonts w:asciiTheme="minorHAnsi" w:hAnsiTheme="minorHAnsi" w:cs="Arial"/>
                <w:color w:val="000000"/>
                <w:sz w:val="20"/>
                <w:szCs w:val="20"/>
              </w:rPr>
            </w:pPr>
          </w:p>
        </w:tc>
        <w:tc>
          <w:tcPr>
            <w:tcW w:w="1624" w:type="dxa"/>
            <w:tcBorders>
              <w:top w:val="nil"/>
              <w:left w:val="nil"/>
              <w:bottom w:val="nil"/>
              <w:right w:val="nil"/>
            </w:tcBorders>
            <w:shd w:val="clear" w:color="auto" w:fill="auto"/>
            <w:noWrap/>
            <w:vAlign w:val="center"/>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218,523,317</w:t>
            </w:r>
          </w:p>
        </w:tc>
      </w:tr>
      <w:tr w:rsidR="00BC2ADE" w:rsidRPr="00BC2ADE" w:rsidTr="008F5A9C">
        <w:trPr>
          <w:trHeight w:val="282"/>
          <w:jc w:val="center"/>
        </w:trPr>
        <w:tc>
          <w:tcPr>
            <w:tcW w:w="4297" w:type="dxa"/>
            <w:tcBorders>
              <w:top w:val="nil"/>
              <w:left w:val="nil"/>
              <w:bottom w:val="nil"/>
              <w:right w:val="nil"/>
            </w:tcBorders>
            <w:shd w:val="clear" w:color="auto" w:fill="auto"/>
            <w:noWrap/>
            <w:vAlign w:val="center"/>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SUMAS</w:t>
            </w:r>
          </w:p>
        </w:tc>
        <w:tc>
          <w:tcPr>
            <w:tcW w:w="1623" w:type="dxa"/>
            <w:tcBorders>
              <w:top w:val="single" w:sz="4" w:space="0" w:color="auto"/>
              <w:left w:val="nil"/>
              <w:bottom w:val="double" w:sz="6" w:space="0" w:color="auto"/>
              <w:right w:val="nil"/>
            </w:tcBorders>
            <w:shd w:val="clear" w:color="auto" w:fill="auto"/>
            <w:noWrap/>
            <w:vAlign w:val="center"/>
            <w:hideMark/>
          </w:tcPr>
          <w:p w:rsidR="00BC2ADE" w:rsidRPr="00BC2ADE" w:rsidRDefault="00BC2ADE" w:rsidP="008F5A9C">
            <w:pPr>
              <w:jc w:val="right"/>
              <w:rPr>
                <w:rFonts w:asciiTheme="minorHAnsi" w:hAnsiTheme="minorHAnsi" w:cs="Arial"/>
                <w:b/>
                <w:bCs/>
                <w:color w:val="000000"/>
                <w:sz w:val="20"/>
                <w:szCs w:val="20"/>
              </w:rPr>
            </w:pPr>
            <w:r w:rsidRPr="00BC2ADE">
              <w:rPr>
                <w:rFonts w:asciiTheme="minorHAnsi" w:hAnsiTheme="minorHAnsi" w:cs="Arial"/>
                <w:b/>
                <w:bCs/>
                <w:color w:val="000000"/>
                <w:sz w:val="20"/>
                <w:szCs w:val="20"/>
              </w:rPr>
              <w:t>4,244,333,785</w:t>
            </w:r>
          </w:p>
        </w:tc>
        <w:tc>
          <w:tcPr>
            <w:tcW w:w="151"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b/>
                <w:bCs/>
                <w:color w:val="000000"/>
                <w:sz w:val="20"/>
                <w:szCs w:val="20"/>
              </w:rPr>
            </w:pPr>
          </w:p>
        </w:tc>
        <w:tc>
          <w:tcPr>
            <w:tcW w:w="1624" w:type="dxa"/>
            <w:tcBorders>
              <w:top w:val="single" w:sz="4" w:space="0" w:color="auto"/>
              <w:left w:val="nil"/>
              <w:bottom w:val="double" w:sz="6" w:space="0" w:color="auto"/>
              <w:right w:val="nil"/>
            </w:tcBorders>
            <w:shd w:val="clear" w:color="auto" w:fill="auto"/>
            <w:noWrap/>
            <w:vAlign w:val="center"/>
            <w:hideMark/>
          </w:tcPr>
          <w:p w:rsidR="00BC2ADE" w:rsidRPr="00BC2ADE" w:rsidRDefault="00BC2ADE" w:rsidP="008F5A9C">
            <w:pPr>
              <w:jc w:val="right"/>
              <w:rPr>
                <w:rFonts w:asciiTheme="minorHAnsi" w:hAnsiTheme="minorHAnsi" w:cs="Arial"/>
                <w:b/>
                <w:bCs/>
                <w:color w:val="000000"/>
                <w:sz w:val="20"/>
                <w:szCs w:val="20"/>
              </w:rPr>
            </w:pPr>
            <w:r w:rsidRPr="00BC2ADE">
              <w:rPr>
                <w:rFonts w:asciiTheme="minorHAnsi" w:hAnsiTheme="minorHAnsi" w:cs="Arial"/>
                <w:b/>
                <w:bCs/>
                <w:color w:val="000000"/>
                <w:sz w:val="20"/>
                <w:szCs w:val="20"/>
              </w:rPr>
              <w:t>4,556,807,434</w:t>
            </w:r>
          </w:p>
        </w:tc>
      </w:tr>
    </w:tbl>
    <w:p w:rsidR="00BC2ADE" w:rsidRDefault="00BC2ADE" w:rsidP="00BC2ADE">
      <w:pPr>
        <w:pStyle w:val="Sinespaciado"/>
        <w:spacing w:line="360" w:lineRule="auto"/>
        <w:jc w:val="both"/>
        <w:rPr>
          <w:rFonts w:ascii="Arial" w:hAnsi="Arial" w:cs="Arial"/>
          <w:sz w:val="24"/>
          <w:szCs w:val="24"/>
        </w:rPr>
      </w:pPr>
    </w:p>
    <w:p w:rsidR="00BC2ADE" w:rsidRDefault="00BC2ADE" w:rsidP="00BC2ADE">
      <w:pPr>
        <w:pStyle w:val="Sinespaciado"/>
        <w:spacing w:line="360" w:lineRule="auto"/>
        <w:jc w:val="both"/>
        <w:rPr>
          <w:rFonts w:ascii="Arial" w:hAnsi="Arial" w:cs="Arial"/>
          <w:sz w:val="24"/>
          <w:szCs w:val="24"/>
        </w:rPr>
      </w:pPr>
    </w:p>
    <w:p w:rsidR="00BC2ADE" w:rsidRDefault="00BC2ADE">
      <w:pPr>
        <w:rPr>
          <w:rFonts w:ascii="Arial" w:hAnsi="Arial" w:cs="Arial"/>
          <w:b/>
        </w:rPr>
      </w:pPr>
      <w:r>
        <w:rPr>
          <w:rFonts w:ascii="Arial" w:hAnsi="Arial" w:cs="Arial"/>
          <w:b/>
        </w:rPr>
        <w:br w:type="page"/>
      </w:r>
    </w:p>
    <w:p w:rsidR="00BC2ADE" w:rsidRDefault="00BC2ADE" w:rsidP="00BC2ADE">
      <w:pPr>
        <w:pStyle w:val="Sinespaciado"/>
        <w:spacing w:line="360" w:lineRule="auto"/>
        <w:jc w:val="both"/>
        <w:rPr>
          <w:rFonts w:ascii="Arial" w:hAnsi="Arial" w:cs="Arial"/>
          <w:b/>
          <w:sz w:val="24"/>
          <w:szCs w:val="24"/>
        </w:rPr>
      </w:pPr>
      <w:r w:rsidRPr="005152FF">
        <w:rPr>
          <w:rFonts w:ascii="Arial" w:hAnsi="Arial" w:cs="Arial"/>
          <w:b/>
          <w:sz w:val="24"/>
          <w:szCs w:val="24"/>
        </w:rPr>
        <w:lastRenderedPageBreak/>
        <w:t>Nota.- Fondos y Bienes de Terceros en Garantía y/o Administración.</w:t>
      </w:r>
    </w:p>
    <w:p w:rsidR="00BC2ADE" w:rsidRPr="005152FF" w:rsidRDefault="00BC2ADE" w:rsidP="00BC2ADE">
      <w:pPr>
        <w:pStyle w:val="Sinespaciado"/>
        <w:spacing w:line="360" w:lineRule="auto"/>
        <w:jc w:val="both"/>
        <w:rPr>
          <w:rFonts w:ascii="Arial" w:hAnsi="Arial" w:cs="Arial"/>
          <w:b/>
          <w:sz w:val="24"/>
          <w:szCs w:val="24"/>
        </w:rPr>
      </w:pPr>
    </w:p>
    <w:p w:rsidR="00BC2ADE" w:rsidRPr="005152FF" w:rsidRDefault="00BC2ADE" w:rsidP="00BC2ADE">
      <w:pPr>
        <w:pStyle w:val="Sinespaciado"/>
        <w:spacing w:line="360" w:lineRule="auto"/>
        <w:jc w:val="both"/>
        <w:rPr>
          <w:rFonts w:ascii="Arial" w:hAnsi="Arial" w:cs="Arial"/>
          <w:sz w:val="24"/>
          <w:szCs w:val="24"/>
        </w:rPr>
      </w:pPr>
      <w:r w:rsidRPr="005152FF">
        <w:rPr>
          <w:rFonts w:ascii="Arial" w:hAnsi="Arial" w:cs="Arial"/>
          <w:sz w:val="24"/>
          <w:szCs w:val="24"/>
        </w:rPr>
        <w:t>El saldo  representa el monto de los fondos y bienes propiedad de terceros, en garantía de cumplimiento de obligaciones contractuales o legales, en un plazo mayor a doce meses el saldo al 3</w:t>
      </w:r>
      <w:r>
        <w:rPr>
          <w:rFonts w:ascii="Arial" w:hAnsi="Arial" w:cs="Arial"/>
          <w:sz w:val="24"/>
          <w:szCs w:val="24"/>
        </w:rPr>
        <w:t>0</w:t>
      </w:r>
      <w:r w:rsidRPr="005152FF">
        <w:rPr>
          <w:rFonts w:ascii="Arial" w:hAnsi="Arial" w:cs="Arial"/>
          <w:sz w:val="24"/>
          <w:szCs w:val="24"/>
        </w:rPr>
        <w:t xml:space="preserve"> de </w:t>
      </w:r>
      <w:r>
        <w:rPr>
          <w:rFonts w:ascii="Arial" w:hAnsi="Arial" w:cs="Arial"/>
          <w:sz w:val="24"/>
          <w:szCs w:val="24"/>
        </w:rPr>
        <w:t>Junio</w:t>
      </w:r>
      <w:r w:rsidRPr="005152FF">
        <w:rPr>
          <w:rFonts w:ascii="Arial" w:hAnsi="Arial" w:cs="Arial"/>
          <w:sz w:val="24"/>
          <w:szCs w:val="24"/>
        </w:rPr>
        <w:t xml:space="preserve"> del 201</w:t>
      </w:r>
      <w:r>
        <w:rPr>
          <w:rFonts w:ascii="Arial" w:hAnsi="Arial" w:cs="Arial"/>
          <w:sz w:val="24"/>
          <w:szCs w:val="24"/>
        </w:rPr>
        <w:t>5</w:t>
      </w:r>
      <w:r w:rsidRPr="005152FF">
        <w:rPr>
          <w:rFonts w:ascii="Arial" w:hAnsi="Arial" w:cs="Arial"/>
          <w:sz w:val="24"/>
          <w:szCs w:val="24"/>
        </w:rPr>
        <w:t xml:space="preserve"> y 201</w:t>
      </w:r>
      <w:r>
        <w:rPr>
          <w:rFonts w:ascii="Arial" w:hAnsi="Arial" w:cs="Arial"/>
          <w:sz w:val="24"/>
          <w:szCs w:val="24"/>
        </w:rPr>
        <w:t>4</w:t>
      </w:r>
      <w:r w:rsidRPr="005152FF">
        <w:rPr>
          <w:rFonts w:ascii="Arial" w:hAnsi="Arial" w:cs="Arial"/>
          <w:sz w:val="24"/>
          <w:szCs w:val="24"/>
        </w:rPr>
        <w:t xml:space="preserve"> se integra de la forma siguiente:</w:t>
      </w:r>
    </w:p>
    <w:p w:rsidR="00BC2ADE" w:rsidRPr="005152FF" w:rsidRDefault="00BC2ADE" w:rsidP="00BC2ADE">
      <w:pPr>
        <w:pStyle w:val="Sinespaciado"/>
        <w:spacing w:line="360" w:lineRule="auto"/>
        <w:jc w:val="both"/>
        <w:rPr>
          <w:rFonts w:ascii="Arial" w:hAnsi="Arial" w:cs="Arial"/>
          <w:sz w:val="24"/>
          <w:szCs w:val="24"/>
        </w:rPr>
      </w:pPr>
    </w:p>
    <w:tbl>
      <w:tblPr>
        <w:tblW w:w="7351" w:type="dxa"/>
        <w:jc w:val="center"/>
        <w:tblCellMar>
          <w:left w:w="70" w:type="dxa"/>
          <w:right w:w="70" w:type="dxa"/>
        </w:tblCellMar>
        <w:tblLook w:val="04A0"/>
      </w:tblPr>
      <w:tblGrid>
        <w:gridCol w:w="4578"/>
        <w:gridCol w:w="1376"/>
        <w:gridCol w:w="154"/>
        <w:gridCol w:w="1309"/>
      </w:tblGrid>
      <w:tr w:rsidR="00BC2ADE" w:rsidRPr="00BC2ADE" w:rsidTr="008F5A9C">
        <w:trPr>
          <w:trHeight w:val="244"/>
          <w:jc w:val="center"/>
        </w:trPr>
        <w:tc>
          <w:tcPr>
            <w:tcW w:w="4578" w:type="dxa"/>
            <w:tcBorders>
              <w:top w:val="nil"/>
              <w:left w:val="nil"/>
              <w:bottom w:val="nil"/>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CONCEPTO</w:t>
            </w:r>
          </w:p>
        </w:tc>
        <w:tc>
          <w:tcPr>
            <w:tcW w:w="1376" w:type="dxa"/>
            <w:tcBorders>
              <w:top w:val="nil"/>
              <w:left w:val="nil"/>
              <w:bottom w:val="single" w:sz="4" w:space="0" w:color="auto"/>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2015</w:t>
            </w:r>
          </w:p>
        </w:tc>
        <w:tc>
          <w:tcPr>
            <w:tcW w:w="154" w:type="dxa"/>
            <w:tcBorders>
              <w:top w:val="nil"/>
              <w:left w:val="nil"/>
              <w:bottom w:val="nil"/>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p>
        </w:tc>
        <w:tc>
          <w:tcPr>
            <w:tcW w:w="1243" w:type="dxa"/>
            <w:tcBorders>
              <w:top w:val="nil"/>
              <w:left w:val="nil"/>
              <w:bottom w:val="single" w:sz="4" w:space="0" w:color="auto"/>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2014</w:t>
            </w:r>
          </w:p>
        </w:tc>
      </w:tr>
      <w:tr w:rsidR="00BC2ADE" w:rsidRPr="00BC2ADE" w:rsidTr="008F5A9C">
        <w:trPr>
          <w:trHeight w:val="244"/>
          <w:jc w:val="center"/>
        </w:trPr>
        <w:tc>
          <w:tcPr>
            <w:tcW w:w="4578" w:type="dxa"/>
            <w:tcBorders>
              <w:top w:val="nil"/>
              <w:left w:val="nil"/>
              <w:bottom w:val="nil"/>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p>
        </w:tc>
        <w:tc>
          <w:tcPr>
            <w:tcW w:w="1376"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sz w:val="20"/>
                <w:szCs w:val="20"/>
              </w:rPr>
            </w:pPr>
          </w:p>
        </w:tc>
        <w:tc>
          <w:tcPr>
            <w:tcW w:w="154"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sz w:val="20"/>
                <w:szCs w:val="20"/>
              </w:rPr>
            </w:pPr>
          </w:p>
        </w:tc>
        <w:tc>
          <w:tcPr>
            <w:tcW w:w="1243" w:type="dxa"/>
            <w:tcBorders>
              <w:top w:val="single" w:sz="4" w:space="0" w:color="auto"/>
              <w:left w:val="nil"/>
              <w:right w:val="nil"/>
            </w:tcBorders>
            <w:shd w:val="clear" w:color="auto" w:fill="auto"/>
            <w:noWrap/>
            <w:vAlign w:val="bottom"/>
            <w:hideMark/>
          </w:tcPr>
          <w:p w:rsidR="00BC2ADE" w:rsidRPr="00BC2ADE" w:rsidRDefault="00BC2ADE" w:rsidP="008F5A9C">
            <w:pPr>
              <w:rPr>
                <w:rFonts w:asciiTheme="minorHAnsi" w:hAnsiTheme="minorHAnsi" w:cs="Arial"/>
                <w:sz w:val="20"/>
                <w:szCs w:val="20"/>
              </w:rPr>
            </w:pPr>
          </w:p>
        </w:tc>
      </w:tr>
      <w:tr w:rsidR="00BC2ADE" w:rsidRPr="00BC2ADE" w:rsidTr="008F5A9C">
        <w:trPr>
          <w:trHeight w:val="244"/>
          <w:jc w:val="center"/>
        </w:trPr>
        <w:tc>
          <w:tcPr>
            <w:tcW w:w="4578" w:type="dxa"/>
            <w:tcBorders>
              <w:top w:val="nil"/>
              <w:left w:val="nil"/>
              <w:bottom w:val="nil"/>
              <w:right w:val="nil"/>
            </w:tcBorders>
            <w:shd w:val="clear" w:color="auto" w:fill="auto"/>
            <w:noWrap/>
            <w:vAlign w:val="bottom"/>
            <w:hideMark/>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Fondos en garantía a largo plazo</w:t>
            </w:r>
          </w:p>
        </w:tc>
        <w:tc>
          <w:tcPr>
            <w:tcW w:w="1376"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 xml:space="preserve">19,902,873 </w:t>
            </w:r>
          </w:p>
        </w:tc>
        <w:tc>
          <w:tcPr>
            <w:tcW w:w="154"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p>
        </w:tc>
        <w:tc>
          <w:tcPr>
            <w:tcW w:w="1243" w:type="dxa"/>
            <w:tcBorders>
              <w:top w:val="nil"/>
              <w:left w:val="nil"/>
              <w:right w:val="nil"/>
            </w:tcBorders>
            <w:shd w:val="clear" w:color="auto" w:fill="auto"/>
            <w:noWrap/>
            <w:vAlign w:val="bottom"/>
            <w:hideMark/>
          </w:tcPr>
          <w:p w:rsidR="00BC2ADE" w:rsidRPr="00BC2ADE" w:rsidRDefault="00BC2ADE" w:rsidP="008F5A9C">
            <w:pPr>
              <w:jc w:val="right"/>
              <w:rPr>
                <w:rFonts w:asciiTheme="minorHAnsi" w:hAnsiTheme="minorHAnsi" w:cs="Arial"/>
                <w:color w:val="000000"/>
                <w:sz w:val="20"/>
                <w:szCs w:val="20"/>
              </w:rPr>
            </w:pPr>
            <w:r w:rsidRPr="00BC2ADE">
              <w:rPr>
                <w:rFonts w:asciiTheme="minorHAnsi" w:hAnsiTheme="minorHAnsi" w:cs="Arial"/>
                <w:color w:val="000000"/>
                <w:sz w:val="20"/>
                <w:szCs w:val="20"/>
              </w:rPr>
              <w:t>18,766,213</w:t>
            </w:r>
          </w:p>
        </w:tc>
      </w:tr>
      <w:tr w:rsidR="00BC2ADE" w:rsidRPr="00BC2ADE" w:rsidTr="008F5A9C">
        <w:trPr>
          <w:trHeight w:val="257"/>
          <w:jc w:val="center"/>
        </w:trPr>
        <w:tc>
          <w:tcPr>
            <w:tcW w:w="4578" w:type="dxa"/>
            <w:tcBorders>
              <w:top w:val="nil"/>
              <w:left w:val="nil"/>
              <w:bottom w:val="nil"/>
              <w:right w:val="nil"/>
            </w:tcBorders>
            <w:shd w:val="clear" w:color="auto" w:fill="auto"/>
            <w:noWrap/>
            <w:vAlign w:val="bottom"/>
          </w:tcPr>
          <w:p w:rsidR="00BC2ADE" w:rsidRPr="00BC2ADE" w:rsidRDefault="00BC2ADE" w:rsidP="008F5A9C">
            <w:pPr>
              <w:rPr>
                <w:rFonts w:asciiTheme="minorHAnsi" w:hAnsiTheme="minorHAnsi" w:cs="Arial"/>
                <w:color w:val="000000"/>
                <w:sz w:val="20"/>
                <w:szCs w:val="20"/>
              </w:rPr>
            </w:pPr>
            <w:r w:rsidRPr="00BC2ADE">
              <w:rPr>
                <w:rFonts w:asciiTheme="minorHAnsi" w:hAnsiTheme="minorHAnsi" w:cs="Arial"/>
                <w:color w:val="000000"/>
                <w:sz w:val="20"/>
                <w:szCs w:val="20"/>
              </w:rPr>
              <w:t>Provisiones a Largo Plazo Gobierno Estatal</w:t>
            </w:r>
          </w:p>
        </w:tc>
        <w:tc>
          <w:tcPr>
            <w:tcW w:w="1376" w:type="dxa"/>
            <w:tcBorders>
              <w:top w:val="nil"/>
              <w:left w:val="nil"/>
              <w:bottom w:val="nil"/>
              <w:right w:val="nil"/>
            </w:tcBorders>
            <w:shd w:val="clear" w:color="auto" w:fill="auto"/>
            <w:noWrap/>
            <w:vAlign w:val="bottom"/>
          </w:tcPr>
          <w:p w:rsidR="00BC2ADE" w:rsidRPr="00BC2ADE" w:rsidRDefault="00BC2ADE" w:rsidP="008F5A9C">
            <w:pPr>
              <w:jc w:val="right"/>
              <w:rPr>
                <w:rFonts w:asciiTheme="minorHAnsi" w:hAnsiTheme="minorHAnsi" w:cs="Arial"/>
                <w:color w:val="000000"/>
                <w:sz w:val="20"/>
                <w:szCs w:val="20"/>
              </w:rPr>
            </w:pPr>
          </w:p>
        </w:tc>
        <w:tc>
          <w:tcPr>
            <w:tcW w:w="154" w:type="dxa"/>
            <w:tcBorders>
              <w:top w:val="nil"/>
              <w:left w:val="nil"/>
              <w:bottom w:val="nil"/>
              <w:right w:val="nil"/>
            </w:tcBorders>
            <w:shd w:val="clear" w:color="auto" w:fill="auto"/>
            <w:noWrap/>
            <w:vAlign w:val="bottom"/>
          </w:tcPr>
          <w:p w:rsidR="00BC2ADE" w:rsidRPr="00BC2ADE" w:rsidRDefault="00BC2ADE" w:rsidP="008F5A9C">
            <w:pPr>
              <w:jc w:val="right"/>
              <w:rPr>
                <w:rFonts w:asciiTheme="minorHAnsi" w:hAnsiTheme="minorHAnsi" w:cs="Arial"/>
                <w:color w:val="000000"/>
                <w:sz w:val="20"/>
                <w:szCs w:val="20"/>
              </w:rPr>
            </w:pPr>
          </w:p>
        </w:tc>
        <w:tc>
          <w:tcPr>
            <w:tcW w:w="1243" w:type="dxa"/>
            <w:tcBorders>
              <w:left w:val="nil"/>
              <w:right w:val="nil"/>
            </w:tcBorders>
            <w:shd w:val="clear" w:color="auto" w:fill="auto"/>
            <w:noWrap/>
            <w:vAlign w:val="bottom"/>
          </w:tcPr>
          <w:p w:rsidR="00BC2ADE" w:rsidRPr="00BC2ADE" w:rsidRDefault="00BC2ADE" w:rsidP="008F5A9C">
            <w:pPr>
              <w:jc w:val="right"/>
              <w:rPr>
                <w:rFonts w:asciiTheme="minorHAnsi" w:hAnsiTheme="minorHAnsi" w:cs="Arial"/>
                <w:bCs/>
                <w:color w:val="000000"/>
                <w:sz w:val="20"/>
                <w:szCs w:val="20"/>
              </w:rPr>
            </w:pPr>
            <w:r w:rsidRPr="00BC2ADE">
              <w:rPr>
                <w:rFonts w:asciiTheme="minorHAnsi" w:hAnsiTheme="minorHAnsi" w:cs="Arial"/>
                <w:bCs/>
                <w:color w:val="000000"/>
                <w:sz w:val="20"/>
                <w:szCs w:val="20"/>
              </w:rPr>
              <w:t>1,280,033,000</w:t>
            </w:r>
          </w:p>
        </w:tc>
      </w:tr>
      <w:tr w:rsidR="00BC2ADE" w:rsidRPr="00BC2ADE" w:rsidTr="008F5A9C">
        <w:trPr>
          <w:trHeight w:val="268"/>
          <w:jc w:val="center"/>
        </w:trPr>
        <w:tc>
          <w:tcPr>
            <w:tcW w:w="4578" w:type="dxa"/>
            <w:tcBorders>
              <w:top w:val="nil"/>
              <w:left w:val="nil"/>
              <w:bottom w:val="nil"/>
              <w:right w:val="nil"/>
            </w:tcBorders>
            <w:shd w:val="clear" w:color="auto" w:fill="auto"/>
            <w:noWrap/>
            <w:vAlign w:val="bottom"/>
            <w:hideMark/>
          </w:tcPr>
          <w:p w:rsidR="00BC2ADE" w:rsidRPr="00BC2ADE" w:rsidRDefault="00BC2ADE" w:rsidP="008F5A9C">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SUMAS</w:t>
            </w:r>
          </w:p>
        </w:tc>
        <w:tc>
          <w:tcPr>
            <w:tcW w:w="1376" w:type="dxa"/>
            <w:tcBorders>
              <w:top w:val="single" w:sz="4" w:space="0" w:color="auto"/>
              <w:left w:val="nil"/>
              <w:bottom w:val="double" w:sz="6" w:space="0" w:color="auto"/>
              <w:right w:val="nil"/>
            </w:tcBorders>
            <w:shd w:val="clear" w:color="auto" w:fill="auto"/>
            <w:noWrap/>
            <w:vAlign w:val="bottom"/>
            <w:hideMark/>
          </w:tcPr>
          <w:p w:rsidR="00BC2ADE" w:rsidRPr="00BC2ADE" w:rsidRDefault="00BC2ADE" w:rsidP="008F5A9C">
            <w:pPr>
              <w:jc w:val="right"/>
              <w:rPr>
                <w:rFonts w:asciiTheme="minorHAnsi" w:hAnsiTheme="minorHAnsi" w:cs="Arial"/>
                <w:b/>
                <w:bCs/>
                <w:color w:val="000000"/>
                <w:sz w:val="20"/>
                <w:szCs w:val="20"/>
              </w:rPr>
            </w:pPr>
            <w:r w:rsidRPr="00BC2ADE">
              <w:rPr>
                <w:rFonts w:asciiTheme="minorHAnsi" w:hAnsiTheme="minorHAnsi" w:cs="Arial"/>
                <w:b/>
                <w:bCs/>
                <w:color w:val="000000"/>
                <w:sz w:val="20"/>
                <w:szCs w:val="20"/>
              </w:rPr>
              <w:t xml:space="preserve">19,902,873 </w:t>
            </w:r>
          </w:p>
        </w:tc>
        <w:tc>
          <w:tcPr>
            <w:tcW w:w="154" w:type="dxa"/>
            <w:tcBorders>
              <w:top w:val="nil"/>
              <w:left w:val="nil"/>
              <w:bottom w:val="nil"/>
              <w:right w:val="nil"/>
            </w:tcBorders>
            <w:shd w:val="clear" w:color="auto" w:fill="auto"/>
            <w:noWrap/>
            <w:vAlign w:val="bottom"/>
            <w:hideMark/>
          </w:tcPr>
          <w:p w:rsidR="00BC2ADE" w:rsidRPr="00BC2ADE" w:rsidRDefault="00BC2ADE" w:rsidP="008F5A9C">
            <w:pPr>
              <w:jc w:val="right"/>
              <w:rPr>
                <w:rFonts w:asciiTheme="minorHAnsi" w:hAnsiTheme="minorHAnsi" w:cs="Arial"/>
                <w:b/>
                <w:bCs/>
                <w:color w:val="000000"/>
                <w:sz w:val="20"/>
                <w:szCs w:val="20"/>
              </w:rPr>
            </w:pPr>
          </w:p>
        </w:tc>
        <w:tc>
          <w:tcPr>
            <w:tcW w:w="1243" w:type="dxa"/>
            <w:tcBorders>
              <w:top w:val="single" w:sz="4" w:space="0" w:color="auto"/>
              <w:left w:val="nil"/>
              <w:bottom w:val="double" w:sz="6" w:space="0" w:color="auto"/>
              <w:right w:val="nil"/>
            </w:tcBorders>
            <w:shd w:val="clear" w:color="auto" w:fill="auto"/>
            <w:noWrap/>
            <w:vAlign w:val="bottom"/>
            <w:hideMark/>
          </w:tcPr>
          <w:p w:rsidR="00BC2ADE" w:rsidRPr="00BC2ADE" w:rsidRDefault="00BC2ADE" w:rsidP="008F5A9C">
            <w:pPr>
              <w:jc w:val="right"/>
              <w:rPr>
                <w:rFonts w:asciiTheme="minorHAnsi" w:hAnsiTheme="minorHAnsi" w:cs="Arial"/>
                <w:b/>
                <w:bCs/>
                <w:color w:val="000000"/>
                <w:sz w:val="20"/>
                <w:szCs w:val="20"/>
              </w:rPr>
            </w:pPr>
            <w:r w:rsidRPr="00BC2ADE">
              <w:rPr>
                <w:rFonts w:asciiTheme="minorHAnsi" w:hAnsiTheme="minorHAnsi" w:cs="Arial"/>
                <w:b/>
                <w:bCs/>
                <w:color w:val="000000"/>
                <w:sz w:val="20"/>
                <w:szCs w:val="20"/>
              </w:rPr>
              <w:t>1,298,799,213</w:t>
            </w:r>
          </w:p>
        </w:tc>
      </w:tr>
    </w:tbl>
    <w:p w:rsidR="00BC2ADE" w:rsidRDefault="00BC2ADE" w:rsidP="00BC2ADE">
      <w:pPr>
        <w:pStyle w:val="Sinespaciado"/>
        <w:spacing w:line="360" w:lineRule="auto"/>
        <w:jc w:val="both"/>
        <w:rPr>
          <w:rFonts w:ascii="Arial" w:hAnsi="Arial" w:cs="Arial"/>
          <w:b/>
          <w:sz w:val="24"/>
          <w:szCs w:val="24"/>
        </w:rPr>
      </w:pPr>
    </w:p>
    <w:p w:rsidR="00BC2ADE" w:rsidRDefault="00BC2ADE" w:rsidP="00BC2ADE">
      <w:pPr>
        <w:pStyle w:val="Sinespaciado"/>
        <w:spacing w:line="360" w:lineRule="auto"/>
        <w:jc w:val="both"/>
        <w:rPr>
          <w:rFonts w:ascii="Arial" w:hAnsi="Arial" w:cs="Arial"/>
          <w:b/>
          <w:sz w:val="24"/>
          <w:szCs w:val="24"/>
        </w:rPr>
      </w:pPr>
    </w:p>
    <w:p w:rsidR="00BC2ADE" w:rsidRDefault="00BC2ADE" w:rsidP="00BC2ADE">
      <w:pPr>
        <w:pStyle w:val="Sinespaciado"/>
        <w:spacing w:line="360" w:lineRule="auto"/>
        <w:jc w:val="both"/>
        <w:rPr>
          <w:rFonts w:ascii="Arial" w:hAnsi="Arial" w:cs="Arial"/>
          <w:b/>
          <w:sz w:val="24"/>
          <w:szCs w:val="24"/>
        </w:rPr>
      </w:pPr>
      <w:r w:rsidRPr="005152FF">
        <w:rPr>
          <w:rFonts w:ascii="Arial" w:hAnsi="Arial" w:cs="Arial"/>
          <w:b/>
          <w:sz w:val="24"/>
          <w:szCs w:val="24"/>
        </w:rPr>
        <w:t>Nota.- Provisiones a Largo Plazo</w:t>
      </w:r>
      <w:r>
        <w:rPr>
          <w:rFonts w:ascii="Arial" w:hAnsi="Arial" w:cs="Arial"/>
          <w:b/>
          <w:sz w:val="24"/>
          <w:szCs w:val="24"/>
        </w:rPr>
        <w:t>.</w:t>
      </w:r>
    </w:p>
    <w:p w:rsidR="00BC2ADE" w:rsidRPr="005152FF" w:rsidRDefault="00BC2ADE" w:rsidP="00BC2ADE">
      <w:pPr>
        <w:pStyle w:val="Sinespaciado"/>
        <w:spacing w:line="360" w:lineRule="auto"/>
        <w:jc w:val="both"/>
        <w:rPr>
          <w:rFonts w:ascii="Arial" w:hAnsi="Arial" w:cs="Arial"/>
          <w:b/>
          <w:sz w:val="24"/>
          <w:szCs w:val="24"/>
        </w:rPr>
      </w:pPr>
    </w:p>
    <w:p w:rsidR="00BC2ADE" w:rsidRPr="005152FF" w:rsidRDefault="00BC2ADE" w:rsidP="00BC2ADE">
      <w:pPr>
        <w:pStyle w:val="Sinespaciado"/>
        <w:spacing w:line="360" w:lineRule="auto"/>
        <w:jc w:val="both"/>
        <w:rPr>
          <w:rFonts w:ascii="Arial" w:hAnsi="Arial" w:cs="Arial"/>
          <w:sz w:val="24"/>
          <w:szCs w:val="24"/>
        </w:rPr>
      </w:pPr>
      <w:r w:rsidRPr="005152FF">
        <w:rPr>
          <w:rFonts w:ascii="Arial" w:hAnsi="Arial" w:cs="Arial"/>
          <w:sz w:val="24"/>
          <w:szCs w:val="24"/>
        </w:rPr>
        <w:t>Por lo que respecta a esta cuenta, en ella se agrupa  las pensiones y jubilaciones del Gobierno del Estado de Oaxaca, este tiene un esquema de pensiones misma que recae en la Oficina de Pensiones del Estado.</w:t>
      </w:r>
    </w:p>
    <w:p w:rsidR="00BC2ADE" w:rsidRPr="005152FF" w:rsidRDefault="00BC2ADE" w:rsidP="00BC2ADE">
      <w:pPr>
        <w:pStyle w:val="Sinespaciado"/>
        <w:spacing w:line="360" w:lineRule="auto"/>
        <w:jc w:val="both"/>
        <w:rPr>
          <w:rFonts w:ascii="Arial" w:hAnsi="Arial" w:cs="Arial"/>
          <w:sz w:val="24"/>
          <w:szCs w:val="24"/>
        </w:rPr>
      </w:pPr>
    </w:p>
    <w:p w:rsidR="00BC2ADE" w:rsidRPr="005152FF" w:rsidRDefault="00BC2ADE" w:rsidP="00BC2ADE">
      <w:pPr>
        <w:spacing w:line="360" w:lineRule="auto"/>
        <w:jc w:val="both"/>
        <w:rPr>
          <w:rFonts w:ascii="Arial" w:hAnsi="Arial" w:cs="Arial"/>
        </w:rPr>
      </w:pPr>
      <w:r w:rsidRPr="005152FF">
        <w:rPr>
          <w:rFonts w:ascii="Arial" w:hAnsi="Arial" w:cs="Arial"/>
        </w:rPr>
        <w:t>Al cierre del ejercicio</w:t>
      </w:r>
      <w:r>
        <w:rPr>
          <w:rFonts w:ascii="Arial" w:hAnsi="Arial" w:cs="Arial"/>
        </w:rPr>
        <w:t xml:space="preserve"> 2014</w:t>
      </w:r>
      <w:r w:rsidRPr="005152FF">
        <w:rPr>
          <w:rFonts w:ascii="Arial" w:hAnsi="Arial" w:cs="Arial"/>
        </w:rPr>
        <w:t xml:space="preserve"> el saldo es de 3</w:t>
      </w:r>
      <w:r>
        <w:rPr>
          <w:rFonts w:ascii="Arial" w:hAnsi="Arial" w:cs="Arial"/>
        </w:rPr>
        <w:t xml:space="preserve"> mil</w:t>
      </w:r>
      <w:r w:rsidRPr="005152FF">
        <w:rPr>
          <w:rFonts w:ascii="Arial" w:hAnsi="Arial" w:cs="Arial"/>
        </w:rPr>
        <w:t xml:space="preserve"> 246</w:t>
      </w:r>
      <w:r>
        <w:rPr>
          <w:rFonts w:ascii="Arial" w:hAnsi="Arial" w:cs="Arial"/>
        </w:rPr>
        <w:t xml:space="preserve"> millones</w:t>
      </w:r>
      <w:r w:rsidRPr="005152FF">
        <w:rPr>
          <w:rFonts w:ascii="Arial" w:hAnsi="Arial" w:cs="Arial"/>
        </w:rPr>
        <w:t xml:space="preserve"> 446</w:t>
      </w:r>
      <w:r>
        <w:rPr>
          <w:rFonts w:ascii="Arial" w:hAnsi="Arial" w:cs="Arial"/>
        </w:rPr>
        <w:t xml:space="preserve"> mil </w:t>
      </w:r>
      <w:r w:rsidRPr="005152FF">
        <w:rPr>
          <w:rFonts w:ascii="Arial" w:hAnsi="Arial" w:cs="Arial"/>
        </w:rPr>
        <w:t>530</w:t>
      </w:r>
      <w:r>
        <w:rPr>
          <w:rFonts w:ascii="Arial" w:hAnsi="Arial" w:cs="Arial"/>
        </w:rPr>
        <w:t xml:space="preserve"> pesos</w:t>
      </w:r>
      <w:r w:rsidRPr="005152FF">
        <w:rPr>
          <w:rFonts w:ascii="Arial" w:hAnsi="Arial" w:cs="Arial"/>
        </w:rPr>
        <w:t xml:space="preserve"> mismo que se refleja en los estados financieros de la Oficina de Pensiones del Estado, que es un organismo descentralizado y no incorporado a estos estados financieros.</w:t>
      </w:r>
    </w:p>
    <w:p w:rsidR="00BC2ADE" w:rsidRDefault="00BC2ADE" w:rsidP="00BC2ADE">
      <w:pPr>
        <w:pStyle w:val="Sinespaciado"/>
        <w:spacing w:line="360" w:lineRule="auto"/>
        <w:jc w:val="both"/>
        <w:rPr>
          <w:rFonts w:ascii="Arial" w:hAnsi="Arial" w:cs="Arial"/>
          <w:b/>
          <w:sz w:val="24"/>
          <w:szCs w:val="24"/>
        </w:rPr>
      </w:pPr>
    </w:p>
    <w:p w:rsidR="00BC2ADE" w:rsidRPr="005152FF" w:rsidRDefault="00BC2ADE" w:rsidP="00BC2ADE">
      <w:pPr>
        <w:pStyle w:val="Sinespaciado"/>
        <w:spacing w:line="360" w:lineRule="auto"/>
        <w:jc w:val="both"/>
        <w:rPr>
          <w:rFonts w:ascii="Arial" w:hAnsi="Arial" w:cs="Arial"/>
          <w:b/>
          <w:sz w:val="24"/>
          <w:szCs w:val="24"/>
        </w:rPr>
      </w:pPr>
      <w:r w:rsidRPr="005152FF">
        <w:rPr>
          <w:rFonts w:ascii="Arial" w:hAnsi="Arial" w:cs="Arial"/>
          <w:b/>
          <w:sz w:val="24"/>
          <w:szCs w:val="24"/>
        </w:rPr>
        <w:t>NOTAS DE MEMORIA</w:t>
      </w:r>
    </w:p>
    <w:p w:rsidR="00BC2ADE" w:rsidRPr="005152FF" w:rsidRDefault="00BC2ADE" w:rsidP="00BC2ADE">
      <w:pPr>
        <w:pStyle w:val="Sinespaciado"/>
        <w:spacing w:line="360" w:lineRule="auto"/>
        <w:jc w:val="both"/>
        <w:rPr>
          <w:rFonts w:ascii="Arial" w:hAnsi="Arial" w:cs="Arial"/>
          <w:b/>
          <w:sz w:val="24"/>
          <w:szCs w:val="24"/>
        </w:rPr>
      </w:pPr>
    </w:p>
    <w:p w:rsidR="00BC2ADE" w:rsidRPr="005152FF" w:rsidRDefault="00BC2ADE" w:rsidP="00BC2ADE">
      <w:pPr>
        <w:pStyle w:val="Sinespaciado"/>
        <w:spacing w:line="360" w:lineRule="auto"/>
        <w:jc w:val="both"/>
        <w:rPr>
          <w:rFonts w:ascii="Arial" w:hAnsi="Arial" w:cs="Arial"/>
          <w:sz w:val="24"/>
          <w:szCs w:val="24"/>
        </w:rPr>
      </w:pPr>
      <w:r w:rsidRPr="005152FF">
        <w:rPr>
          <w:rFonts w:ascii="Arial" w:hAnsi="Arial" w:cs="Arial"/>
          <w:sz w:val="24"/>
          <w:szCs w:val="24"/>
        </w:rPr>
        <w:t xml:space="preserve">De conformidad con los postulados contables las cuentas de orden se utilizan para registrar movimientos de valores que no afecten o modifiquen el Estado de Posición Financiera y su fin es para fines de recordatorio contable, de control y en </w:t>
      </w:r>
      <w:r w:rsidRPr="005152FF">
        <w:rPr>
          <w:rFonts w:ascii="Arial" w:hAnsi="Arial" w:cs="Arial"/>
          <w:sz w:val="24"/>
          <w:szCs w:val="24"/>
        </w:rPr>
        <w:lastRenderedPageBreak/>
        <w:t>general sobre aspecto administrativos, o bien para consignar sus derechos o responsabilidades contingentes que puedan o no presentarse en el futuro  bajo este contexto se tienen las siguientes:</w:t>
      </w:r>
    </w:p>
    <w:p w:rsidR="00BC2ADE" w:rsidRPr="005152FF" w:rsidRDefault="00BC2ADE" w:rsidP="00BC2ADE">
      <w:pPr>
        <w:pStyle w:val="Sinespaciado"/>
        <w:spacing w:line="360" w:lineRule="auto"/>
        <w:rPr>
          <w:rFonts w:ascii="Arial" w:hAnsi="Arial" w:cs="Arial"/>
          <w:b/>
          <w:color w:val="000000" w:themeColor="text1"/>
          <w:sz w:val="24"/>
          <w:szCs w:val="24"/>
        </w:rPr>
      </w:pPr>
    </w:p>
    <w:p w:rsidR="00BC2ADE" w:rsidRPr="005152FF" w:rsidRDefault="00BC2ADE" w:rsidP="00BC2ADE">
      <w:pPr>
        <w:pStyle w:val="Sinespaciado"/>
        <w:spacing w:line="360" w:lineRule="auto"/>
        <w:rPr>
          <w:rFonts w:ascii="Arial" w:hAnsi="Arial" w:cs="Arial"/>
          <w:b/>
          <w:color w:val="000000" w:themeColor="text1"/>
          <w:sz w:val="24"/>
          <w:szCs w:val="24"/>
        </w:rPr>
      </w:pPr>
      <w:r w:rsidRPr="005152FF">
        <w:rPr>
          <w:rFonts w:ascii="Arial" w:hAnsi="Arial" w:cs="Arial"/>
          <w:b/>
          <w:color w:val="000000" w:themeColor="text1"/>
          <w:sz w:val="24"/>
          <w:szCs w:val="24"/>
        </w:rPr>
        <w:t>NOTA.-  Deuda Pública Municipal</w:t>
      </w:r>
    </w:p>
    <w:p w:rsidR="00BC2ADE" w:rsidRPr="005152FF" w:rsidRDefault="00BC2ADE" w:rsidP="00BC2ADE">
      <w:pPr>
        <w:pStyle w:val="Sinespaciado"/>
        <w:spacing w:line="360" w:lineRule="auto"/>
        <w:rPr>
          <w:rFonts w:ascii="Arial" w:hAnsi="Arial" w:cs="Arial"/>
          <w:b/>
          <w:color w:val="000000" w:themeColor="text1"/>
          <w:sz w:val="24"/>
          <w:szCs w:val="24"/>
        </w:rPr>
      </w:pPr>
    </w:p>
    <w:p w:rsidR="00BC2ADE" w:rsidRDefault="00BC2ADE" w:rsidP="00BC2ADE">
      <w:pPr>
        <w:spacing w:line="360" w:lineRule="auto"/>
        <w:contextualSpacing/>
        <w:jc w:val="both"/>
        <w:rPr>
          <w:rFonts w:ascii="Arial" w:hAnsi="Arial" w:cs="Arial"/>
          <w:color w:val="000000" w:themeColor="text1"/>
        </w:rPr>
      </w:pPr>
      <w:r w:rsidRPr="005152FF">
        <w:rPr>
          <w:rFonts w:ascii="Arial" w:hAnsi="Arial" w:cs="Arial"/>
          <w:color w:val="000000" w:themeColor="text1"/>
        </w:rPr>
        <w:t>Son los financiamientos contraídos por los municipios destinados a inversiones públicas productivas y garantizados con las participaciones y recursos del Ramo 33 provenientes del Fondo de Infraestructura Social Municipal que les correspondan, cuyo pago de dichas obligaciones es efectuado por el Gobierno del Estado a través de la Secretaría de Finanzas del Poder Ejecutivo del Gobierno del Estado de Oaxaca, mediante retenciones de sus participaciones en base al contrato de mandato previamente suscrito; respecto a lo anterior  el Gobierno del Estado no funge como aval, al 3</w:t>
      </w:r>
      <w:r>
        <w:rPr>
          <w:rFonts w:ascii="Arial" w:hAnsi="Arial" w:cs="Arial"/>
          <w:color w:val="000000" w:themeColor="text1"/>
        </w:rPr>
        <w:t>0</w:t>
      </w:r>
      <w:r w:rsidRPr="005152FF">
        <w:rPr>
          <w:rFonts w:ascii="Arial" w:hAnsi="Arial" w:cs="Arial"/>
          <w:color w:val="000000" w:themeColor="text1"/>
        </w:rPr>
        <w:t xml:space="preserve"> de </w:t>
      </w:r>
      <w:r>
        <w:rPr>
          <w:rFonts w:ascii="Arial" w:hAnsi="Arial" w:cs="Arial"/>
          <w:color w:val="000000" w:themeColor="text1"/>
        </w:rPr>
        <w:t>Junio</w:t>
      </w:r>
      <w:r w:rsidRPr="005152FF">
        <w:rPr>
          <w:rFonts w:ascii="Arial" w:hAnsi="Arial" w:cs="Arial"/>
          <w:color w:val="000000" w:themeColor="text1"/>
        </w:rPr>
        <w:t xml:space="preserve"> de 201</w:t>
      </w:r>
      <w:r>
        <w:rPr>
          <w:rFonts w:ascii="Arial" w:hAnsi="Arial" w:cs="Arial"/>
          <w:color w:val="000000" w:themeColor="text1"/>
        </w:rPr>
        <w:t>5</w:t>
      </w:r>
      <w:r w:rsidRPr="005152FF">
        <w:rPr>
          <w:rFonts w:ascii="Arial" w:hAnsi="Arial" w:cs="Arial"/>
          <w:color w:val="000000" w:themeColor="text1"/>
        </w:rPr>
        <w:t xml:space="preserve"> se tiene un saldo de </w:t>
      </w:r>
      <w:r>
        <w:rPr>
          <w:rFonts w:ascii="Arial" w:hAnsi="Arial" w:cs="Arial"/>
          <w:color w:val="000000" w:themeColor="text1"/>
        </w:rPr>
        <w:t>470 millones 362 mil 560 pesos</w:t>
      </w:r>
      <w:r w:rsidRPr="005152FF">
        <w:rPr>
          <w:rFonts w:ascii="Arial" w:hAnsi="Arial" w:cs="Arial"/>
          <w:color w:val="000000" w:themeColor="text1"/>
        </w:rPr>
        <w:t xml:space="preserve"> </w:t>
      </w:r>
      <w:proofErr w:type="spellStart"/>
      <w:r w:rsidRPr="005152FF">
        <w:rPr>
          <w:rFonts w:ascii="Arial" w:hAnsi="Arial" w:cs="Arial"/>
          <w:color w:val="000000" w:themeColor="text1"/>
        </w:rPr>
        <w:t>pesos</w:t>
      </w:r>
      <w:proofErr w:type="spellEnd"/>
      <w:r w:rsidRPr="005152FF">
        <w:rPr>
          <w:rFonts w:ascii="Arial" w:hAnsi="Arial" w:cs="Arial"/>
          <w:color w:val="000000" w:themeColor="text1"/>
        </w:rPr>
        <w:t xml:space="preserve">. </w:t>
      </w:r>
    </w:p>
    <w:p w:rsidR="00BC2ADE" w:rsidRPr="005152FF" w:rsidRDefault="00BC2ADE" w:rsidP="00BC2ADE">
      <w:pPr>
        <w:spacing w:line="360" w:lineRule="auto"/>
        <w:contextualSpacing/>
        <w:jc w:val="both"/>
        <w:rPr>
          <w:rFonts w:ascii="Arial" w:hAnsi="Arial" w:cs="Arial"/>
          <w:color w:val="000000" w:themeColor="text1"/>
        </w:rPr>
      </w:pPr>
    </w:p>
    <w:p w:rsidR="00BC2ADE" w:rsidRPr="005152FF" w:rsidRDefault="00BC2ADE" w:rsidP="00BC2ADE">
      <w:pPr>
        <w:pStyle w:val="Sinespaciado"/>
        <w:spacing w:line="360" w:lineRule="auto"/>
        <w:jc w:val="both"/>
        <w:rPr>
          <w:rFonts w:ascii="Arial" w:hAnsi="Arial" w:cs="Arial"/>
          <w:b/>
          <w:color w:val="000000" w:themeColor="text1"/>
          <w:sz w:val="24"/>
          <w:szCs w:val="24"/>
        </w:rPr>
      </w:pPr>
      <w:r w:rsidRPr="005152FF">
        <w:rPr>
          <w:rFonts w:ascii="Arial" w:hAnsi="Arial" w:cs="Arial"/>
          <w:b/>
          <w:color w:val="000000" w:themeColor="text1"/>
          <w:sz w:val="24"/>
          <w:szCs w:val="24"/>
        </w:rPr>
        <w:t>NOTA.- Recursos transferidos por derechos e impuestos por emisión de valores que no constituyen pasivo directo ni deuda pública (saldo insoluto actualizado); y, obligación de transferencia de ingresos por derechos e impuestos por emisión de valores que no constituyen pasivo directo ni deuda pública (saldo insoluto actualizado).</w:t>
      </w:r>
    </w:p>
    <w:p w:rsidR="00BC2ADE" w:rsidRPr="005152FF" w:rsidRDefault="00BC2ADE" w:rsidP="00BC2ADE">
      <w:pPr>
        <w:pStyle w:val="Sinespaciado"/>
        <w:spacing w:line="360" w:lineRule="auto"/>
        <w:rPr>
          <w:rFonts w:ascii="Arial" w:hAnsi="Arial" w:cs="Arial"/>
          <w:color w:val="000000" w:themeColor="text1"/>
          <w:sz w:val="24"/>
          <w:szCs w:val="24"/>
        </w:rPr>
      </w:pPr>
    </w:p>
    <w:p w:rsidR="00BC2ADE" w:rsidRPr="005152FF" w:rsidRDefault="00BC2ADE" w:rsidP="00BC2ADE">
      <w:pPr>
        <w:spacing w:line="360" w:lineRule="auto"/>
        <w:contextualSpacing/>
        <w:jc w:val="both"/>
        <w:rPr>
          <w:rFonts w:ascii="Arial" w:hAnsi="Arial" w:cs="Arial"/>
          <w:color w:val="000000" w:themeColor="text1"/>
        </w:rPr>
      </w:pPr>
      <w:r w:rsidRPr="005152FF">
        <w:rPr>
          <w:rFonts w:ascii="Arial" w:hAnsi="Arial" w:cs="Arial"/>
          <w:color w:val="000000" w:themeColor="text1"/>
        </w:rPr>
        <w:t xml:space="preserve">Por razones de rendición de cuentas y transparencia en la información, es necesario llevar a cabo un mecanismo contable que permita reflejar de manera clara las obligaciones derivadas de la bursatilización, toda vez que ésta no constituye deuda pública para el Estado. Para lo cual, se crearon dentro del rubro de Cuentas de Orden, las cuentas “Recursos transferidos por derechos e impuestos por emisión de valores que no constituyen pasivo directo ni deuda </w:t>
      </w:r>
      <w:r w:rsidRPr="005152FF">
        <w:rPr>
          <w:rFonts w:ascii="Arial" w:hAnsi="Arial" w:cs="Arial"/>
          <w:color w:val="000000" w:themeColor="text1"/>
        </w:rPr>
        <w:lastRenderedPageBreak/>
        <w:t>pública” y “Obligación de transferencia de ingresos por derechos e impuestos por emisión de valores que no constituyen pasivo directo ni deuda pública”, las cuales al 3</w:t>
      </w:r>
      <w:r>
        <w:rPr>
          <w:rFonts w:ascii="Arial" w:hAnsi="Arial" w:cs="Arial"/>
          <w:color w:val="000000" w:themeColor="text1"/>
        </w:rPr>
        <w:t>0</w:t>
      </w:r>
      <w:r w:rsidRPr="005152FF">
        <w:rPr>
          <w:rFonts w:ascii="Arial" w:hAnsi="Arial" w:cs="Arial"/>
          <w:color w:val="000000" w:themeColor="text1"/>
        </w:rPr>
        <w:t xml:space="preserve"> de </w:t>
      </w:r>
      <w:r>
        <w:rPr>
          <w:rFonts w:ascii="Arial" w:hAnsi="Arial" w:cs="Arial"/>
          <w:color w:val="000000" w:themeColor="text1"/>
        </w:rPr>
        <w:t>Junio</w:t>
      </w:r>
      <w:r w:rsidRPr="005152FF">
        <w:rPr>
          <w:rFonts w:ascii="Arial" w:hAnsi="Arial" w:cs="Arial"/>
          <w:color w:val="000000" w:themeColor="text1"/>
        </w:rPr>
        <w:t xml:space="preserve"> de 201</w:t>
      </w:r>
      <w:r>
        <w:rPr>
          <w:rFonts w:ascii="Arial" w:hAnsi="Arial" w:cs="Arial"/>
          <w:color w:val="000000" w:themeColor="text1"/>
        </w:rPr>
        <w:t>5</w:t>
      </w:r>
      <w:r w:rsidRPr="005152FF">
        <w:rPr>
          <w:rFonts w:ascii="Arial" w:hAnsi="Arial" w:cs="Arial"/>
          <w:color w:val="000000" w:themeColor="text1"/>
        </w:rPr>
        <w:t xml:space="preserve"> reflejan un saldo de 3 mil </w:t>
      </w:r>
      <w:r>
        <w:rPr>
          <w:rFonts w:ascii="Arial" w:hAnsi="Arial" w:cs="Arial"/>
          <w:color w:val="000000" w:themeColor="text1"/>
        </w:rPr>
        <w:t>237</w:t>
      </w:r>
      <w:r w:rsidRPr="005152FF">
        <w:rPr>
          <w:rFonts w:ascii="Arial" w:hAnsi="Arial" w:cs="Arial"/>
          <w:color w:val="000000" w:themeColor="text1"/>
        </w:rPr>
        <w:t xml:space="preserve"> millones </w:t>
      </w:r>
      <w:r>
        <w:rPr>
          <w:rFonts w:ascii="Arial" w:hAnsi="Arial" w:cs="Arial"/>
          <w:color w:val="000000" w:themeColor="text1"/>
        </w:rPr>
        <w:t>721</w:t>
      </w:r>
      <w:r w:rsidRPr="005152FF">
        <w:rPr>
          <w:rFonts w:ascii="Arial" w:hAnsi="Arial" w:cs="Arial"/>
          <w:color w:val="000000" w:themeColor="text1"/>
        </w:rPr>
        <w:t xml:space="preserve"> mil</w:t>
      </w:r>
      <w:r>
        <w:rPr>
          <w:rFonts w:ascii="Arial" w:hAnsi="Arial" w:cs="Arial"/>
          <w:color w:val="000000" w:themeColor="text1"/>
        </w:rPr>
        <w:t xml:space="preserve"> 644 pesos</w:t>
      </w:r>
      <w:r w:rsidRPr="005152FF">
        <w:rPr>
          <w:rFonts w:ascii="Arial" w:hAnsi="Arial" w:cs="Arial"/>
          <w:color w:val="000000" w:themeColor="text1"/>
        </w:rPr>
        <w:t>, que corresponde al saldo actualizado de la primera emisión colocada, al valor de las Unidades de Inversión en esa fecha.</w:t>
      </w:r>
    </w:p>
    <w:p w:rsidR="00BC2ADE" w:rsidRDefault="00BC2ADE" w:rsidP="00BC2ADE">
      <w:pPr>
        <w:pStyle w:val="Sinespaciado"/>
        <w:spacing w:line="360" w:lineRule="auto"/>
        <w:jc w:val="both"/>
        <w:rPr>
          <w:rFonts w:ascii="Arial" w:hAnsi="Arial" w:cs="Arial"/>
          <w:b/>
          <w:color w:val="000000" w:themeColor="text1"/>
          <w:sz w:val="24"/>
          <w:szCs w:val="24"/>
        </w:rPr>
      </w:pPr>
    </w:p>
    <w:p w:rsidR="00BC2ADE" w:rsidRPr="005152FF" w:rsidRDefault="00BC2ADE" w:rsidP="00BC2ADE">
      <w:pPr>
        <w:pStyle w:val="Sinespaciado"/>
        <w:spacing w:line="360" w:lineRule="auto"/>
        <w:jc w:val="both"/>
        <w:rPr>
          <w:rFonts w:ascii="Arial" w:hAnsi="Arial" w:cs="Arial"/>
          <w:b/>
          <w:color w:val="000000" w:themeColor="text1"/>
          <w:sz w:val="24"/>
          <w:szCs w:val="24"/>
        </w:rPr>
      </w:pPr>
      <w:r w:rsidRPr="005152FF">
        <w:rPr>
          <w:rFonts w:ascii="Arial" w:hAnsi="Arial" w:cs="Arial"/>
          <w:b/>
          <w:color w:val="000000" w:themeColor="text1"/>
          <w:sz w:val="24"/>
          <w:szCs w:val="24"/>
        </w:rPr>
        <w:t>NOTA.-  Obligación de transferencia de ingresos por derechos e impuestos por emisión de valores que no constituyen pasivo directo ni deuda pública (recursos transferidos del estado al fideicomiso); y, recursos transferidos por derechos e impuestos por emisión de valores que no constituyen pasivo directo ni deuda pública (recursos transferidos del estado al fideicomiso).</w:t>
      </w:r>
    </w:p>
    <w:p w:rsidR="00BC2ADE" w:rsidRPr="005152FF" w:rsidRDefault="00BC2ADE" w:rsidP="00BC2ADE">
      <w:pPr>
        <w:spacing w:line="360" w:lineRule="auto"/>
        <w:contextualSpacing/>
        <w:jc w:val="both"/>
        <w:rPr>
          <w:rFonts w:ascii="Arial" w:hAnsi="Arial" w:cs="Arial"/>
          <w:b/>
          <w:color w:val="000000" w:themeColor="text1"/>
        </w:rPr>
      </w:pPr>
    </w:p>
    <w:p w:rsidR="00BC2ADE" w:rsidRDefault="00BC2ADE" w:rsidP="00BC2ADE">
      <w:pPr>
        <w:spacing w:line="360" w:lineRule="auto"/>
        <w:contextualSpacing/>
        <w:jc w:val="both"/>
        <w:rPr>
          <w:rFonts w:ascii="Arial" w:hAnsi="Arial" w:cs="Arial"/>
          <w:color w:val="000000" w:themeColor="text1"/>
        </w:rPr>
      </w:pPr>
      <w:r w:rsidRPr="005152FF">
        <w:rPr>
          <w:rFonts w:ascii="Arial" w:hAnsi="Arial" w:cs="Arial"/>
          <w:color w:val="000000" w:themeColor="text1"/>
        </w:rPr>
        <w:t xml:space="preserve">Para efectos de registro y control de los recursos que son transferidos al Fideicomiso Emisor en cumplimiento al Contrato respectivo y demás documentación legal, se </w:t>
      </w:r>
      <w:proofErr w:type="spellStart"/>
      <w:r w:rsidRPr="005152FF">
        <w:rPr>
          <w:rFonts w:ascii="Arial" w:hAnsi="Arial" w:cs="Arial"/>
          <w:color w:val="000000" w:themeColor="text1"/>
        </w:rPr>
        <w:t>aperturaron</w:t>
      </w:r>
      <w:proofErr w:type="spellEnd"/>
      <w:r w:rsidRPr="005152FF">
        <w:rPr>
          <w:rFonts w:ascii="Arial" w:hAnsi="Arial" w:cs="Arial"/>
          <w:color w:val="000000" w:themeColor="text1"/>
        </w:rPr>
        <w:t xml:space="preserve"> cuentas de orden que permitan obtener el monto acumulado transferido por el Gobierno del Estado al Fideicomiso Emisor. Al 3</w:t>
      </w:r>
      <w:r>
        <w:rPr>
          <w:rFonts w:ascii="Arial" w:hAnsi="Arial" w:cs="Arial"/>
          <w:color w:val="000000" w:themeColor="text1"/>
        </w:rPr>
        <w:t>0</w:t>
      </w:r>
      <w:r w:rsidRPr="005152FF">
        <w:rPr>
          <w:rFonts w:ascii="Arial" w:hAnsi="Arial" w:cs="Arial"/>
          <w:color w:val="000000" w:themeColor="text1"/>
        </w:rPr>
        <w:t xml:space="preserve"> de </w:t>
      </w:r>
      <w:r>
        <w:rPr>
          <w:rFonts w:ascii="Arial" w:hAnsi="Arial" w:cs="Arial"/>
          <w:color w:val="000000" w:themeColor="text1"/>
        </w:rPr>
        <w:t>junio</w:t>
      </w:r>
      <w:r w:rsidRPr="005152FF">
        <w:rPr>
          <w:rFonts w:ascii="Arial" w:hAnsi="Arial" w:cs="Arial"/>
          <w:color w:val="000000" w:themeColor="text1"/>
        </w:rPr>
        <w:t xml:space="preserve"> de 201</w:t>
      </w:r>
      <w:r>
        <w:rPr>
          <w:rFonts w:ascii="Arial" w:hAnsi="Arial" w:cs="Arial"/>
          <w:color w:val="000000" w:themeColor="text1"/>
        </w:rPr>
        <w:t>5</w:t>
      </w:r>
      <w:r w:rsidRPr="005152FF">
        <w:rPr>
          <w:rFonts w:ascii="Arial" w:hAnsi="Arial" w:cs="Arial"/>
          <w:color w:val="000000" w:themeColor="text1"/>
        </w:rPr>
        <w:t xml:space="preserve"> su saldo es de 4 mil </w:t>
      </w:r>
      <w:r>
        <w:rPr>
          <w:rFonts w:ascii="Arial" w:hAnsi="Arial" w:cs="Arial"/>
          <w:color w:val="000000" w:themeColor="text1"/>
        </w:rPr>
        <w:t>849</w:t>
      </w:r>
      <w:r w:rsidRPr="005152FF">
        <w:rPr>
          <w:rFonts w:ascii="Arial" w:hAnsi="Arial" w:cs="Arial"/>
          <w:color w:val="000000" w:themeColor="text1"/>
        </w:rPr>
        <w:t xml:space="preserve"> millones </w:t>
      </w:r>
      <w:r>
        <w:rPr>
          <w:rFonts w:ascii="Arial" w:hAnsi="Arial" w:cs="Arial"/>
          <w:color w:val="000000" w:themeColor="text1"/>
        </w:rPr>
        <w:t>110</w:t>
      </w:r>
      <w:r w:rsidRPr="005152FF">
        <w:rPr>
          <w:rFonts w:ascii="Arial" w:hAnsi="Arial" w:cs="Arial"/>
          <w:color w:val="000000" w:themeColor="text1"/>
        </w:rPr>
        <w:t xml:space="preserve"> mil </w:t>
      </w:r>
      <w:r>
        <w:rPr>
          <w:rFonts w:ascii="Arial" w:hAnsi="Arial" w:cs="Arial"/>
          <w:color w:val="000000" w:themeColor="text1"/>
        </w:rPr>
        <w:t xml:space="preserve">684 </w:t>
      </w:r>
      <w:r w:rsidRPr="005152FF">
        <w:rPr>
          <w:rFonts w:ascii="Arial" w:hAnsi="Arial" w:cs="Arial"/>
          <w:color w:val="000000" w:themeColor="text1"/>
        </w:rPr>
        <w:t>pesos. Dicho importe ha sido utilizado por el Fideicomiso para el pago de principal e intereses a los inversionistas y los gastos de mantenimiento respectivos. Los remanentes son entregados al Gobierno del Estado de conformidad con el Contrato de Fideicomiso Emisor y demás documentación legal. Los recursos transferidos no ejercidos al cierre del ejercicio, se encuentran provisionados en los siguientes fondos: Fondo de Provisión para Gastos de Mantenimiento, Fondo de Provisión y Pago de Intereses y el Fondo de Provisión y Pago de Principal.</w:t>
      </w:r>
    </w:p>
    <w:p w:rsidR="00BC2ADE" w:rsidRDefault="00BC2ADE">
      <w:pPr>
        <w:rPr>
          <w:rFonts w:ascii="Arial" w:hAnsi="Arial" w:cs="Arial"/>
          <w:color w:val="000000" w:themeColor="text1"/>
        </w:rPr>
      </w:pPr>
      <w:r>
        <w:rPr>
          <w:rFonts w:ascii="Arial" w:hAnsi="Arial" w:cs="Arial"/>
          <w:color w:val="000000" w:themeColor="text1"/>
        </w:rPr>
        <w:br w:type="page"/>
      </w:r>
    </w:p>
    <w:p w:rsidR="00BC2ADE" w:rsidRPr="005152FF" w:rsidRDefault="00BC2ADE" w:rsidP="00BC2ADE">
      <w:pPr>
        <w:spacing w:line="360" w:lineRule="auto"/>
        <w:contextualSpacing/>
        <w:jc w:val="both"/>
        <w:rPr>
          <w:rFonts w:ascii="Arial" w:hAnsi="Arial" w:cs="Arial"/>
          <w:color w:val="000000" w:themeColor="text1"/>
        </w:rPr>
      </w:pPr>
    </w:p>
    <w:p w:rsidR="00BC2ADE" w:rsidRPr="005152FF" w:rsidRDefault="00BC2ADE" w:rsidP="00BC2ADE">
      <w:pPr>
        <w:pStyle w:val="Sinespaciado"/>
        <w:spacing w:line="360" w:lineRule="auto"/>
        <w:rPr>
          <w:rFonts w:ascii="Arial" w:hAnsi="Arial" w:cs="Arial"/>
          <w:b/>
          <w:color w:val="000000" w:themeColor="text1"/>
          <w:sz w:val="24"/>
          <w:szCs w:val="24"/>
        </w:rPr>
      </w:pPr>
      <w:r w:rsidRPr="005152FF">
        <w:rPr>
          <w:rFonts w:ascii="Arial" w:hAnsi="Arial" w:cs="Arial"/>
          <w:b/>
          <w:color w:val="000000" w:themeColor="text1"/>
          <w:sz w:val="24"/>
          <w:szCs w:val="24"/>
        </w:rPr>
        <w:t>NOTA.- Recursos provisionados en los fondos del fideicomiso.</w:t>
      </w:r>
    </w:p>
    <w:p w:rsidR="00BC2ADE" w:rsidRPr="005152FF" w:rsidRDefault="00BC2ADE" w:rsidP="00BC2ADE">
      <w:pPr>
        <w:pStyle w:val="Sinespaciado"/>
        <w:spacing w:line="360" w:lineRule="auto"/>
        <w:rPr>
          <w:rFonts w:ascii="Arial" w:hAnsi="Arial" w:cs="Arial"/>
          <w:b/>
          <w:color w:val="000000" w:themeColor="text1"/>
          <w:sz w:val="24"/>
          <w:szCs w:val="24"/>
        </w:rPr>
      </w:pPr>
    </w:p>
    <w:p w:rsidR="00BC2ADE" w:rsidRPr="005152FF" w:rsidRDefault="00BC2ADE" w:rsidP="00BC2ADE">
      <w:pPr>
        <w:spacing w:line="360" w:lineRule="auto"/>
        <w:contextualSpacing/>
        <w:jc w:val="both"/>
        <w:rPr>
          <w:rFonts w:ascii="Arial" w:hAnsi="Arial" w:cs="Arial"/>
          <w:color w:val="000000" w:themeColor="text1"/>
        </w:rPr>
      </w:pPr>
      <w:r w:rsidRPr="005152FF">
        <w:rPr>
          <w:rFonts w:ascii="Arial" w:hAnsi="Arial" w:cs="Arial"/>
          <w:color w:val="000000" w:themeColor="text1"/>
        </w:rPr>
        <w:t>El Contrato de Fideicomiso Emisor establece como mecanismo de operación, la creación de diversos fondos en los que se provisionan los recursos necesarios para el cumplimiento oportuno de las obligaciones contraídas. Al 3</w:t>
      </w:r>
      <w:r>
        <w:rPr>
          <w:rFonts w:ascii="Arial" w:hAnsi="Arial" w:cs="Arial"/>
          <w:color w:val="000000" w:themeColor="text1"/>
        </w:rPr>
        <w:t>0</w:t>
      </w:r>
      <w:r w:rsidRPr="005152FF">
        <w:rPr>
          <w:rFonts w:ascii="Arial" w:hAnsi="Arial" w:cs="Arial"/>
          <w:color w:val="000000" w:themeColor="text1"/>
        </w:rPr>
        <w:t xml:space="preserve"> de </w:t>
      </w:r>
      <w:r>
        <w:rPr>
          <w:rFonts w:ascii="Arial" w:hAnsi="Arial" w:cs="Arial"/>
          <w:color w:val="000000" w:themeColor="text1"/>
        </w:rPr>
        <w:t>Junio</w:t>
      </w:r>
      <w:r w:rsidRPr="005152FF">
        <w:rPr>
          <w:rFonts w:ascii="Arial" w:hAnsi="Arial" w:cs="Arial"/>
          <w:color w:val="000000" w:themeColor="text1"/>
        </w:rPr>
        <w:t xml:space="preserve"> de 201</w:t>
      </w:r>
      <w:r>
        <w:rPr>
          <w:rFonts w:ascii="Arial" w:hAnsi="Arial" w:cs="Arial"/>
          <w:color w:val="000000" w:themeColor="text1"/>
        </w:rPr>
        <w:t>5</w:t>
      </w:r>
      <w:r w:rsidRPr="005152FF">
        <w:rPr>
          <w:rFonts w:ascii="Arial" w:hAnsi="Arial" w:cs="Arial"/>
          <w:color w:val="000000" w:themeColor="text1"/>
        </w:rPr>
        <w:t xml:space="preserve"> dichos Fondos suman un saldo total de </w:t>
      </w:r>
      <w:r>
        <w:rPr>
          <w:rFonts w:ascii="Arial" w:hAnsi="Arial" w:cs="Arial"/>
          <w:color w:val="000000" w:themeColor="text1"/>
        </w:rPr>
        <w:t>251</w:t>
      </w:r>
      <w:r w:rsidRPr="005152FF">
        <w:rPr>
          <w:rFonts w:ascii="Arial" w:hAnsi="Arial" w:cs="Arial"/>
          <w:color w:val="000000" w:themeColor="text1"/>
        </w:rPr>
        <w:t xml:space="preserve"> millones </w:t>
      </w:r>
      <w:r>
        <w:rPr>
          <w:rFonts w:ascii="Arial" w:hAnsi="Arial" w:cs="Arial"/>
          <w:color w:val="000000" w:themeColor="text1"/>
        </w:rPr>
        <w:t>485</w:t>
      </w:r>
      <w:r w:rsidRPr="005152FF">
        <w:rPr>
          <w:rFonts w:ascii="Arial" w:hAnsi="Arial" w:cs="Arial"/>
          <w:color w:val="000000" w:themeColor="text1"/>
        </w:rPr>
        <w:t xml:space="preserve"> mil</w:t>
      </w:r>
      <w:r>
        <w:rPr>
          <w:rFonts w:ascii="Arial" w:hAnsi="Arial" w:cs="Arial"/>
          <w:color w:val="000000" w:themeColor="text1"/>
        </w:rPr>
        <w:t xml:space="preserve"> 627</w:t>
      </w:r>
      <w:r w:rsidRPr="005152FF">
        <w:rPr>
          <w:rFonts w:ascii="Arial" w:hAnsi="Arial" w:cs="Arial"/>
          <w:color w:val="000000" w:themeColor="text1"/>
        </w:rPr>
        <w:t xml:space="preserve"> pesos.</w:t>
      </w:r>
    </w:p>
    <w:p w:rsidR="00BC2ADE" w:rsidRPr="005152FF" w:rsidRDefault="00BC2ADE" w:rsidP="00BC2ADE">
      <w:pPr>
        <w:spacing w:line="360" w:lineRule="auto"/>
        <w:contextualSpacing/>
        <w:jc w:val="both"/>
        <w:rPr>
          <w:rFonts w:ascii="Arial" w:hAnsi="Arial" w:cs="Arial"/>
          <w:color w:val="000000" w:themeColor="text1"/>
        </w:rPr>
      </w:pPr>
    </w:p>
    <w:p w:rsidR="00BC2ADE" w:rsidRPr="005152FF" w:rsidRDefault="00BC2ADE" w:rsidP="00BC2ADE">
      <w:pPr>
        <w:pStyle w:val="Sinespaciado"/>
        <w:spacing w:line="360" w:lineRule="auto"/>
        <w:rPr>
          <w:rFonts w:ascii="Arial" w:hAnsi="Arial" w:cs="Arial"/>
          <w:b/>
          <w:color w:val="000000" w:themeColor="text1"/>
          <w:sz w:val="24"/>
          <w:szCs w:val="24"/>
        </w:rPr>
      </w:pPr>
      <w:r w:rsidRPr="005152FF">
        <w:rPr>
          <w:rFonts w:ascii="Arial" w:hAnsi="Arial" w:cs="Arial"/>
          <w:b/>
          <w:color w:val="000000" w:themeColor="text1"/>
          <w:sz w:val="24"/>
          <w:szCs w:val="24"/>
        </w:rPr>
        <w:t>NOTA.-  Proyectos de prestación de servicios a largo plazo.</w:t>
      </w:r>
    </w:p>
    <w:p w:rsidR="00BC2ADE" w:rsidRPr="005152FF" w:rsidRDefault="00BC2ADE" w:rsidP="00BC2ADE">
      <w:pPr>
        <w:pStyle w:val="Sinespaciado"/>
        <w:spacing w:line="360" w:lineRule="auto"/>
        <w:rPr>
          <w:rFonts w:ascii="Arial" w:hAnsi="Arial" w:cs="Arial"/>
          <w:b/>
          <w:color w:val="000000" w:themeColor="text1"/>
          <w:sz w:val="24"/>
          <w:szCs w:val="24"/>
        </w:rPr>
      </w:pPr>
    </w:p>
    <w:p w:rsidR="00BC2ADE" w:rsidRPr="005152FF" w:rsidRDefault="00BC2ADE" w:rsidP="00BC2ADE">
      <w:pPr>
        <w:spacing w:line="360" w:lineRule="auto"/>
        <w:contextualSpacing/>
        <w:jc w:val="both"/>
        <w:rPr>
          <w:rFonts w:ascii="Arial" w:hAnsi="Arial" w:cs="Arial"/>
          <w:color w:val="000000" w:themeColor="text1"/>
        </w:rPr>
      </w:pPr>
      <w:r w:rsidRPr="005152FF">
        <w:rPr>
          <w:rFonts w:ascii="Arial" w:hAnsi="Arial" w:cs="Arial"/>
          <w:color w:val="000000" w:themeColor="text1"/>
        </w:rPr>
        <w:t>En el ejercicio del 2006 el Estado de Oaxaca adopto el esquema de Proyectos para Prestación de Servicios (PPS) este esquema tiene la ventaja de convertir un gasto corriente en un gasto de inversión, toda vez que las cantidades que anteriormente se hacían por arrendamiento de inmuebles y servicios generales de oficinas , se aplican para recibir estos servicios y además adquirir el inmueble en el que se desarrollan, el financiamiento lo contratan los inversionistas privados, razón por lo cual no constituye una deuda directa para el estado.</w:t>
      </w:r>
    </w:p>
    <w:p w:rsidR="00BC2ADE" w:rsidRPr="005152FF" w:rsidRDefault="00BC2ADE" w:rsidP="00BC2ADE">
      <w:pPr>
        <w:spacing w:line="360" w:lineRule="auto"/>
        <w:contextualSpacing/>
        <w:jc w:val="both"/>
        <w:rPr>
          <w:rFonts w:ascii="Arial" w:hAnsi="Arial" w:cs="Arial"/>
          <w:color w:val="000000" w:themeColor="text1"/>
        </w:rPr>
      </w:pPr>
    </w:p>
    <w:p w:rsidR="00BC2ADE" w:rsidRDefault="00BC2ADE" w:rsidP="00BC2ADE">
      <w:pPr>
        <w:spacing w:line="360" w:lineRule="auto"/>
        <w:contextualSpacing/>
        <w:jc w:val="both"/>
        <w:rPr>
          <w:rFonts w:ascii="Arial" w:hAnsi="Arial" w:cs="Arial"/>
        </w:rPr>
      </w:pPr>
      <w:r w:rsidRPr="005152FF">
        <w:rPr>
          <w:rFonts w:ascii="Arial" w:hAnsi="Arial" w:cs="Arial"/>
          <w:color w:val="000000" w:themeColor="text1"/>
        </w:rPr>
        <w:t xml:space="preserve">En estas cuentas, se refleja el control y seguimiento de la aplicación de los recursos para los proyectos de prestación de servicios a largo plazo para la creación de infraestructura, equipamiento y </w:t>
      </w:r>
      <w:r w:rsidRPr="005152FF">
        <w:rPr>
          <w:rFonts w:ascii="Arial" w:hAnsi="Arial" w:cs="Arial"/>
        </w:rPr>
        <w:t xml:space="preserve">mantenimiento para la disponibilidad de la Ciudad Administrativa en </w:t>
      </w:r>
      <w:proofErr w:type="spellStart"/>
      <w:r w:rsidRPr="005152FF">
        <w:rPr>
          <w:rFonts w:ascii="Arial" w:hAnsi="Arial" w:cs="Arial"/>
        </w:rPr>
        <w:t>Tlalixtac</w:t>
      </w:r>
      <w:proofErr w:type="spellEnd"/>
      <w:r w:rsidRPr="005152FF">
        <w:rPr>
          <w:rFonts w:ascii="Arial" w:hAnsi="Arial" w:cs="Arial"/>
        </w:rPr>
        <w:t xml:space="preserve"> de Cabrera, Oaxaca, y el Centro Administrativo del Poder Ejecutivo y Judicial “General Porfirio Díaz” Soldado de la Patria ubicado en Reyes Mantecón, Municipio de San Bartolo </w:t>
      </w:r>
      <w:proofErr w:type="spellStart"/>
      <w:r w:rsidRPr="005152FF">
        <w:rPr>
          <w:rFonts w:ascii="Arial" w:hAnsi="Arial" w:cs="Arial"/>
        </w:rPr>
        <w:t>Coyotepec</w:t>
      </w:r>
      <w:proofErr w:type="spellEnd"/>
      <w:r w:rsidRPr="005152FF">
        <w:rPr>
          <w:rFonts w:ascii="Arial" w:hAnsi="Arial" w:cs="Arial"/>
        </w:rPr>
        <w:t xml:space="preserve">, Oaxaca; toda vez que a la conclusión de dichos contratos, parte del importe acumulado reflejado en esta cuenta será la base para el registro patrimonial de los bienes (muebles e inmuebles) afectos en los contratos respectivos. </w:t>
      </w:r>
    </w:p>
    <w:p w:rsidR="00BC2ADE" w:rsidRDefault="00BC2ADE" w:rsidP="00BC2ADE">
      <w:pPr>
        <w:spacing w:line="360" w:lineRule="auto"/>
        <w:contextualSpacing/>
        <w:jc w:val="both"/>
        <w:rPr>
          <w:rFonts w:ascii="Arial" w:hAnsi="Arial" w:cs="Arial"/>
        </w:rPr>
      </w:pPr>
    </w:p>
    <w:p w:rsidR="00BC2ADE" w:rsidRPr="005152FF" w:rsidRDefault="00BC2ADE" w:rsidP="00BC2ADE">
      <w:pPr>
        <w:spacing w:line="360" w:lineRule="auto"/>
        <w:contextualSpacing/>
        <w:jc w:val="both"/>
        <w:rPr>
          <w:rFonts w:ascii="Arial" w:hAnsi="Arial" w:cs="Arial"/>
        </w:rPr>
      </w:pPr>
      <w:r>
        <w:rPr>
          <w:rFonts w:ascii="Arial" w:hAnsi="Arial" w:cs="Arial"/>
        </w:rPr>
        <w:lastRenderedPageBreak/>
        <w:t>Cabe hacer mención que el tiempo establecido por los contratos de ciudad administrativa se redujo de 15 a 10 años, terminando su plazo anticipadamente en el mes de Julio del 2016, esto derivado de los pagos anticipados que realizo el Gobierno del Estado de Oaxaca.</w:t>
      </w:r>
    </w:p>
    <w:p w:rsidR="00BC2ADE" w:rsidRPr="005152FF" w:rsidRDefault="00BC2ADE" w:rsidP="00BC2ADE">
      <w:pPr>
        <w:spacing w:line="360" w:lineRule="auto"/>
        <w:contextualSpacing/>
        <w:jc w:val="both"/>
        <w:rPr>
          <w:rFonts w:ascii="Arial" w:hAnsi="Arial" w:cs="Arial"/>
        </w:rPr>
      </w:pPr>
    </w:p>
    <w:p w:rsidR="00BC2ADE" w:rsidRDefault="00BC2ADE" w:rsidP="00BC2ADE">
      <w:pPr>
        <w:spacing w:line="360" w:lineRule="auto"/>
        <w:contextualSpacing/>
        <w:jc w:val="both"/>
        <w:rPr>
          <w:rFonts w:ascii="Arial" w:hAnsi="Arial" w:cs="Arial"/>
        </w:rPr>
      </w:pPr>
      <w:r w:rsidRPr="00541389">
        <w:rPr>
          <w:rFonts w:ascii="Arial" w:hAnsi="Arial" w:cs="Arial"/>
        </w:rPr>
        <w:t xml:space="preserve">Al </w:t>
      </w:r>
      <w:r>
        <w:rPr>
          <w:rFonts w:ascii="Arial" w:hAnsi="Arial" w:cs="Arial"/>
        </w:rPr>
        <w:t>30 de Junio de 2015</w:t>
      </w:r>
      <w:r w:rsidRPr="00541389">
        <w:rPr>
          <w:rFonts w:ascii="Arial" w:hAnsi="Arial" w:cs="Arial"/>
        </w:rPr>
        <w:t xml:space="preserve">, Ciudad Administrativa refleja un saldo acumulado de </w:t>
      </w:r>
      <w:r>
        <w:rPr>
          <w:rFonts w:ascii="Arial" w:hAnsi="Arial" w:cs="Arial"/>
        </w:rPr>
        <w:t>948</w:t>
      </w:r>
      <w:r w:rsidRPr="00541389">
        <w:rPr>
          <w:rFonts w:ascii="Arial" w:hAnsi="Arial" w:cs="Arial"/>
        </w:rPr>
        <w:t xml:space="preserve"> millones </w:t>
      </w:r>
      <w:r>
        <w:rPr>
          <w:rFonts w:ascii="Arial" w:hAnsi="Arial" w:cs="Arial"/>
        </w:rPr>
        <w:t>911</w:t>
      </w:r>
      <w:r w:rsidRPr="00541389">
        <w:rPr>
          <w:rFonts w:ascii="Arial" w:hAnsi="Arial" w:cs="Arial"/>
        </w:rPr>
        <w:t xml:space="preserve"> mil</w:t>
      </w:r>
      <w:r>
        <w:rPr>
          <w:rFonts w:ascii="Arial" w:hAnsi="Arial" w:cs="Arial"/>
        </w:rPr>
        <w:t xml:space="preserve"> 133</w:t>
      </w:r>
      <w:r w:rsidRPr="00541389">
        <w:rPr>
          <w:rFonts w:ascii="Arial" w:hAnsi="Arial" w:cs="Arial"/>
        </w:rPr>
        <w:t xml:space="preserve"> pesos y el Centro Administrativo del Poder Ejecutivo y Judicial “Gene</w:t>
      </w:r>
      <w:r>
        <w:rPr>
          <w:rFonts w:ascii="Arial" w:hAnsi="Arial" w:cs="Arial"/>
        </w:rPr>
        <w:t>ral Porfirio Díaz” un saldo de un mil</w:t>
      </w:r>
      <w:r w:rsidRPr="00541389">
        <w:rPr>
          <w:rFonts w:ascii="Arial" w:hAnsi="Arial" w:cs="Arial"/>
        </w:rPr>
        <w:t xml:space="preserve"> </w:t>
      </w:r>
      <w:r>
        <w:rPr>
          <w:rFonts w:ascii="Arial" w:hAnsi="Arial" w:cs="Arial"/>
        </w:rPr>
        <w:t>901</w:t>
      </w:r>
      <w:r w:rsidRPr="00541389">
        <w:rPr>
          <w:rFonts w:ascii="Arial" w:hAnsi="Arial" w:cs="Arial"/>
        </w:rPr>
        <w:t xml:space="preserve"> millones </w:t>
      </w:r>
      <w:r>
        <w:rPr>
          <w:rFonts w:ascii="Arial" w:hAnsi="Arial" w:cs="Arial"/>
        </w:rPr>
        <w:t>322</w:t>
      </w:r>
      <w:r w:rsidRPr="00541389">
        <w:rPr>
          <w:rFonts w:ascii="Arial" w:hAnsi="Arial" w:cs="Arial"/>
        </w:rPr>
        <w:t xml:space="preserve"> mil</w:t>
      </w:r>
      <w:r>
        <w:rPr>
          <w:rFonts w:ascii="Arial" w:hAnsi="Arial" w:cs="Arial"/>
        </w:rPr>
        <w:t xml:space="preserve"> 422</w:t>
      </w:r>
      <w:r w:rsidRPr="00541389">
        <w:rPr>
          <w:rFonts w:ascii="Arial" w:hAnsi="Arial" w:cs="Arial"/>
        </w:rPr>
        <w:t xml:space="preserve"> pesos.</w:t>
      </w:r>
    </w:p>
    <w:p w:rsidR="00BC2ADE" w:rsidRPr="00541389" w:rsidRDefault="00BC2ADE" w:rsidP="00BC2ADE">
      <w:pPr>
        <w:spacing w:line="360" w:lineRule="auto"/>
        <w:contextualSpacing/>
        <w:jc w:val="both"/>
        <w:rPr>
          <w:rFonts w:ascii="Arial" w:hAnsi="Arial" w:cs="Arial"/>
        </w:rPr>
      </w:pPr>
    </w:p>
    <w:p w:rsidR="00BC2ADE" w:rsidRPr="005152FF" w:rsidRDefault="00BC2ADE" w:rsidP="00BC2ADE">
      <w:pPr>
        <w:pStyle w:val="Sinespaciado"/>
        <w:spacing w:line="360" w:lineRule="auto"/>
        <w:rPr>
          <w:rFonts w:ascii="Arial" w:hAnsi="Arial" w:cs="Arial"/>
          <w:b/>
          <w:sz w:val="24"/>
          <w:szCs w:val="24"/>
        </w:rPr>
      </w:pPr>
      <w:r w:rsidRPr="005152FF">
        <w:rPr>
          <w:rFonts w:ascii="Arial" w:hAnsi="Arial" w:cs="Arial"/>
          <w:b/>
          <w:sz w:val="24"/>
          <w:szCs w:val="24"/>
        </w:rPr>
        <w:t>NOTA.-  Otras Obligaciones Financieras</w:t>
      </w:r>
    </w:p>
    <w:p w:rsidR="00BC2ADE" w:rsidRPr="005152FF" w:rsidRDefault="00BC2ADE" w:rsidP="00BC2ADE">
      <w:pPr>
        <w:pStyle w:val="Sinespaciado"/>
        <w:spacing w:line="360" w:lineRule="auto"/>
        <w:rPr>
          <w:rFonts w:ascii="Arial" w:hAnsi="Arial" w:cs="Arial"/>
          <w:b/>
          <w:sz w:val="24"/>
          <w:szCs w:val="24"/>
        </w:rPr>
      </w:pPr>
    </w:p>
    <w:p w:rsidR="00BC2ADE" w:rsidRPr="005152FF" w:rsidRDefault="00BC2ADE" w:rsidP="00BC2ADE">
      <w:pPr>
        <w:pStyle w:val="Sinespaciado"/>
        <w:spacing w:line="360" w:lineRule="auto"/>
        <w:jc w:val="both"/>
        <w:rPr>
          <w:rFonts w:ascii="Arial" w:hAnsi="Arial" w:cs="Arial"/>
          <w:sz w:val="24"/>
          <w:szCs w:val="24"/>
        </w:rPr>
      </w:pPr>
      <w:r w:rsidRPr="005152FF">
        <w:rPr>
          <w:rFonts w:ascii="Arial" w:hAnsi="Arial" w:cs="Arial"/>
          <w:sz w:val="24"/>
          <w:szCs w:val="24"/>
        </w:rPr>
        <w:t>Por lo que respecta a esta cuenta de orden, corresponde a pasivos que contrae la federación con el fin de proporcionar recursos al Fondo de Reconstrucción (FONREC) al Estado; el cual cubre únicamente los intereses, correspondiendo a la federación el pago de capital y que no constituyen deuda para el Estado</w:t>
      </w:r>
      <w:r w:rsidR="00F45683">
        <w:rPr>
          <w:rFonts w:ascii="Arial" w:hAnsi="Arial" w:cs="Arial"/>
          <w:sz w:val="24"/>
          <w:szCs w:val="24"/>
        </w:rPr>
        <w:t xml:space="preserve"> cuyo saldo al 30 de junio de 2015 es de 3 mil 33 millones 666 mil 876 pesos</w:t>
      </w:r>
      <w:r w:rsidRPr="005152FF">
        <w:rPr>
          <w:rFonts w:ascii="Arial" w:hAnsi="Arial" w:cs="Arial"/>
          <w:sz w:val="24"/>
          <w:szCs w:val="24"/>
        </w:rPr>
        <w:t>.</w:t>
      </w:r>
    </w:p>
    <w:p w:rsidR="00BC2ADE" w:rsidRPr="005152FF" w:rsidRDefault="00BC2ADE" w:rsidP="00BC2ADE">
      <w:pPr>
        <w:spacing w:line="360" w:lineRule="auto"/>
        <w:jc w:val="both"/>
        <w:rPr>
          <w:rFonts w:ascii="Arial" w:hAnsi="Arial" w:cs="Arial"/>
          <w:b/>
        </w:rPr>
      </w:pPr>
    </w:p>
    <w:p w:rsidR="00BC2ADE" w:rsidRDefault="00BC2ADE" w:rsidP="00BC2ADE">
      <w:pPr>
        <w:pStyle w:val="Sinespaciado"/>
        <w:spacing w:line="360" w:lineRule="auto"/>
        <w:jc w:val="both"/>
        <w:rPr>
          <w:rFonts w:ascii="Arial" w:hAnsi="Arial" w:cs="Arial"/>
          <w:b/>
          <w:sz w:val="24"/>
          <w:szCs w:val="24"/>
        </w:rPr>
      </w:pPr>
      <w:r w:rsidRPr="005152FF">
        <w:rPr>
          <w:rFonts w:ascii="Arial" w:hAnsi="Arial" w:cs="Arial"/>
          <w:b/>
          <w:sz w:val="24"/>
          <w:szCs w:val="24"/>
        </w:rPr>
        <w:t>NOTAS DE GESTION ADMINISTRATIVA</w:t>
      </w:r>
    </w:p>
    <w:p w:rsidR="00BC2ADE" w:rsidRPr="005152FF" w:rsidRDefault="00BC2ADE" w:rsidP="00BC2ADE">
      <w:pPr>
        <w:pStyle w:val="Sinespaciado"/>
        <w:spacing w:line="360" w:lineRule="auto"/>
        <w:jc w:val="both"/>
        <w:rPr>
          <w:rFonts w:ascii="Arial" w:hAnsi="Arial" w:cs="Arial"/>
          <w:b/>
          <w:sz w:val="24"/>
          <w:szCs w:val="24"/>
        </w:rPr>
      </w:pPr>
    </w:p>
    <w:p w:rsidR="00BC2ADE" w:rsidRPr="005152FF" w:rsidRDefault="00BC2ADE" w:rsidP="00BC2ADE">
      <w:pPr>
        <w:spacing w:line="360" w:lineRule="auto"/>
        <w:jc w:val="both"/>
        <w:rPr>
          <w:rFonts w:ascii="Arial" w:hAnsi="Arial" w:cs="Arial"/>
          <w:b/>
        </w:rPr>
      </w:pPr>
      <w:r w:rsidRPr="005152FF">
        <w:rPr>
          <w:rFonts w:ascii="Arial" w:hAnsi="Arial" w:cs="Arial"/>
          <w:b/>
        </w:rPr>
        <w:t>Introducción</w:t>
      </w:r>
    </w:p>
    <w:p w:rsidR="00BC2ADE" w:rsidRPr="005152FF" w:rsidRDefault="00BC2ADE" w:rsidP="00BC2ADE">
      <w:pPr>
        <w:pStyle w:val="Sinespaciado"/>
        <w:spacing w:line="360" w:lineRule="auto"/>
        <w:jc w:val="both"/>
        <w:rPr>
          <w:rFonts w:ascii="Arial" w:hAnsi="Arial" w:cs="Arial"/>
          <w:sz w:val="24"/>
          <w:szCs w:val="24"/>
        </w:rPr>
      </w:pPr>
      <w:r w:rsidRPr="005152FF">
        <w:rPr>
          <w:rFonts w:ascii="Arial" w:hAnsi="Arial" w:cs="Arial"/>
          <w:sz w:val="24"/>
          <w:szCs w:val="24"/>
        </w:rPr>
        <w:t>Los estados financieros de los entes públicos, proveen de información financiera a los principales usuarios de la misma, al congreso y a los ciudadanos.</w:t>
      </w:r>
    </w:p>
    <w:p w:rsidR="00BC2ADE" w:rsidRPr="005152FF" w:rsidRDefault="00BC2ADE" w:rsidP="00BC2ADE">
      <w:pPr>
        <w:pStyle w:val="Sinespaciado"/>
        <w:spacing w:line="360" w:lineRule="auto"/>
        <w:jc w:val="both"/>
        <w:rPr>
          <w:rFonts w:ascii="Arial" w:hAnsi="Arial" w:cs="Arial"/>
          <w:sz w:val="24"/>
          <w:szCs w:val="24"/>
        </w:rPr>
      </w:pPr>
    </w:p>
    <w:p w:rsidR="00BC2ADE" w:rsidRPr="005152FF" w:rsidRDefault="00BC2ADE" w:rsidP="00BC2ADE">
      <w:pPr>
        <w:pStyle w:val="Sinespaciado"/>
        <w:spacing w:line="360" w:lineRule="auto"/>
        <w:jc w:val="both"/>
        <w:rPr>
          <w:rFonts w:ascii="Arial" w:hAnsi="Arial" w:cs="Arial"/>
          <w:sz w:val="24"/>
          <w:szCs w:val="24"/>
        </w:rPr>
      </w:pPr>
      <w:r w:rsidRPr="005152FF">
        <w:rPr>
          <w:rFonts w:ascii="Arial" w:hAnsi="Arial" w:cs="Arial"/>
          <w:sz w:val="24"/>
          <w:szCs w:val="24"/>
        </w:rPr>
        <w:t>El presente documento es la revelación del contexto y de los aspectos económicos-financieros más relevantes que influyeron en las decisiones del periodo, y que deberán ser considerados en la elaboración de los estados financieros para la mayor comprensión de los mismos y sus particularidades.</w:t>
      </w:r>
    </w:p>
    <w:p w:rsidR="00BC2ADE" w:rsidRPr="005152FF" w:rsidRDefault="00BC2ADE" w:rsidP="00BC2ADE">
      <w:pPr>
        <w:pStyle w:val="Sinespaciado"/>
        <w:spacing w:line="360" w:lineRule="auto"/>
        <w:jc w:val="both"/>
        <w:rPr>
          <w:rFonts w:ascii="Arial" w:hAnsi="Arial" w:cs="Arial"/>
          <w:sz w:val="24"/>
          <w:szCs w:val="24"/>
        </w:rPr>
      </w:pPr>
    </w:p>
    <w:p w:rsidR="00BC2ADE" w:rsidRDefault="00BC2ADE" w:rsidP="00BC2ADE">
      <w:pPr>
        <w:spacing w:line="360" w:lineRule="auto"/>
        <w:jc w:val="both"/>
        <w:rPr>
          <w:rFonts w:ascii="Arial" w:hAnsi="Arial" w:cs="Arial"/>
        </w:rPr>
      </w:pPr>
      <w:r w:rsidRPr="005152FF">
        <w:rPr>
          <w:rFonts w:ascii="Arial" w:hAnsi="Arial" w:cs="Arial"/>
        </w:rPr>
        <w:lastRenderedPageBreak/>
        <w:t>De esta manera, se informa y explica la respuesta del gobierno a las condiciones relacionadas con la información financiera de cada periodo de gestión; además, de exponer aquellas políticas que podrían afectar la toma de decisiones en periodos posteriores</w:t>
      </w:r>
    </w:p>
    <w:p w:rsidR="00BC2ADE" w:rsidRDefault="00BC2ADE" w:rsidP="00BC2ADE">
      <w:pPr>
        <w:spacing w:line="360" w:lineRule="auto"/>
        <w:jc w:val="both"/>
        <w:rPr>
          <w:rFonts w:ascii="Arial" w:hAnsi="Arial" w:cs="Arial"/>
        </w:rPr>
      </w:pPr>
    </w:p>
    <w:p w:rsidR="00BC2ADE" w:rsidRPr="005152FF" w:rsidRDefault="00BC2ADE" w:rsidP="00BC2ADE">
      <w:pPr>
        <w:spacing w:line="360" w:lineRule="auto"/>
        <w:jc w:val="both"/>
        <w:rPr>
          <w:rFonts w:ascii="Arial" w:hAnsi="Arial" w:cs="Arial"/>
          <w:b/>
        </w:rPr>
      </w:pPr>
      <w:r w:rsidRPr="005152FF">
        <w:rPr>
          <w:rFonts w:ascii="Arial" w:hAnsi="Arial" w:cs="Arial"/>
          <w:b/>
        </w:rPr>
        <w:t>1. Organización y Objeto Social</w:t>
      </w:r>
    </w:p>
    <w:p w:rsidR="00BC2ADE" w:rsidRPr="005152FF" w:rsidRDefault="00BC2ADE" w:rsidP="00BC2ADE">
      <w:pPr>
        <w:spacing w:line="360" w:lineRule="auto"/>
        <w:ind w:left="708"/>
        <w:jc w:val="both"/>
        <w:rPr>
          <w:rFonts w:ascii="Arial" w:hAnsi="Arial" w:cs="Arial"/>
        </w:rPr>
      </w:pPr>
      <w:r w:rsidRPr="005152FF">
        <w:rPr>
          <w:rFonts w:ascii="Arial" w:hAnsi="Arial" w:cs="Arial"/>
        </w:rPr>
        <w:t>a) objeto social.</w:t>
      </w:r>
    </w:p>
    <w:p w:rsidR="00BC2ADE" w:rsidRPr="005152FF" w:rsidRDefault="00BC2ADE" w:rsidP="00BC2ADE">
      <w:pPr>
        <w:spacing w:line="360" w:lineRule="auto"/>
        <w:ind w:left="708"/>
        <w:jc w:val="both"/>
        <w:rPr>
          <w:rFonts w:ascii="Arial" w:hAnsi="Arial" w:cs="Arial"/>
        </w:rPr>
      </w:pPr>
      <w:r w:rsidRPr="005152FF">
        <w:rPr>
          <w:rFonts w:ascii="Arial" w:hAnsi="Arial" w:cs="Arial"/>
        </w:rPr>
        <w:t>La Administración Pública del Estado conducirá sus actividades en forma programada, con base en las políticas de planeación que establezca el Titular del Ejecutivo del Estado para el logro de los objetivos y prioridades de desarrollo y en los términos que fijen los convenios de coordinación respectivos, para la ejecución de los planes Nacional y Estatal de Desarrollo y los correspondientes programas de la Administración Pública.</w:t>
      </w:r>
    </w:p>
    <w:p w:rsidR="00BC2ADE" w:rsidRPr="005152FF" w:rsidRDefault="00BC2ADE" w:rsidP="00BC2ADE">
      <w:pPr>
        <w:spacing w:line="360" w:lineRule="auto"/>
        <w:ind w:left="708"/>
        <w:jc w:val="both"/>
        <w:rPr>
          <w:rFonts w:ascii="Arial" w:hAnsi="Arial" w:cs="Arial"/>
        </w:rPr>
      </w:pPr>
      <w:r w:rsidRPr="005152FF">
        <w:rPr>
          <w:rFonts w:ascii="Arial" w:hAnsi="Arial" w:cs="Arial"/>
        </w:rPr>
        <w:t>b) Principal actividad</w:t>
      </w:r>
    </w:p>
    <w:p w:rsidR="00BC2ADE" w:rsidRPr="005152FF" w:rsidRDefault="00BC2ADE" w:rsidP="00BC2ADE">
      <w:pPr>
        <w:spacing w:line="360" w:lineRule="auto"/>
        <w:ind w:left="708"/>
        <w:jc w:val="both"/>
        <w:rPr>
          <w:rFonts w:ascii="Arial" w:hAnsi="Arial" w:cs="Arial"/>
        </w:rPr>
      </w:pPr>
      <w:r w:rsidRPr="005152FF">
        <w:rPr>
          <w:rFonts w:ascii="Arial" w:hAnsi="Arial" w:cs="Arial"/>
        </w:rPr>
        <w:t>La administración Pública centralizada del Estado, es parte del poder Ejecutivo del Gobierno del Estado, para la realización de actos administrativos, jurídicos y materiales, para la prestación de los servicios públicos y la producción de bienes para satisfacer las necesidades colectivas.</w:t>
      </w:r>
    </w:p>
    <w:p w:rsidR="00BC2ADE" w:rsidRPr="005152FF" w:rsidRDefault="00BC2ADE" w:rsidP="00BC2ADE">
      <w:pPr>
        <w:spacing w:line="360" w:lineRule="auto"/>
        <w:ind w:left="708"/>
        <w:jc w:val="both"/>
        <w:rPr>
          <w:rFonts w:ascii="Arial" w:hAnsi="Arial" w:cs="Arial"/>
        </w:rPr>
      </w:pPr>
      <w:r w:rsidRPr="005152FF">
        <w:rPr>
          <w:rFonts w:ascii="Arial" w:hAnsi="Arial" w:cs="Arial"/>
        </w:rPr>
        <w:t>c) Ejercicio fiscal</w:t>
      </w:r>
    </w:p>
    <w:p w:rsidR="00BC2ADE" w:rsidRPr="005152FF" w:rsidRDefault="00BC2ADE" w:rsidP="00BC2ADE">
      <w:pPr>
        <w:spacing w:line="360" w:lineRule="auto"/>
        <w:ind w:left="708"/>
        <w:jc w:val="both"/>
        <w:rPr>
          <w:rFonts w:ascii="Arial" w:hAnsi="Arial" w:cs="Arial"/>
        </w:rPr>
      </w:pPr>
      <w:r w:rsidRPr="005152FF">
        <w:rPr>
          <w:rFonts w:ascii="Arial" w:hAnsi="Arial" w:cs="Arial"/>
        </w:rPr>
        <w:t xml:space="preserve">Las cifras contenidas en los Estados Financieros y que se mencionan en estas notas se presentan al del mes de </w:t>
      </w:r>
      <w:r w:rsidR="00F409B4">
        <w:rPr>
          <w:rFonts w:ascii="Arial" w:hAnsi="Arial" w:cs="Arial"/>
        </w:rPr>
        <w:t>Junio</w:t>
      </w:r>
      <w:r w:rsidRPr="005152FF">
        <w:rPr>
          <w:rFonts w:ascii="Arial" w:hAnsi="Arial" w:cs="Arial"/>
        </w:rPr>
        <w:t xml:space="preserve"> del Ejercicio Fiscal 201</w:t>
      </w:r>
      <w:r w:rsidR="00F409B4">
        <w:rPr>
          <w:rFonts w:ascii="Arial" w:hAnsi="Arial" w:cs="Arial"/>
        </w:rPr>
        <w:t>5</w:t>
      </w:r>
      <w:r w:rsidRPr="005152FF">
        <w:rPr>
          <w:rFonts w:ascii="Arial" w:hAnsi="Arial" w:cs="Arial"/>
        </w:rPr>
        <w:t>.</w:t>
      </w:r>
    </w:p>
    <w:p w:rsidR="00BC2ADE" w:rsidRPr="005152FF" w:rsidRDefault="00BC2ADE" w:rsidP="00BC2ADE">
      <w:pPr>
        <w:spacing w:line="360" w:lineRule="auto"/>
        <w:ind w:left="708"/>
        <w:jc w:val="both"/>
        <w:rPr>
          <w:rFonts w:ascii="Arial" w:hAnsi="Arial" w:cs="Arial"/>
        </w:rPr>
      </w:pPr>
      <w:r w:rsidRPr="005152FF">
        <w:rPr>
          <w:rFonts w:ascii="Arial" w:hAnsi="Arial" w:cs="Arial"/>
        </w:rPr>
        <w:t>d) Régimen Jurídico.</w:t>
      </w:r>
    </w:p>
    <w:p w:rsidR="00BC2ADE" w:rsidRPr="005152FF" w:rsidRDefault="00BC2ADE" w:rsidP="00BC2ADE">
      <w:pPr>
        <w:spacing w:line="360" w:lineRule="auto"/>
        <w:ind w:firstLine="708"/>
        <w:jc w:val="both"/>
        <w:rPr>
          <w:rFonts w:ascii="Arial" w:hAnsi="Arial" w:cs="Arial"/>
        </w:rPr>
      </w:pPr>
      <w:r w:rsidRPr="005152FF">
        <w:rPr>
          <w:rFonts w:ascii="Arial" w:hAnsi="Arial" w:cs="Arial"/>
        </w:rPr>
        <w:t>El Poder ejecutivo está regulado por lo siguiente:</w:t>
      </w:r>
    </w:p>
    <w:p w:rsidR="00BC2ADE" w:rsidRPr="005152FF" w:rsidRDefault="00BC2ADE" w:rsidP="00BC2ADE">
      <w:pPr>
        <w:pStyle w:val="Prrafodelista"/>
        <w:numPr>
          <w:ilvl w:val="0"/>
          <w:numId w:val="7"/>
        </w:numPr>
        <w:spacing w:after="200" w:line="360" w:lineRule="auto"/>
        <w:contextualSpacing/>
        <w:jc w:val="both"/>
        <w:rPr>
          <w:rFonts w:ascii="Arial" w:hAnsi="Arial" w:cs="Arial"/>
          <w:sz w:val="24"/>
          <w:szCs w:val="24"/>
        </w:rPr>
      </w:pPr>
      <w:r w:rsidRPr="005152FF">
        <w:rPr>
          <w:rFonts w:ascii="Arial" w:hAnsi="Arial" w:cs="Arial"/>
          <w:sz w:val="24"/>
          <w:szCs w:val="24"/>
        </w:rPr>
        <w:t>La Constitución de los Estados Unidos Mexicanos.</w:t>
      </w:r>
    </w:p>
    <w:p w:rsidR="00BC2ADE" w:rsidRPr="005152FF" w:rsidRDefault="00BC2ADE" w:rsidP="00BC2ADE">
      <w:pPr>
        <w:pStyle w:val="Prrafodelista"/>
        <w:numPr>
          <w:ilvl w:val="0"/>
          <w:numId w:val="7"/>
        </w:numPr>
        <w:spacing w:after="200" w:line="360" w:lineRule="auto"/>
        <w:contextualSpacing/>
        <w:jc w:val="both"/>
        <w:rPr>
          <w:rFonts w:ascii="Arial" w:hAnsi="Arial" w:cs="Arial"/>
          <w:sz w:val="24"/>
          <w:szCs w:val="24"/>
        </w:rPr>
      </w:pPr>
      <w:r w:rsidRPr="005152FF">
        <w:rPr>
          <w:rFonts w:ascii="Arial" w:hAnsi="Arial" w:cs="Arial"/>
          <w:sz w:val="24"/>
          <w:szCs w:val="24"/>
        </w:rPr>
        <w:t>La Constitución del Estado de Oaxaca.</w:t>
      </w:r>
    </w:p>
    <w:p w:rsidR="00BC2ADE" w:rsidRPr="005152FF" w:rsidRDefault="00BC2ADE" w:rsidP="00BC2ADE">
      <w:pPr>
        <w:pStyle w:val="Prrafodelista"/>
        <w:numPr>
          <w:ilvl w:val="0"/>
          <w:numId w:val="7"/>
        </w:numPr>
        <w:spacing w:after="200" w:line="360" w:lineRule="auto"/>
        <w:contextualSpacing/>
        <w:jc w:val="both"/>
        <w:rPr>
          <w:rFonts w:ascii="Arial" w:hAnsi="Arial" w:cs="Arial"/>
          <w:sz w:val="24"/>
          <w:szCs w:val="24"/>
        </w:rPr>
      </w:pPr>
      <w:r w:rsidRPr="005152FF">
        <w:rPr>
          <w:rFonts w:ascii="Arial" w:hAnsi="Arial" w:cs="Arial"/>
          <w:sz w:val="24"/>
          <w:szCs w:val="24"/>
        </w:rPr>
        <w:t>El Código de la Administración Pública Del Estado De Oaxaca.</w:t>
      </w:r>
    </w:p>
    <w:p w:rsidR="00BC2ADE" w:rsidRPr="005152FF" w:rsidRDefault="00BC2ADE" w:rsidP="00BC2ADE">
      <w:pPr>
        <w:pStyle w:val="Prrafodelista"/>
        <w:numPr>
          <w:ilvl w:val="0"/>
          <w:numId w:val="7"/>
        </w:numPr>
        <w:spacing w:after="200" w:line="360" w:lineRule="auto"/>
        <w:contextualSpacing/>
        <w:jc w:val="both"/>
        <w:rPr>
          <w:rFonts w:ascii="Arial" w:hAnsi="Arial" w:cs="Arial"/>
          <w:sz w:val="24"/>
          <w:szCs w:val="24"/>
        </w:rPr>
      </w:pPr>
      <w:r w:rsidRPr="005152FF">
        <w:rPr>
          <w:rFonts w:ascii="Arial" w:hAnsi="Arial" w:cs="Arial"/>
          <w:sz w:val="24"/>
          <w:szCs w:val="24"/>
        </w:rPr>
        <w:t>El Reglamento de la Administración Pública del Estado de Oaxaca</w:t>
      </w:r>
    </w:p>
    <w:p w:rsidR="00BC2ADE" w:rsidRPr="005152FF" w:rsidRDefault="00BC2ADE" w:rsidP="00BC2ADE">
      <w:pPr>
        <w:pStyle w:val="Prrafodelista"/>
        <w:numPr>
          <w:ilvl w:val="0"/>
          <w:numId w:val="7"/>
        </w:numPr>
        <w:spacing w:after="200" w:line="360" w:lineRule="auto"/>
        <w:contextualSpacing/>
        <w:jc w:val="both"/>
        <w:rPr>
          <w:rFonts w:ascii="Arial" w:hAnsi="Arial" w:cs="Arial"/>
          <w:sz w:val="24"/>
          <w:szCs w:val="24"/>
        </w:rPr>
      </w:pPr>
      <w:r w:rsidRPr="005152FF">
        <w:rPr>
          <w:rFonts w:ascii="Arial" w:hAnsi="Arial" w:cs="Arial"/>
          <w:sz w:val="24"/>
          <w:szCs w:val="24"/>
        </w:rPr>
        <w:lastRenderedPageBreak/>
        <w:t>La Ley de Presupuesto y Contabilidad Gubernamental del Estado de Oaxaca y su Reglamento.</w:t>
      </w:r>
    </w:p>
    <w:p w:rsidR="00BC2ADE" w:rsidRPr="005152FF" w:rsidRDefault="00BC2ADE" w:rsidP="00BC2ADE">
      <w:pPr>
        <w:pStyle w:val="Prrafodelista"/>
        <w:numPr>
          <w:ilvl w:val="0"/>
          <w:numId w:val="7"/>
        </w:numPr>
        <w:spacing w:after="200" w:line="360" w:lineRule="auto"/>
        <w:contextualSpacing/>
        <w:jc w:val="both"/>
        <w:rPr>
          <w:rFonts w:ascii="Arial" w:hAnsi="Arial" w:cs="Arial"/>
          <w:sz w:val="24"/>
          <w:szCs w:val="24"/>
        </w:rPr>
      </w:pPr>
      <w:r w:rsidRPr="005152FF">
        <w:rPr>
          <w:rFonts w:ascii="Arial" w:hAnsi="Arial" w:cs="Arial"/>
          <w:sz w:val="24"/>
          <w:szCs w:val="24"/>
        </w:rPr>
        <w:t>La ley General de Contabilidad Gubernamental.</w:t>
      </w:r>
    </w:p>
    <w:p w:rsidR="00BC2ADE" w:rsidRPr="005152FF" w:rsidRDefault="00BC2ADE" w:rsidP="00BC2ADE">
      <w:pPr>
        <w:pStyle w:val="Prrafodelista"/>
        <w:numPr>
          <w:ilvl w:val="0"/>
          <w:numId w:val="7"/>
        </w:numPr>
        <w:spacing w:after="200" w:line="360" w:lineRule="auto"/>
        <w:contextualSpacing/>
        <w:jc w:val="both"/>
        <w:rPr>
          <w:rFonts w:ascii="Arial" w:hAnsi="Arial" w:cs="Arial"/>
          <w:sz w:val="24"/>
          <w:szCs w:val="24"/>
        </w:rPr>
      </w:pPr>
      <w:r w:rsidRPr="005152FF">
        <w:rPr>
          <w:rFonts w:ascii="Arial" w:hAnsi="Arial" w:cs="Arial"/>
          <w:sz w:val="24"/>
          <w:szCs w:val="24"/>
        </w:rPr>
        <w:t>La Ley de Responsabilidades de los Servidores Públicos del Estado de Oaxaca.</w:t>
      </w:r>
    </w:p>
    <w:p w:rsidR="00BC2ADE" w:rsidRPr="005152FF" w:rsidRDefault="00BC2ADE" w:rsidP="00BC2ADE">
      <w:pPr>
        <w:pStyle w:val="Prrafodelista"/>
        <w:numPr>
          <w:ilvl w:val="0"/>
          <w:numId w:val="7"/>
        </w:numPr>
        <w:spacing w:after="200" w:line="360" w:lineRule="auto"/>
        <w:contextualSpacing/>
        <w:jc w:val="both"/>
        <w:rPr>
          <w:rFonts w:ascii="Arial" w:hAnsi="Arial" w:cs="Arial"/>
          <w:sz w:val="24"/>
          <w:szCs w:val="24"/>
        </w:rPr>
      </w:pPr>
      <w:r w:rsidRPr="005152FF">
        <w:rPr>
          <w:rFonts w:ascii="Arial" w:hAnsi="Arial" w:cs="Arial"/>
          <w:sz w:val="24"/>
          <w:szCs w:val="24"/>
        </w:rPr>
        <w:t>La Ley de Adquisiciones, Arrendamientos y Prestaciones de Servicios relacionados con Bienes Muebles.</w:t>
      </w:r>
    </w:p>
    <w:p w:rsidR="00BC2ADE" w:rsidRPr="005152FF" w:rsidRDefault="00BC2ADE" w:rsidP="00BC2ADE">
      <w:pPr>
        <w:pStyle w:val="Prrafodelista"/>
        <w:numPr>
          <w:ilvl w:val="0"/>
          <w:numId w:val="7"/>
        </w:numPr>
        <w:spacing w:after="200" w:line="360" w:lineRule="auto"/>
        <w:contextualSpacing/>
        <w:jc w:val="both"/>
        <w:rPr>
          <w:rFonts w:ascii="Arial" w:hAnsi="Arial" w:cs="Arial"/>
          <w:sz w:val="24"/>
          <w:szCs w:val="24"/>
        </w:rPr>
      </w:pPr>
      <w:r w:rsidRPr="005152FF">
        <w:rPr>
          <w:rFonts w:ascii="Arial" w:hAnsi="Arial" w:cs="Arial"/>
          <w:sz w:val="24"/>
          <w:szCs w:val="24"/>
        </w:rPr>
        <w:t>La Ley de Fiscalización de la Cuenta Pública del Estado de Oaxaca y su Reglamento.</w:t>
      </w:r>
    </w:p>
    <w:p w:rsidR="00BC2ADE" w:rsidRPr="005152FF" w:rsidRDefault="00BC2ADE" w:rsidP="00BC2ADE">
      <w:pPr>
        <w:pStyle w:val="Prrafodelista"/>
        <w:numPr>
          <w:ilvl w:val="0"/>
          <w:numId w:val="7"/>
        </w:numPr>
        <w:spacing w:after="200" w:line="360" w:lineRule="auto"/>
        <w:contextualSpacing/>
        <w:jc w:val="both"/>
        <w:rPr>
          <w:rFonts w:ascii="Arial" w:hAnsi="Arial" w:cs="Arial"/>
          <w:sz w:val="24"/>
          <w:szCs w:val="24"/>
        </w:rPr>
      </w:pPr>
      <w:r w:rsidRPr="005152FF">
        <w:rPr>
          <w:rFonts w:ascii="Arial" w:hAnsi="Arial" w:cs="Arial"/>
          <w:sz w:val="24"/>
          <w:szCs w:val="24"/>
        </w:rPr>
        <w:t>Entre otras.</w:t>
      </w:r>
    </w:p>
    <w:p w:rsidR="00BC2ADE" w:rsidRPr="005152FF" w:rsidRDefault="00BC2ADE" w:rsidP="00BC2ADE">
      <w:pPr>
        <w:spacing w:line="360" w:lineRule="auto"/>
        <w:ind w:left="708"/>
        <w:jc w:val="both"/>
        <w:rPr>
          <w:rFonts w:ascii="Arial" w:hAnsi="Arial" w:cs="Arial"/>
        </w:rPr>
      </w:pPr>
      <w:r w:rsidRPr="005152FF">
        <w:rPr>
          <w:rFonts w:ascii="Arial" w:hAnsi="Arial" w:cs="Arial"/>
        </w:rPr>
        <w:t>e) Consideraciones fiscales del ente: revelar el tipo de contribuciones que esté obligado a pagar o retener.</w:t>
      </w:r>
    </w:p>
    <w:p w:rsidR="00BC2ADE" w:rsidRPr="005152FF" w:rsidRDefault="00BC2ADE" w:rsidP="00BC2ADE">
      <w:pPr>
        <w:spacing w:line="360" w:lineRule="auto"/>
        <w:ind w:left="708"/>
        <w:jc w:val="both"/>
        <w:rPr>
          <w:rFonts w:ascii="Arial" w:hAnsi="Arial" w:cs="Arial"/>
        </w:rPr>
      </w:pPr>
      <w:r w:rsidRPr="005152FF">
        <w:rPr>
          <w:rFonts w:ascii="Arial" w:hAnsi="Arial" w:cs="Arial"/>
        </w:rPr>
        <w:t>El Poder Ejecutivo es un organismo de la Administración Pública. Las obligaciones fiscales de la administración Pública centralizada del estado son las siguientes.</w:t>
      </w:r>
    </w:p>
    <w:p w:rsidR="00BC2ADE" w:rsidRPr="005152FF" w:rsidRDefault="00BC2ADE" w:rsidP="00BC2ADE">
      <w:pPr>
        <w:pStyle w:val="Prrafodelista"/>
        <w:numPr>
          <w:ilvl w:val="0"/>
          <w:numId w:val="8"/>
        </w:numPr>
        <w:spacing w:after="200" w:line="360" w:lineRule="auto"/>
        <w:contextualSpacing/>
        <w:jc w:val="both"/>
        <w:rPr>
          <w:rFonts w:ascii="Arial" w:eastAsiaTheme="minorHAnsi" w:hAnsi="Arial" w:cs="Arial"/>
          <w:sz w:val="24"/>
          <w:szCs w:val="24"/>
          <w:lang w:eastAsia="en-US"/>
        </w:rPr>
      </w:pPr>
      <w:r w:rsidRPr="005152FF">
        <w:rPr>
          <w:rFonts w:ascii="Arial" w:eastAsiaTheme="minorHAnsi" w:hAnsi="Arial" w:cs="Arial"/>
          <w:sz w:val="24"/>
          <w:szCs w:val="24"/>
          <w:lang w:eastAsia="en-US"/>
        </w:rPr>
        <w:t>Declaración y Pago Provisional Mensual de Retenciones de Impuesto Sobre la Renta (ISR) por Sueldos y Salarios.</w:t>
      </w:r>
    </w:p>
    <w:p w:rsidR="00BC2ADE" w:rsidRPr="005152FF" w:rsidRDefault="00BC2ADE" w:rsidP="00BC2ADE">
      <w:pPr>
        <w:pStyle w:val="Prrafodelista"/>
        <w:numPr>
          <w:ilvl w:val="0"/>
          <w:numId w:val="8"/>
        </w:numPr>
        <w:spacing w:after="200" w:line="360" w:lineRule="auto"/>
        <w:contextualSpacing/>
        <w:jc w:val="both"/>
        <w:rPr>
          <w:rFonts w:ascii="Arial" w:eastAsiaTheme="minorHAnsi" w:hAnsi="Arial" w:cs="Arial"/>
          <w:sz w:val="24"/>
          <w:szCs w:val="24"/>
          <w:lang w:eastAsia="en-US"/>
        </w:rPr>
      </w:pPr>
      <w:r w:rsidRPr="005152FF">
        <w:rPr>
          <w:rFonts w:ascii="Arial" w:eastAsiaTheme="minorHAnsi" w:hAnsi="Arial" w:cs="Arial"/>
          <w:sz w:val="24"/>
          <w:szCs w:val="24"/>
          <w:lang w:eastAsia="en-US"/>
        </w:rPr>
        <w:t>Declaración anual de Impuesto Sobre la Renta (ISR) donde informe sobre los pagos y retenciones de Servicios Profesionales.</w:t>
      </w:r>
    </w:p>
    <w:p w:rsidR="00BC2ADE" w:rsidRPr="005152FF" w:rsidRDefault="00BC2ADE" w:rsidP="00BC2ADE">
      <w:pPr>
        <w:pStyle w:val="Prrafodelista"/>
        <w:numPr>
          <w:ilvl w:val="0"/>
          <w:numId w:val="8"/>
        </w:numPr>
        <w:spacing w:after="200" w:line="360" w:lineRule="auto"/>
        <w:contextualSpacing/>
        <w:jc w:val="both"/>
        <w:rPr>
          <w:rFonts w:ascii="Arial" w:eastAsiaTheme="minorHAnsi" w:hAnsi="Arial" w:cs="Arial"/>
          <w:sz w:val="24"/>
          <w:szCs w:val="24"/>
          <w:lang w:eastAsia="en-US"/>
        </w:rPr>
      </w:pPr>
      <w:r w:rsidRPr="005152FF">
        <w:rPr>
          <w:rFonts w:ascii="Arial" w:eastAsiaTheme="minorHAnsi" w:hAnsi="Arial" w:cs="Arial"/>
          <w:sz w:val="24"/>
          <w:szCs w:val="24"/>
          <w:lang w:eastAsia="en-US"/>
        </w:rPr>
        <w:t>Declaración anual de Impuesto Sobre la Renta (ISR) donde informe de las retenciones efectuadas por pagos de Rentas de Bienes Inmuebles.</w:t>
      </w:r>
    </w:p>
    <w:p w:rsidR="00BC2ADE" w:rsidRPr="005152FF" w:rsidRDefault="00BC2ADE" w:rsidP="00BC2ADE">
      <w:pPr>
        <w:pStyle w:val="Prrafodelista"/>
        <w:numPr>
          <w:ilvl w:val="0"/>
          <w:numId w:val="8"/>
        </w:numPr>
        <w:spacing w:after="200" w:line="360" w:lineRule="auto"/>
        <w:contextualSpacing/>
        <w:jc w:val="both"/>
        <w:rPr>
          <w:rFonts w:ascii="Arial" w:eastAsiaTheme="minorHAnsi" w:hAnsi="Arial" w:cs="Arial"/>
          <w:sz w:val="24"/>
          <w:szCs w:val="24"/>
          <w:lang w:eastAsia="en-US"/>
        </w:rPr>
      </w:pPr>
      <w:r w:rsidRPr="005152FF">
        <w:rPr>
          <w:rFonts w:ascii="Arial" w:eastAsiaTheme="minorHAnsi" w:hAnsi="Arial" w:cs="Arial"/>
          <w:sz w:val="24"/>
          <w:szCs w:val="24"/>
          <w:lang w:eastAsia="en-US"/>
        </w:rPr>
        <w:t>Declaración anual donde se informe sobre las retenciones de los trabajadores que recibieron Sueldos y Salarios y Trabajadores asimilables a salarios.</w:t>
      </w:r>
    </w:p>
    <w:p w:rsidR="00BC2ADE" w:rsidRPr="005152FF" w:rsidRDefault="00BC2ADE" w:rsidP="00BC2ADE">
      <w:pPr>
        <w:pStyle w:val="Prrafodelista"/>
        <w:numPr>
          <w:ilvl w:val="0"/>
          <w:numId w:val="8"/>
        </w:numPr>
        <w:spacing w:after="200" w:line="360" w:lineRule="auto"/>
        <w:contextualSpacing/>
        <w:jc w:val="both"/>
        <w:rPr>
          <w:rFonts w:ascii="Arial" w:eastAsiaTheme="minorHAnsi" w:hAnsi="Arial" w:cs="Arial"/>
          <w:sz w:val="24"/>
          <w:szCs w:val="24"/>
          <w:lang w:eastAsia="en-US"/>
        </w:rPr>
      </w:pPr>
      <w:r w:rsidRPr="005152FF">
        <w:rPr>
          <w:rFonts w:ascii="Arial" w:eastAsiaTheme="minorHAnsi" w:hAnsi="Arial" w:cs="Arial"/>
          <w:sz w:val="24"/>
          <w:szCs w:val="24"/>
          <w:lang w:eastAsia="en-US"/>
        </w:rPr>
        <w:t>Declaración y Pago Provisional Mensual de Impuesto Sobre la Renta (ISR) por retenciones realizadas por Servicios Profesionales.</w:t>
      </w:r>
    </w:p>
    <w:p w:rsidR="00BC2ADE" w:rsidRPr="005152FF" w:rsidRDefault="00BC2ADE" w:rsidP="00BC2ADE">
      <w:pPr>
        <w:pStyle w:val="Prrafodelista"/>
        <w:numPr>
          <w:ilvl w:val="0"/>
          <w:numId w:val="8"/>
        </w:numPr>
        <w:spacing w:after="200" w:line="360" w:lineRule="auto"/>
        <w:contextualSpacing/>
        <w:jc w:val="both"/>
        <w:rPr>
          <w:rFonts w:ascii="Arial" w:eastAsiaTheme="minorHAnsi" w:hAnsi="Arial" w:cs="Arial"/>
          <w:sz w:val="24"/>
          <w:szCs w:val="24"/>
          <w:lang w:eastAsia="en-US"/>
        </w:rPr>
      </w:pPr>
      <w:r w:rsidRPr="005152FF">
        <w:rPr>
          <w:rFonts w:ascii="Arial" w:eastAsiaTheme="minorHAnsi" w:hAnsi="Arial" w:cs="Arial"/>
          <w:sz w:val="24"/>
          <w:szCs w:val="24"/>
          <w:lang w:eastAsia="en-US"/>
        </w:rPr>
        <w:lastRenderedPageBreak/>
        <w:t>Declaración y Pago Provisional Mensual de Impuesto Sobre la Renta (ISR) por retenciones realizadas por pagos de Rentas de Bienes Inmuebles.</w:t>
      </w:r>
    </w:p>
    <w:p w:rsidR="00BC2ADE" w:rsidRPr="005152FF" w:rsidRDefault="00BC2ADE" w:rsidP="00BC2ADE">
      <w:pPr>
        <w:pStyle w:val="Prrafodelista"/>
        <w:numPr>
          <w:ilvl w:val="0"/>
          <w:numId w:val="8"/>
        </w:numPr>
        <w:spacing w:after="200" w:line="360" w:lineRule="auto"/>
        <w:contextualSpacing/>
        <w:jc w:val="both"/>
        <w:rPr>
          <w:rFonts w:ascii="Arial" w:eastAsiaTheme="minorHAnsi" w:hAnsi="Arial" w:cs="Arial"/>
          <w:sz w:val="24"/>
          <w:szCs w:val="24"/>
          <w:lang w:eastAsia="en-US"/>
        </w:rPr>
      </w:pPr>
      <w:r w:rsidRPr="005152FF">
        <w:rPr>
          <w:rFonts w:ascii="Arial" w:eastAsiaTheme="minorHAnsi" w:hAnsi="Arial" w:cs="Arial"/>
          <w:sz w:val="24"/>
          <w:szCs w:val="24"/>
          <w:lang w:eastAsia="en-US"/>
        </w:rPr>
        <w:t xml:space="preserve">Presentar la Declaración Informativa Semestral por la Recaudación del IEPS por la Venta Final de Gasolinas y </w:t>
      </w:r>
      <w:proofErr w:type="spellStart"/>
      <w:r w:rsidRPr="005152FF">
        <w:rPr>
          <w:rFonts w:ascii="Arial" w:eastAsiaTheme="minorHAnsi" w:hAnsi="Arial" w:cs="Arial"/>
          <w:sz w:val="24"/>
          <w:szCs w:val="24"/>
          <w:lang w:eastAsia="en-US"/>
        </w:rPr>
        <w:t>Diésel</w:t>
      </w:r>
      <w:proofErr w:type="spellEnd"/>
      <w:r w:rsidRPr="005152FF">
        <w:rPr>
          <w:rFonts w:ascii="Arial" w:eastAsiaTheme="minorHAnsi" w:hAnsi="Arial" w:cs="Arial"/>
          <w:sz w:val="24"/>
          <w:szCs w:val="24"/>
          <w:lang w:eastAsia="en-US"/>
        </w:rPr>
        <w:t>.</w:t>
      </w:r>
    </w:p>
    <w:p w:rsidR="00BC2ADE" w:rsidRPr="005152FF" w:rsidRDefault="00BC2ADE" w:rsidP="00BC2ADE">
      <w:pPr>
        <w:pStyle w:val="Prrafodelista"/>
        <w:numPr>
          <w:ilvl w:val="0"/>
          <w:numId w:val="8"/>
        </w:numPr>
        <w:spacing w:after="200" w:line="360" w:lineRule="auto"/>
        <w:contextualSpacing/>
        <w:jc w:val="both"/>
        <w:rPr>
          <w:rFonts w:ascii="Arial" w:eastAsiaTheme="minorHAnsi" w:hAnsi="Arial" w:cs="Arial"/>
          <w:sz w:val="24"/>
          <w:szCs w:val="24"/>
          <w:lang w:eastAsia="en-US"/>
        </w:rPr>
      </w:pPr>
      <w:r w:rsidRPr="005152FF">
        <w:rPr>
          <w:rFonts w:ascii="Arial" w:eastAsiaTheme="minorHAnsi" w:hAnsi="Arial" w:cs="Arial"/>
          <w:sz w:val="24"/>
          <w:szCs w:val="24"/>
          <w:lang w:eastAsia="en-US"/>
        </w:rPr>
        <w:t>Presentar la Declaración Informativa Anual de Subsidios para el Empleo.</w:t>
      </w:r>
    </w:p>
    <w:p w:rsidR="00BC2ADE" w:rsidRPr="005152FF" w:rsidRDefault="00BC2ADE" w:rsidP="00BC2ADE">
      <w:pPr>
        <w:pStyle w:val="Prrafodelista"/>
        <w:numPr>
          <w:ilvl w:val="0"/>
          <w:numId w:val="8"/>
        </w:numPr>
        <w:spacing w:after="200" w:line="360" w:lineRule="auto"/>
        <w:contextualSpacing/>
        <w:jc w:val="both"/>
        <w:rPr>
          <w:rFonts w:ascii="Arial" w:eastAsiaTheme="minorHAnsi" w:hAnsi="Arial" w:cs="Arial"/>
          <w:sz w:val="24"/>
          <w:szCs w:val="24"/>
          <w:lang w:eastAsia="en-US"/>
        </w:rPr>
      </w:pPr>
      <w:r w:rsidRPr="005152FF">
        <w:rPr>
          <w:rFonts w:ascii="Arial" w:eastAsiaTheme="minorHAnsi" w:hAnsi="Arial" w:cs="Arial"/>
          <w:sz w:val="24"/>
          <w:szCs w:val="24"/>
          <w:lang w:eastAsia="en-US"/>
        </w:rPr>
        <w:t>Presentar la Declaración Informativa Mensual de operaciones con terceros.</w:t>
      </w:r>
    </w:p>
    <w:p w:rsidR="00BC2ADE" w:rsidRPr="005152FF" w:rsidRDefault="00BC2ADE" w:rsidP="00BC2ADE">
      <w:pPr>
        <w:pStyle w:val="Prrafodelista"/>
        <w:numPr>
          <w:ilvl w:val="0"/>
          <w:numId w:val="8"/>
        </w:numPr>
        <w:spacing w:after="200" w:line="360" w:lineRule="auto"/>
        <w:contextualSpacing/>
        <w:jc w:val="both"/>
        <w:rPr>
          <w:rFonts w:ascii="Arial" w:eastAsiaTheme="minorHAnsi" w:hAnsi="Arial" w:cs="Arial"/>
          <w:sz w:val="24"/>
          <w:szCs w:val="24"/>
          <w:lang w:eastAsia="en-US"/>
        </w:rPr>
      </w:pPr>
      <w:r w:rsidRPr="005152FF">
        <w:rPr>
          <w:rFonts w:ascii="Arial" w:eastAsiaTheme="minorHAnsi" w:hAnsi="Arial" w:cs="Arial"/>
          <w:sz w:val="24"/>
          <w:szCs w:val="24"/>
          <w:lang w:eastAsia="en-US"/>
        </w:rPr>
        <w:t>Presentar la información del aviso para la aplicación de estímulos a entidades federativas, municipios y otros organismos públicos.</w:t>
      </w:r>
    </w:p>
    <w:p w:rsidR="00BC2ADE" w:rsidRPr="005152FF" w:rsidRDefault="00BC2ADE" w:rsidP="00BC2ADE">
      <w:pPr>
        <w:spacing w:line="360" w:lineRule="auto"/>
        <w:ind w:left="708"/>
        <w:jc w:val="both"/>
        <w:rPr>
          <w:rFonts w:ascii="Arial" w:hAnsi="Arial" w:cs="Arial"/>
        </w:rPr>
      </w:pPr>
      <w:r w:rsidRPr="005152FF">
        <w:rPr>
          <w:rFonts w:ascii="Arial" w:hAnsi="Arial" w:cs="Arial"/>
        </w:rPr>
        <w:t>f) Estructura Organizacional Básica.</w:t>
      </w:r>
    </w:p>
    <w:p w:rsidR="00BC2ADE" w:rsidRPr="005152FF" w:rsidRDefault="00BC2ADE" w:rsidP="00BC2ADE">
      <w:pPr>
        <w:pStyle w:val="Sinespaciado"/>
        <w:spacing w:line="360" w:lineRule="auto"/>
        <w:ind w:left="708"/>
        <w:jc w:val="both"/>
        <w:rPr>
          <w:rFonts w:ascii="Arial" w:hAnsi="Arial" w:cs="Arial"/>
          <w:sz w:val="24"/>
          <w:szCs w:val="24"/>
        </w:rPr>
      </w:pPr>
      <w:r w:rsidRPr="005152FF">
        <w:rPr>
          <w:rFonts w:ascii="Arial" w:hAnsi="Arial" w:cs="Arial"/>
          <w:sz w:val="24"/>
          <w:szCs w:val="24"/>
        </w:rPr>
        <w:t xml:space="preserve">El Poder Ejecutivo para el despacho de los asuntos de su competencia cuenta con las dependencias de la Administración Pública Centralizada y Entidades de la Administración Pública Paraestatal, con las atribuciones y organización que determinan las disposiciones legales aplicables. Basada en la Ley Orgánica del Poder Ejecutivo del Estado, la Secretaría de Finanzas del Poder Ejecutivo del Estado de Oaxaca es la responsable de: coordinar la administración tributaria de la Hacienda Pública; la administración financiera, incluyendo la consolidación y emisión de los Estados Financieros; proyectar con la participación de las dependencias y entidades de la administración pública estatal, la programación y </w:t>
      </w:r>
      <w:proofErr w:type="spellStart"/>
      <w:r w:rsidRPr="005152FF">
        <w:rPr>
          <w:rFonts w:ascii="Arial" w:hAnsi="Arial" w:cs="Arial"/>
          <w:sz w:val="24"/>
          <w:szCs w:val="24"/>
        </w:rPr>
        <w:t>presupuestación</w:t>
      </w:r>
      <w:proofErr w:type="spellEnd"/>
      <w:r w:rsidRPr="005152FF">
        <w:rPr>
          <w:rFonts w:ascii="Arial" w:hAnsi="Arial" w:cs="Arial"/>
          <w:sz w:val="24"/>
          <w:szCs w:val="24"/>
        </w:rPr>
        <w:t xml:space="preserve"> del Estado, conforme a la legislación y  disposiciones aplicables. </w:t>
      </w:r>
    </w:p>
    <w:p w:rsidR="00BC2ADE" w:rsidRPr="005152FF" w:rsidRDefault="00BC2ADE" w:rsidP="00BC2ADE">
      <w:pPr>
        <w:pStyle w:val="Sinespaciado"/>
        <w:spacing w:line="360" w:lineRule="auto"/>
        <w:jc w:val="both"/>
        <w:rPr>
          <w:rFonts w:ascii="Arial" w:hAnsi="Arial" w:cs="Arial"/>
          <w:sz w:val="24"/>
          <w:szCs w:val="24"/>
        </w:rPr>
      </w:pPr>
    </w:p>
    <w:p w:rsidR="00BC2ADE" w:rsidRDefault="00BC2ADE">
      <w:pPr>
        <w:rPr>
          <w:rFonts w:ascii="Arial" w:hAnsi="Arial" w:cs="Arial"/>
          <w:b/>
        </w:rPr>
      </w:pPr>
      <w:r>
        <w:rPr>
          <w:rFonts w:ascii="Arial" w:hAnsi="Arial" w:cs="Arial"/>
          <w:b/>
        </w:rPr>
        <w:br w:type="page"/>
      </w:r>
    </w:p>
    <w:p w:rsidR="00BC2ADE" w:rsidRPr="005152FF" w:rsidRDefault="00BC2ADE" w:rsidP="00BC2ADE">
      <w:pPr>
        <w:spacing w:line="360" w:lineRule="auto"/>
        <w:jc w:val="both"/>
        <w:rPr>
          <w:rFonts w:ascii="Arial" w:hAnsi="Arial" w:cs="Arial"/>
        </w:rPr>
      </w:pPr>
      <w:r w:rsidRPr="005152FF">
        <w:rPr>
          <w:rFonts w:ascii="Arial" w:hAnsi="Arial" w:cs="Arial"/>
          <w:b/>
        </w:rPr>
        <w:lastRenderedPageBreak/>
        <w:t>2. Bases para la Preparación de los Estados Financieros</w:t>
      </w:r>
      <w:r w:rsidRPr="005152FF">
        <w:rPr>
          <w:rFonts w:ascii="Arial" w:hAnsi="Arial" w:cs="Arial"/>
        </w:rPr>
        <w:t>.</w:t>
      </w:r>
    </w:p>
    <w:p w:rsidR="00BC2ADE" w:rsidRPr="005152FF" w:rsidRDefault="00BC2ADE" w:rsidP="00BC2ADE">
      <w:pPr>
        <w:spacing w:line="360" w:lineRule="auto"/>
        <w:ind w:left="708"/>
        <w:jc w:val="both"/>
        <w:rPr>
          <w:rFonts w:ascii="Arial" w:hAnsi="Arial" w:cs="Arial"/>
        </w:rPr>
      </w:pPr>
      <w:r w:rsidRPr="005152FF">
        <w:rPr>
          <w:rFonts w:ascii="Arial" w:hAnsi="Arial" w:cs="Arial"/>
        </w:rPr>
        <w:t xml:space="preserve">a) En cumplimiento a la Ley General de Contabilidad Gubernamental, a través de distintas publicaciones del CONAC ha emitido  entre otros los siguientes documentos: </w:t>
      </w:r>
    </w:p>
    <w:p w:rsidR="00BC2ADE" w:rsidRPr="005152FF" w:rsidRDefault="00BC2ADE" w:rsidP="00BC2ADE">
      <w:pPr>
        <w:pStyle w:val="Sinespaciado"/>
        <w:numPr>
          <w:ilvl w:val="0"/>
          <w:numId w:val="11"/>
        </w:numPr>
        <w:spacing w:line="360" w:lineRule="auto"/>
        <w:rPr>
          <w:rFonts w:ascii="Arial" w:hAnsi="Arial" w:cs="Arial"/>
          <w:sz w:val="24"/>
          <w:szCs w:val="24"/>
        </w:rPr>
      </w:pPr>
      <w:r w:rsidRPr="005152FF">
        <w:rPr>
          <w:rFonts w:ascii="Arial" w:hAnsi="Arial" w:cs="Arial"/>
          <w:sz w:val="24"/>
          <w:szCs w:val="24"/>
        </w:rPr>
        <w:t>Marco Conceptual de Contabilidad Gubernamental</w:t>
      </w:r>
    </w:p>
    <w:p w:rsidR="00BC2ADE" w:rsidRPr="005152FF" w:rsidRDefault="00BC2ADE" w:rsidP="00BC2ADE">
      <w:pPr>
        <w:pStyle w:val="Sinespaciado"/>
        <w:numPr>
          <w:ilvl w:val="0"/>
          <w:numId w:val="11"/>
        </w:numPr>
        <w:spacing w:line="360" w:lineRule="auto"/>
        <w:rPr>
          <w:rFonts w:ascii="Arial" w:hAnsi="Arial" w:cs="Arial"/>
          <w:sz w:val="24"/>
          <w:szCs w:val="24"/>
        </w:rPr>
      </w:pPr>
      <w:r w:rsidRPr="005152FF">
        <w:rPr>
          <w:rFonts w:ascii="Arial" w:hAnsi="Arial" w:cs="Arial"/>
          <w:sz w:val="24"/>
          <w:szCs w:val="24"/>
        </w:rPr>
        <w:t>Postulados básicos de Contabilidad Gubernamental</w:t>
      </w:r>
    </w:p>
    <w:p w:rsidR="00BC2ADE" w:rsidRPr="005152FF" w:rsidRDefault="00BC2ADE" w:rsidP="00BC2ADE">
      <w:pPr>
        <w:pStyle w:val="Sinespaciado"/>
        <w:numPr>
          <w:ilvl w:val="0"/>
          <w:numId w:val="11"/>
        </w:numPr>
        <w:spacing w:line="360" w:lineRule="auto"/>
        <w:rPr>
          <w:rFonts w:ascii="Arial" w:hAnsi="Arial" w:cs="Arial"/>
          <w:sz w:val="24"/>
          <w:szCs w:val="24"/>
        </w:rPr>
      </w:pPr>
      <w:r w:rsidRPr="005152FF">
        <w:rPr>
          <w:rFonts w:ascii="Arial" w:hAnsi="Arial" w:cs="Arial"/>
          <w:sz w:val="24"/>
          <w:szCs w:val="24"/>
        </w:rPr>
        <w:t>Normas y Metodología para la determinación de los momentos contables de los Egresos</w:t>
      </w:r>
    </w:p>
    <w:p w:rsidR="00BC2ADE" w:rsidRPr="005152FF" w:rsidRDefault="00BC2ADE" w:rsidP="00BC2ADE">
      <w:pPr>
        <w:pStyle w:val="Sinespaciado"/>
        <w:numPr>
          <w:ilvl w:val="0"/>
          <w:numId w:val="11"/>
        </w:numPr>
        <w:spacing w:line="360" w:lineRule="auto"/>
        <w:rPr>
          <w:rFonts w:ascii="Arial" w:hAnsi="Arial" w:cs="Arial"/>
          <w:sz w:val="24"/>
          <w:szCs w:val="24"/>
        </w:rPr>
      </w:pPr>
      <w:r w:rsidRPr="005152FF">
        <w:rPr>
          <w:rFonts w:ascii="Arial" w:hAnsi="Arial" w:cs="Arial"/>
          <w:sz w:val="24"/>
          <w:szCs w:val="24"/>
        </w:rPr>
        <w:t xml:space="preserve">Plan de Cuentas </w:t>
      </w:r>
    </w:p>
    <w:p w:rsidR="00BC2ADE" w:rsidRPr="005152FF" w:rsidRDefault="00BC2ADE" w:rsidP="00BC2ADE">
      <w:pPr>
        <w:pStyle w:val="Sinespaciado"/>
        <w:numPr>
          <w:ilvl w:val="0"/>
          <w:numId w:val="11"/>
        </w:numPr>
        <w:spacing w:line="360" w:lineRule="auto"/>
        <w:rPr>
          <w:rFonts w:ascii="Arial" w:hAnsi="Arial" w:cs="Arial"/>
          <w:sz w:val="24"/>
          <w:szCs w:val="24"/>
        </w:rPr>
      </w:pPr>
      <w:r w:rsidRPr="005152FF">
        <w:rPr>
          <w:rFonts w:ascii="Arial" w:hAnsi="Arial" w:cs="Arial"/>
          <w:sz w:val="24"/>
          <w:szCs w:val="24"/>
        </w:rPr>
        <w:t>Clasificador por Objeto del Gasto y sus adecuaciones</w:t>
      </w:r>
    </w:p>
    <w:p w:rsidR="00BC2ADE" w:rsidRPr="005152FF" w:rsidRDefault="00BC2ADE" w:rsidP="00BC2ADE">
      <w:pPr>
        <w:pStyle w:val="Sinespaciado"/>
        <w:numPr>
          <w:ilvl w:val="0"/>
          <w:numId w:val="11"/>
        </w:numPr>
        <w:spacing w:line="360" w:lineRule="auto"/>
        <w:rPr>
          <w:rFonts w:ascii="Arial" w:hAnsi="Arial" w:cs="Arial"/>
          <w:sz w:val="24"/>
          <w:szCs w:val="24"/>
        </w:rPr>
      </w:pPr>
      <w:r w:rsidRPr="005152FF">
        <w:rPr>
          <w:rFonts w:ascii="Arial" w:hAnsi="Arial" w:cs="Arial"/>
          <w:sz w:val="24"/>
          <w:szCs w:val="24"/>
        </w:rPr>
        <w:t>Clasificador por rubro de Ingresos</w:t>
      </w:r>
    </w:p>
    <w:p w:rsidR="00BC2ADE" w:rsidRPr="005152FF" w:rsidRDefault="00BC2ADE" w:rsidP="00BC2ADE">
      <w:pPr>
        <w:pStyle w:val="Sinespaciado"/>
        <w:numPr>
          <w:ilvl w:val="0"/>
          <w:numId w:val="11"/>
        </w:numPr>
        <w:spacing w:line="360" w:lineRule="auto"/>
        <w:rPr>
          <w:rFonts w:ascii="Arial" w:hAnsi="Arial" w:cs="Arial"/>
          <w:sz w:val="24"/>
          <w:szCs w:val="24"/>
        </w:rPr>
      </w:pPr>
      <w:r w:rsidRPr="005152FF">
        <w:rPr>
          <w:rFonts w:ascii="Arial" w:hAnsi="Arial" w:cs="Arial"/>
          <w:sz w:val="24"/>
          <w:szCs w:val="24"/>
        </w:rPr>
        <w:t>Normas y Metodología para la emisión de información financiera para determinar los momentos contables de los ingresos</w:t>
      </w:r>
    </w:p>
    <w:p w:rsidR="00BC2ADE" w:rsidRPr="005152FF" w:rsidRDefault="00BC2ADE" w:rsidP="00BC2ADE">
      <w:pPr>
        <w:pStyle w:val="Sinespaciado"/>
        <w:numPr>
          <w:ilvl w:val="0"/>
          <w:numId w:val="11"/>
        </w:numPr>
        <w:spacing w:line="360" w:lineRule="auto"/>
        <w:rPr>
          <w:rFonts w:ascii="Arial" w:hAnsi="Arial" w:cs="Arial"/>
          <w:sz w:val="24"/>
          <w:szCs w:val="24"/>
        </w:rPr>
      </w:pPr>
      <w:r w:rsidRPr="005152FF">
        <w:rPr>
          <w:rFonts w:ascii="Arial" w:hAnsi="Arial" w:cs="Arial"/>
          <w:sz w:val="24"/>
          <w:szCs w:val="24"/>
        </w:rPr>
        <w:t xml:space="preserve">Clasificador por objeto del gastos </w:t>
      </w:r>
    </w:p>
    <w:p w:rsidR="00BC2ADE" w:rsidRPr="005152FF" w:rsidRDefault="00BC2ADE" w:rsidP="00BC2ADE">
      <w:pPr>
        <w:pStyle w:val="Sinespaciado"/>
        <w:numPr>
          <w:ilvl w:val="0"/>
          <w:numId w:val="11"/>
        </w:numPr>
        <w:spacing w:line="360" w:lineRule="auto"/>
        <w:rPr>
          <w:rFonts w:ascii="Arial" w:hAnsi="Arial" w:cs="Arial"/>
          <w:sz w:val="24"/>
          <w:szCs w:val="24"/>
        </w:rPr>
      </w:pPr>
      <w:r w:rsidRPr="005152FF">
        <w:rPr>
          <w:rFonts w:ascii="Arial" w:hAnsi="Arial" w:cs="Arial"/>
          <w:sz w:val="24"/>
          <w:szCs w:val="24"/>
        </w:rPr>
        <w:t xml:space="preserve">Clasificación funcional del gasto </w:t>
      </w:r>
    </w:p>
    <w:p w:rsidR="00BC2ADE" w:rsidRPr="005152FF" w:rsidRDefault="00BC2ADE" w:rsidP="00BC2ADE">
      <w:pPr>
        <w:pStyle w:val="Sinespaciado"/>
        <w:numPr>
          <w:ilvl w:val="0"/>
          <w:numId w:val="11"/>
        </w:numPr>
        <w:spacing w:line="360" w:lineRule="auto"/>
        <w:rPr>
          <w:rFonts w:ascii="Arial" w:hAnsi="Arial" w:cs="Arial"/>
          <w:sz w:val="24"/>
          <w:szCs w:val="24"/>
        </w:rPr>
      </w:pPr>
      <w:r w:rsidRPr="005152FF">
        <w:rPr>
          <w:rFonts w:ascii="Arial" w:hAnsi="Arial" w:cs="Arial"/>
          <w:sz w:val="24"/>
          <w:szCs w:val="24"/>
        </w:rPr>
        <w:t xml:space="preserve">Clasificador por tipo de gasto </w:t>
      </w:r>
    </w:p>
    <w:p w:rsidR="00BC2ADE" w:rsidRPr="005152FF" w:rsidRDefault="00BC2ADE" w:rsidP="00BC2ADE">
      <w:pPr>
        <w:pStyle w:val="Sinespaciado"/>
        <w:numPr>
          <w:ilvl w:val="0"/>
          <w:numId w:val="11"/>
        </w:numPr>
        <w:spacing w:line="360" w:lineRule="auto"/>
        <w:rPr>
          <w:rFonts w:ascii="Arial" w:hAnsi="Arial" w:cs="Arial"/>
          <w:sz w:val="24"/>
          <w:szCs w:val="24"/>
        </w:rPr>
      </w:pPr>
      <w:r w:rsidRPr="005152FF">
        <w:rPr>
          <w:rFonts w:ascii="Arial" w:hAnsi="Arial" w:cs="Arial"/>
          <w:sz w:val="24"/>
          <w:szCs w:val="24"/>
        </w:rPr>
        <w:t>Principales reglas de registro y valoración de Patrimonio</w:t>
      </w:r>
    </w:p>
    <w:p w:rsidR="00BC2ADE" w:rsidRPr="005152FF" w:rsidRDefault="00BC2ADE" w:rsidP="00BC2ADE">
      <w:pPr>
        <w:pStyle w:val="Sinespaciado"/>
        <w:numPr>
          <w:ilvl w:val="0"/>
          <w:numId w:val="11"/>
        </w:numPr>
        <w:spacing w:line="360" w:lineRule="auto"/>
        <w:rPr>
          <w:rFonts w:ascii="Arial" w:hAnsi="Arial" w:cs="Arial"/>
          <w:sz w:val="24"/>
          <w:szCs w:val="24"/>
        </w:rPr>
      </w:pPr>
      <w:r w:rsidRPr="005152FF">
        <w:rPr>
          <w:rFonts w:ascii="Arial" w:hAnsi="Arial" w:cs="Arial"/>
          <w:sz w:val="24"/>
          <w:szCs w:val="24"/>
        </w:rPr>
        <w:t xml:space="preserve">Manual de Contabilidad Gubernamental </w:t>
      </w:r>
    </w:p>
    <w:p w:rsidR="00BC2ADE" w:rsidRPr="005152FF" w:rsidRDefault="00BC2ADE" w:rsidP="00BC2ADE">
      <w:pPr>
        <w:pStyle w:val="Sinespaciado"/>
        <w:numPr>
          <w:ilvl w:val="0"/>
          <w:numId w:val="11"/>
        </w:numPr>
        <w:spacing w:line="360" w:lineRule="auto"/>
        <w:rPr>
          <w:rFonts w:ascii="Arial" w:hAnsi="Arial" w:cs="Arial"/>
          <w:sz w:val="24"/>
          <w:szCs w:val="24"/>
        </w:rPr>
      </w:pPr>
      <w:r w:rsidRPr="005152FF">
        <w:rPr>
          <w:rFonts w:ascii="Arial" w:hAnsi="Arial" w:cs="Arial"/>
          <w:sz w:val="24"/>
          <w:szCs w:val="24"/>
        </w:rPr>
        <w:t>Instructivo de manejo de cuentas</w:t>
      </w:r>
    </w:p>
    <w:p w:rsidR="00BC2ADE" w:rsidRPr="005152FF" w:rsidRDefault="00BC2ADE" w:rsidP="00BC2ADE">
      <w:pPr>
        <w:pStyle w:val="Sinespaciado"/>
        <w:numPr>
          <w:ilvl w:val="0"/>
          <w:numId w:val="11"/>
        </w:numPr>
        <w:spacing w:line="360" w:lineRule="auto"/>
        <w:rPr>
          <w:rFonts w:ascii="Arial" w:hAnsi="Arial" w:cs="Arial"/>
          <w:sz w:val="24"/>
          <w:szCs w:val="24"/>
        </w:rPr>
      </w:pPr>
      <w:r w:rsidRPr="005152FF">
        <w:rPr>
          <w:rFonts w:ascii="Arial" w:hAnsi="Arial" w:cs="Arial"/>
          <w:sz w:val="24"/>
          <w:szCs w:val="24"/>
        </w:rPr>
        <w:t>Modelo de asientos para el registro contable</w:t>
      </w:r>
    </w:p>
    <w:p w:rsidR="00BC2ADE" w:rsidRPr="005152FF" w:rsidRDefault="00BC2ADE" w:rsidP="00BC2ADE">
      <w:pPr>
        <w:pStyle w:val="Sinespaciado"/>
        <w:numPr>
          <w:ilvl w:val="0"/>
          <w:numId w:val="11"/>
        </w:numPr>
        <w:spacing w:line="360" w:lineRule="auto"/>
        <w:rPr>
          <w:rFonts w:ascii="Arial" w:hAnsi="Arial" w:cs="Arial"/>
          <w:sz w:val="24"/>
          <w:szCs w:val="24"/>
        </w:rPr>
      </w:pPr>
      <w:r w:rsidRPr="005152FF">
        <w:rPr>
          <w:rFonts w:ascii="Arial" w:hAnsi="Arial" w:cs="Arial"/>
          <w:sz w:val="24"/>
          <w:szCs w:val="24"/>
        </w:rPr>
        <w:t>Guías Contabilizadoras</w:t>
      </w:r>
    </w:p>
    <w:p w:rsidR="00BC2ADE" w:rsidRPr="005152FF" w:rsidRDefault="00BC2ADE" w:rsidP="00BC2ADE">
      <w:pPr>
        <w:pStyle w:val="Sinespaciado"/>
        <w:numPr>
          <w:ilvl w:val="0"/>
          <w:numId w:val="11"/>
        </w:numPr>
        <w:spacing w:line="360" w:lineRule="auto"/>
        <w:rPr>
          <w:rFonts w:ascii="Arial" w:hAnsi="Arial" w:cs="Arial"/>
          <w:sz w:val="24"/>
          <w:szCs w:val="24"/>
        </w:rPr>
      </w:pPr>
      <w:r w:rsidRPr="005152FF">
        <w:rPr>
          <w:rFonts w:ascii="Arial" w:hAnsi="Arial" w:cs="Arial"/>
          <w:sz w:val="24"/>
          <w:szCs w:val="24"/>
        </w:rPr>
        <w:t xml:space="preserve">Normas y Metodología para la emisión de información financiera y estructura de los estados financieros básicos del ente público y características de sus notas, </w:t>
      </w:r>
    </w:p>
    <w:p w:rsidR="00BC2ADE" w:rsidRPr="005152FF" w:rsidRDefault="00BC2ADE" w:rsidP="00BC2ADE">
      <w:pPr>
        <w:pStyle w:val="Sinespaciado"/>
        <w:numPr>
          <w:ilvl w:val="0"/>
          <w:numId w:val="11"/>
        </w:numPr>
        <w:spacing w:line="360" w:lineRule="auto"/>
        <w:rPr>
          <w:rFonts w:ascii="Arial" w:hAnsi="Arial" w:cs="Arial"/>
          <w:sz w:val="24"/>
          <w:szCs w:val="24"/>
        </w:rPr>
      </w:pPr>
      <w:r w:rsidRPr="005152FF">
        <w:rPr>
          <w:rFonts w:ascii="Arial" w:hAnsi="Arial" w:cs="Arial"/>
          <w:sz w:val="24"/>
          <w:szCs w:val="24"/>
        </w:rPr>
        <w:t>Matrices de conversión, para la Armonización del sistema de Contabilidad Gubernamental,</w:t>
      </w:r>
    </w:p>
    <w:p w:rsidR="00BC2ADE" w:rsidRPr="005152FF" w:rsidRDefault="00BC2ADE" w:rsidP="00BC2ADE">
      <w:pPr>
        <w:pStyle w:val="Sinespaciado"/>
        <w:spacing w:line="360" w:lineRule="auto"/>
        <w:rPr>
          <w:rFonts w:ascii="Arial" w:hAnsi="Arial" w:cs="Arial"/>
          <w:sz w:val="24"/>
          <w:szCs w:val="24"/>
        </w:rPr>
      </w:pPr>
    </w:p>
    <w:p w:rsidR="00BC2ADE" w:rsidRPr="005152FF" w:rsidRDefault="00BC2ADE" w:rsidP="00BC2ADE">
      <w:pPr>
        <w:pStyle w:val="Sinespaciado"/>
        <w:spacing w:line="360" w:lineRule="auto"/>
        <w:jc w:val="both"/>
        <w:rPr>
          <w:rFonts w:ascii="Arial" w:hAnsi="Arial" w:cs="Arial"/>
          <w:sz w:val="24"/>
          <w:szCs w:val="24"/>
        </w:rPr>
      </w:pPr>
    </w:p>
    <w:p w:rsidR="00BC2ADE" w:rsidRPr="005152FF" w:rsidRDefault="00BC2ADE" w:rsidP="00BC2ADE">
      <w:pPr>
        <w:spacing w:line="360" w:lineRule="auto"/>
        <w:ind w:left="708"/>
        <w:jc w:val="both"/>
        <w:rPr>
          <w:rFonts w:ascii="Arial" w:hAnsi="Arial" w:cs="Arial"/>
        </w:rPr>
      </w:pPr>
      <w:r w:rsidRPr="005152FF">
        <w:rPr>
          <w:rFonts w:ascii="Arial" w:hAnsi="Arial" w:cs="Arial"/>
        </w:rPr>
        <w:t>b) La base de medición utilizada en el registro de las operaciones para la elaboración de los Estados Financieros es Costo Histórico.</w:t>
      </w:r>
    </w:p>
    <w:p w:rsidR="00BC2ADE" w:rsidRPr="005152FF" w:rsidRDefault="00BC2ADE" w:rsidP="00BC2ADE">
      <w:pPr>
        <w:autoSpaceDE w:val="0"/>
        <w:autoSpaceDN w:val="0"/>
        <w:adjustRightInd w:val="0"/>
        <w:spacing w:line="360" w:lineRule="auto"/>
        <w:ind w:firstLine="708"/>
        <w:jc w:val="both"/>
        <w:rPr>
          <w:rFonts w:ascii="Arial" w:hAnsi="Arial" w:cs="Arial"/>
          <w:bCs/>
        </w:rPr>
      </w:pPr>
      <w:r w:rsidRPr="005152FF">
        <w:rPr>
          <w:rFonts w:ascii="Arial" w:hAnsi="Arial" w:cs="Arial"/>
          <w:bCs/>
        </w:rPr>
        <w:t>c) Postulados básicos.</w:t>
      </w:r>
    </w:p>
    <w:p w:rsidR="00BC2ADE" w:rsidRPr="005152FF" w:rsidRDefault="00BC2ADE" w:rsidP="00BC2ADE">
      <w:pPr>
        <w:autoSpaceDE w:val="0"/>
        <w:autoSpaceDN w:val="0"/>
        <w:adjustRightInd w:val="0"/>
        <w:spacing w:line="360" w:lineRule="auto"/>
        <w:ind w:left="708"/>
        <w:jc w:val="both"/>
        <w:rPr>
          <w:rFonts w:ascii="Arial" w:hAnsi="Arial" w:cs="Arial"/>
        </w:rPr>
      </w:pPr>
      <w:r w:rsidRPr="005152FF">
        <w:rPr>
          <w:rFonts w:ascii="Arial" w:hAnsi="Arial" w:cs="Arial"/>
        </w:rPr>
        <w:t>Los Postulados Básicos de Contabilidad Gubernamental, tienen como objetivo sustentar técnicamente la contabilidad gubernamental, así como organizar la efectiva sistematización que permita la obtención de información veraz, clara y concisa.</w:t>
      </w:r>
    </w:p>
    <w:p w:rsidR="00BC2ADE" w:rsidRPr="005152FF" w:rsidRDefault="00BC2ADE" w:rsidP="00BC2ADE">
      <w:pPr>
        <w:autoSpaceDE w:val="0"/>
        <w:autoSpaceDN w:val="0"/>
        <w:adjustRightInd w:val="0"/>
        <w:spacing w:line="360" w:lineRule="auto"/>
        <w:jc w:val="both"/>
        <w:rPr>
          <w:rFonts w:ascii="Arial" w:hAnsi="Arial" w:cs="Arial"/>
        </w:rPr>
      </w:pPr>
    </w:p>
    <w:p w:rsidR="00BC2ADE" w:rsidRPr="005152FF" w:rsidRDefault="00BC2ADE" w:rsidP="00BC2ADE">
      <w:pPr>
        <w:autoSpaceDE w:val="0"/>
        <w:autoSpaceDN w:val="0"/>
        <w:adjustRightInd w:val="0"/>
        <w:spacing w:line="360" w:lineRule="auto"/>
        <w:ind w:left="708"/>
        <w:jc w:val="both"/>
        <w:rPr>
          <w:rFonts w:ascii="Arial" w:hAnsi="Arial" w:cs="Arial"/>
        </w:rPr>
      </w:pPr>
      <w:r w:rsidRPr="005152FF">
        <w:rPr>
          <w:rFonts w:ascii="Arial" w:hAnsi="Arial" w:cs="Arial"/>
        </w:rPr>
        <w:t>Los Postulados Básicos representan uno de los elementos fundamentales que configuran la Contabilidad Gubernamental, al permitir la identificación, el análisis, la interpretación, la captación, el procesamiento y el reconocimiento de las transacciones, transformaciones internas y otros eventos que afectan económicamente al ente público. Sustentan de manera técnica el registro de las operaciones, la elaboración y presentación de estados financieros; basados en su razonamiento, eficiencia demostrada, respaldo en legislación especializada y aplicación de la Ley, con la finalidad de uniformar los métodos, procedimientos y prácticas contables.</w:t>
      </w:r>
    </w:p>
    <w:p w:rsidR="00BC2ADE" w:rsidRPr="005152FF" w:rsidRDefault="00BC2ADE" w:rsidP="00BC2ADE">
      <w:pPr>
        <w:autoSpaceDE w:val="0"/>
        <w:autoSpaceDN w:val="0"/>
        <w:adjustRightInd w:val="0"/>
        <w:spacing w:line="360" w:lineRule="auto"/>
        <w:jc w:val="both"/>
        <w:rPr>
          <w:rFonts w:ascii="Arial" w:hAnsi="Arial" w:cs="Arial"/>
        </w:rPr>
      </w:pPr>
    </w:p>
    <w:p w:rsidR="00BC2ADE" w:rsidRPr="005152FF" w:rsidRDefault="00BC2ADE" w:rsidP="00BC2ADE">
      <w:pPr>
        <w:autoSpaceDE w:val="0"/>
        <w:autoSpaceDN w:val="0"/>
        <w:adjustRightInd w:val="0"/>
        <w:spacing w:line="360" w:lineRule="auto"/>
        <w:ind w:left="708"/>
        <w:jc w:val="both"/>
        <w:rPr>
          <w:rFonts w:ascii="Arial" w:hAnsi="Arial" w:cs="Arial"/>
        </w:rPr>
      </w:pPr>
      <w:r w:rsidRPr="005152FF">
        <w:rPr>
          <w:rFonts w:ascii="Arial" w:hAnsi="Arial" w:cs="Arial"/>
        </w:rPr>
        <w:t>A continuación se describe el contenido principal de los Postulados Básicos de Contabilidad Gubernamental, los cuales deben ser aplicados por los entes públicos de forma tal, que la información que proporcionen sea oportuna, confiable y comparable para la toma de decisiones:</w:t>
      </w:r>
    </w:p>
    <w:p w:rsidR="00BC2ADE" w:rsidRPr="005152FF" w:rsidRDefault="00BC2ADE" w:rsidP="00BC2ADE">
      <w:pPr>
        <w:autoSpaceDE w:val="0"/>
        <w:autoSpaceDN w:val="0"/>
        <w:adjustRightInd w:val="0"/>
        <w:spacing w:line="360" w:lineRule="auto"/>
        <w:ind w:firstLine="708"/>
        <w:jc w:val="both"/>
        <w:rPr>
          <w:rFonts w:ascii="Arial" w:hAnsi="Arial" w:cs="Arial"/>
          <w:b/>
          <w:bCs/>
        </w:rPr>
      </w:pPr>
    </w:p>
    <w:p w:rsidR="00BC2ADE" w:rsidRPr="005152FF" w:rsidRDefault="00BC2ADE" w:rsidP="00BC2ADE">
      <w:pPr>
        <w:autoSpaceDE w:val="0"/>
        <w:autoSpaceDN w:val="0"/>
        <w:adjustRightInd w:val="0"/>
        <w:spacing w:line="360" w:lineRule="auto"/>
        <w:jc w:val="both"/>
        <w:rPr>
          <w:rFonts w:ascii="Arial" w:hAnsi="Arial" w:cs="Arial"/>
          <w:b/>
          <w:bCs/>
        </w:rPr>
      </w:pPr>
      <w:r w:rsidRPr="005152FF">
        <w:rPr>
          <w:rFonts w:ascii="Arial" w:hAnsi="Arial" w:cs="Arial"/>
          <w:b/>
          <w:bCs/>
        </w:rPr>
        <w:t xml:space="preserve">           I. Sustancia Económica</w:t>
      </w:r>
    </w:p>
    <w:p w:rsidR="00BC2ADE" w:rsidRPr="005152FF" w:rsidRDefault="00BC2ADE" w:rsidP="00BC2ADE">
      <w:pPr>
        <w:autoSpaceDE w:val="0"/>
        <w:autoSpaceDN w:val="0"/>
        <w:adjustRightInd w:val="0"/>
        <w:spacing w:line="360" w:lineRule="auto"/>
        <w:ind w:left="708"/>
        <w:jc w:val="both"/>
        <w:rPr>
          <w:rFonts w:ascii="Arial" w:hAnsi="Arial" w:cs="Arial"/>
        </w:rPr>
      </w:pPr>
      <w:r w:rsidRPr="005152FF">
        <w:rPr>
          <w:rFonts w:ascii="Arial" w:hAnsi="Arial" w:cs="Arial"/>
        </w:rPr>
        <w:t>Es el reconocimiento contable de las transacciones, transformaciones internas y otros eventos, que afectan económicamente al ente público y delimitan la operación del Sistema de Contabilidad Gubernamental (SCG).</w:t>
      </w:r>
    </w:p>
    <w:p w:rsidR="00BC2ADE" w:rsidRPr="005152FF" w:rsidRDefault="00BC2ADE" w:rsidP="00BC2ADE">
      <w:pPr>
        <w:autoSpaceDE w:val="0"/>
        <w:autoSpaceDN w:val="0"/>
        <w:adjustRightInd w:val="0"/>
        <w:spacing w:line="360" w:lineRule="auto"/>
        <w:ind w:firstLine="708"/>
        <w:jc w:val="both"/>
        <w:rPr>
          <w:rFonts w:ascii="Arial" w:hAnsi="Arial" w:cs="Arial"/>
          <w:b/>
          <w:bCs/>
        </w:rPr>
      </w:pPr>
    </w:p>
    <w:p w:rsidR="00BC2ADE" w:rsidRPr="005152FF" w:rsidRDefault="00BC2ADE" w:rsidP="00BC2ADE">
      <w:pPr>
        <w:autoSpaceDE w:val="0"/>
        <w:autoSpaceDN w:val="0"/>
        <w:adjustRightInd w:val="0"/>
        <w:spacing w:line="360" w:lineRule="auto"/>
        <w:ind w:firstLine="708"/>
        <w:jc w:val="both"/>
        <w:rPr>
          <w:rFonts w:ascii="Arial" w:hAnsi="Arial" w:cs="Arial"/>
          <w:b/>
          <w:bCs/>
        </w:rPr>
      </w:pPr>
      <w:r w:rsidRPr="005152FF">
        <w:rPr>
          <w:rFonts w:ascii="Arial" w:hAnsi="Arial" w:cs="Arial"/>
          <w:b/>
          <w:bCs/>
        </w:rPr>
        <w:t>II. Entes Públicos</w:t>
      </w:r>
    </w:p>
    <w:p w:rsidR="00BC2ADE" w:rsidRPr="005152FF" w:rsidRDefault="00BC2ADE" w:rsidP="00BC2ADE">
      <w:pPr>
        <w:autoSpaceDE w:val="0"/>
        <w:autoSpaceDN w:val="0"/>
        <w:adjustRightInd w:val="0"/>
        <w:spacing w:line="360" w:lineRule="auto"/>
        <w:ind w:left="708"/>
        <w:jc w:val="both"/>
        <w:rPr>
          <w:rFonts w:ascii="Arial" w:hAnsi="Arial" w:cs="Arial"/>
        </w:rPr>
      </w:pPr>
      <w:r w:rsidRPr="005152FF">
        <w:rPr>
          <w:rFonts w:ascii="Arial" w:hAnsi="Arial" w:cs="Arial"/>
        </w:rPr>
        <w:t>Los poderes Ejecutivo, Legislativo y Judicial de la Federación y de las entidades federativas; los entes autónomos de la Federación y de las entidades federativas; los ayuntamientos de los municipios; los órganos político-administrativos de las demarcaciones territoriales del Distrito Federal; y las entidades de la administración pública paraestatal, ya sean federales, estatales o municipales.</w:t>
      </w:r>
    </w:p>
    <w:p w:rsidR="00BC2ADE" w:rsidRPr="005152FF" w:rsidRDefault="00BC2ADE" w:rsidP="00BC2ADE">
      <w:pPr>
        <w:autoSpaceDE w:val="0"/>
        <w:autoSpaceDN w:val="0"/>
        <w:adjustRightInd w:val="0"/>
        <w:spacing w:line="360" w:lineRule="auto"/>
        <w:jc w:val="both"/>
        <w:rPr>
          <w:rFonts w:ascii="Arial" w:hAnsi="Arial" w:cs="Arial"/>
          <w:b/>
          <w:bCs/>
        </w:rPr>
      </w:pPr>
    </w:p>
    <w:p w:rsidR="00BC2ADE" w:rsidRPr="005152FF" w:rsidRDefault="00BC2ADE" w:rsidP="00BC2ADE">
      <w:pPr>
        <w:autoSpaceDE w:val="0"/>
        <w:autoSpaceDN w:val="0"/>
        <w:adjustRightInd w:val="0"/>
        <w:spacing w:line="360" w:lineRule="auto"/>
        <w:ind w:firstLine="708"/>
        <w:jc w:val="both"/>
        <w:rPr>
          <w:rFonts w:ascii="Arial" w:hAnsi="Arial" w:cs="Arial"/>
          <w:b/>
          <w:bCs/>
        </w:rPr>
      </w:pPr>
      <w:r w:rsidRPr="005152FF">
        <w:rPr>
          <w:rFonts w:ascii="Arial" w:hAnsi="Arial" w:cs="Arial"/>
          <w:b/>
          <w:bCs/>
        </w:rPr>
        <w:t>III. Existencia Permanente</w:t>
      </w:r>
    </w:p>
    <w:p w:rsidR="00BC2ADE" w:rsidRPr="005152FF" w:rsidRDefault="00BC2ADE" w:rsidP="00BC2ADE">
      <w:pPr>
        <w:autoSpaceDE w:val="0"/>
        <w:autoSpaceDN w:val="0"/>
        <w:adjustRightInd w:val="0"/>
        <w:spacing w:line="360" w:lineRule="auto"/>
        <w:ind w:left="708"/>
        <w:jc w:val="both"/>
        <w:rPr>
          <w:rFonts w:ascii="Arial" w:hAnsi="Arial" w:cs="Arial"/>
        </w:rPr>
      </w:pPr>
      <w:r w:rsidRPr="005152FF">
        <w:rPr>
          <w:rFonts w:ascii="Arial" w:hAnsi="Arial" w:cs="Arial"/>
        </w:rPr>
        <w:t>La actividad del ente público se establece por tiempo indefinido, salvo disposición legal en la que se especifique lo contrario.</w:t>
      </w:r>
    </w:p>
    <w:p w:rsidR="00BC2ADE" w:rsidRPr="005152FF" w:rsidRDefault="00BC2ADE" w:rsidP="00BC2ADE">
      <w:pPr>
        <w:autoSpaceDE w:val="0"/>
        <w:autoSpaceDN w:val="0"/>
        <w:adjustRightInd w:val="0"/>
        <w:spacing w:line="360" w:lineRule="auto"/>
        <w:jc w:val="both"/>
        <w:rPr>
          <w:rFonts w:ascii="Arial" w:hAnsi="Arial" w:cs="Arial"/>
        </w:rPr>
      </w:pPr>
    </w:p>
    <w:p w:rsidR="00BC2ADE" w:rsidRPr="005152FF" w:rsidRDefault="00BC2ADE" w:rsidP="00BC2ADE">
      <w:pPr>
        <w:autoSpaceDE w:val="0"/>
        <w:autoSpaceDN w:val="0"/>
        <w:adjustRightInd w:val="0"/>
        <w:spacing w:line="360" w:lineRule="auto"/>
        <w:ind w:firstLine="708"/>
        <w:jc w:val="both"/>
        <w:rPr>
          <w:rFonts w:ascii="Arial" w:hAnsi="Arial" w:cs="Arial"/>
          <w:b/>
          <w:bCs/>
        </w:rPr>
      </w:pPr>
      <w:r w:rsidRPr="005152FF">
        <w:rPr>
          <w:rFonts w:ascii="Arial" w:hAnsi="Arial" w:cs="Arial"/>
          <w:b/>
          <w:bCs/>
        </w:rPr>
        <w:t>IV. Revelación Suficiente</w:t>
      </w:r>
    </w:p>
    <w:p w:rsidR="00BC2ADE" w:rsidRPr="005152FF" w:rsidRDefault="00BC2ADE" w:rsidP="00BC2ADE">
      <w:pPr>
        <w:autoSpaceDE w:val="0"/>
        <w:autoSpaceDN w:val="0"/>
        <w:adjustRightInd w:val="0"/>
        <w:spacing w:line="360" w:lineRule="auto"/>
        <w:ind w:left="708"/>
        <w:jc w:val="both"/>
        <w:rPr>
          <w:rFonts w:ascii="Arial" w:hAnsi="Arial" w:cs="Arial"/>
        </w:rPr>
      </w:pPr>
      <w:r w:rsidRPr="005152FF">
        <w:rPr>
          <w:rFonts w:ascii="Arial" w:hAnsi="Arial" w:cs="Arial"/>
        </w:rPr>
        <w:t>Los estados y la información financiera deben mostrar amplia y claramente la situación financiera y los resultados del ente público.</w:t>
      </w:r>
    </w:p>
    <w:p w:rsidR="00BC2ADE" w:rsidRPr="005152FF" w:rsidRDefault="00BC2ADE" w:rsidP="00BC2ADE">
      <w:pPr>
        <w:autoSpaceDE w:val="0"/>
        <w:autoSpaceDN w:val="0"/>
        <w:adjustRightInd w:val="0"/>
        <w:spacing w:line="360" w:lineRule="auto"/>
        <w:jc w:val="both"/>
        <w:rPr>
          <w:rFonts w:ascii="Arial" w:hAnsi="Arial" w:cs="Arial"/>
        </w:rPr>
      </w:pPr>
    </w:p>
    <w:p w:rsidR="00BC2ADE" w:rsidRPr="005152FF" w:rsidRDefault="00BC2ADE" w:rsidP="00BC2ADE">
      <w:pPr>
        <w:autoSpaceDE w:val="0"/>
        <w:autoSpaceDN w:val="0"/>
        <w:adjustRightInd w:val="0"/>
        <w:spacing w:line="360" w:lineRule="auto"/>
        <w:ind w:firstLine="708"/>
        <w:jc w:val="both"/>
        <w:rPr>
          <w:rFonts w:ascii="Arial" w:hAnsi="Arial" w:cs="Arial"/>
          <w:b/>
          <w:bCs/>
        </w:rPr>
      </w:pPr>
      <w:r w:rsidRPr="005152FF">
        <w:rPr>
          <w:rFonts w:ascii="Arial" w:hAnsi="Arial" w:cs="Arial"/>
          <w:b/>
          <w:bCs/>
        </w:rPr>
        <w:t>V. Importancia Relativa</w:t>
      </w:r>
    </w:p>
    <w:p w:rsidR="00BC2ADE" w:rsidRPr="005152FF" w:rsidRDefault="00BC2ADE" w:rsidP="00BC2ADE">
      <w:pPr>
        <w:autoSpaceDE w:val="0"/>
        <w:autoSpaceDN w:val="0"/>
        <w:adjustRightInd w:val="0"/>
        <w:spacing w:line="360" w:lineRule="auto"/>
        <w:ind w:left="708"/>
        <w:jc w:val="both"/>
        <w:rPr>
          <w:rFonts w:ascii="Arial" w:hAnsi="Arial" w:cs="Arial"/>
        </w:rPr>
      </w:pPr>
      <w:r w:rsidRPr="005152FF">
        <w:rPr>
          <w:rFonts w:ascii="Arial" w:hAnsi="Arial" w:cs="Arial"/>
        </w:rPr>
        <w:t>La información debe mostrar los aspectos importantes de la entidad, que fueron reconocidos contablemente.</w:t>
      </w:r>
    </w:p>
    <w:p w:rsidR="00BC2ADE" w:rsidRPr="005152FF" w:rsidRDefault="00BC2ADE" w:rsidP="00BC2ADE">
      <w:pPr>
        <w:autoSpaceDE w:val="0"/>
        <w:autoSpaceDN w:val="0"/>
        <w:adjustRightInd w:val="0"/>
        <w:spacing w:line="360" w:lineRule="auto"/>
        <w:jc w:val="both"/>
        <w:rPr>
          <w:rFonts w:ascii="Arial" w:hAnsi="Arial" w:cs="Arial"/>
        </w:rPr>
      </w:pPr>
    </w:p>
    <w:p w:rsidR="00BC2ADE" w:rsidRPr="005152FF" w:rsidRDefault="00BC2ADE" w:rsidP="00BC2ADE">
      <w:pPr>
        <w:autoSpaceDE w:val="0"/>
        <w:autoSpaceDN w:val="0"/>
        <w:adjustRightInd w:val="0"/>
        <w:spacing w:line="360" w:lineRule="auto"/>
        <w:ind w:firstLine="708"/>
        <w:jc w:val="both"/>
        <w:rPr>
          <w:rFonts w:ascii="Arial" w:hAnsi="Arial" w:cs="Arial"/>
          <w:b/>
          <w:bCs/>
        </w:rPr>
      </w:pPr>
      <w:r w:rsidRPr="005152FF">
        <w:rPr>
          <w:rFonts w:ascii="Arial" w:hAnsi="Arial" w:cs="Arial"/>
          <w:b/>
          <w:bCs/>
        </w:rPr>
        <w:t>VI. Registro e Integración Presupuestaria</w:t>
      </w:r>
    </w:p>
    <w:p w:rsidR="00BC2ADE" w:rsidRPr="005152FF" w:rsidRDefault="00BC2ADE" w:rsidP="00BC2ADE">
      <w:pPr>
        <w:autoSpaceDE w:val="0"/>
        <w:autoSpaceDN w:val="0"/>
        <w:adjustRightInd w:val="0"/>
        <w:spacing w:line="360" w:lineRule="auto"/>
        <w:ind w:firstLine="708"/>
        <w:jc w:val="both"/>
        <w:rPr>
          <w:rFonts w:ascii="Arial" w:hAnsi="Arial" w:cs="Arial"/>
          <w:b/>
          <w:bCs/>
        </w:rPr>
      </w:pPr>
    </w:p>
    <w:p w:rsidR="00BC2ADE" w:rsidRPr="005152FF" w:rsidRDefault="00BC2ADE" w:rsidP="00BC2ADE">
      <w:pPr>
        <w:autoSpaceDE w:val="0"/>
        <w:autoSpaceDN w:val="0"/>
        <w:adjustRightInd w:val="0"/>
        <w:spacing w:line="360" w:lineRule="auto"/>
        <w:ind w:left="708"/>
        <w:jc w:val="both"/>
        <w:rPr>
          <w:rFonts w:ascii="Arial" w:hAnsi="Arial" w:cs="Arial"/>
        </w:rPr>
      </w:pPr>
      <w:r w:rsidRPr="005152FF">
        <w:rPr>
          <w:rFonts w:ascii="Arial" w:hAnsi="Arial" w:cs="Arial"/>
        </w:rPr>
        <w:t>La información presupuestaria de los entes públicos se integra en la contabilidad en los mismos términos que se presentan en la Ley de Ingresos y en el Decreto del Presupuesto de Egresos, de acuerdo a la naturaleza económica que le corresponda.</w:t>
      </w:r>
    </w:p>
    <w:p w:rsidR="00BC2ADE" w:rsidRPr="005152FF" w:rsidRDefault="00BC2ADE" w:rsidP="00BC2ADE">
      <w:pPr>
        <w:autoSpaceDE w:val="0"/>
        <w:autoSpaceDN w:val="0"/>
        <w:adjustRightInd w:val="0"/>
        <w:spacing w:line="360" w:lineRule="auto"/>
        <w:ind w:left="708"/>
        <w:jc w:val="both"/>
        <w:rPr>
          <w:rFonts w:ascii="Arial" w:hAnsi="Arial" w:cs="Arial"/>
        </w:rPr>
      </w:pPr>
    </w:p>
    <w:p w:rsidR="00BC2ADE" w:rsidRPr="005152FF" w:rsidRDefault="00BC2ADE" w:rsidP="00BC2ADE">
      <w:pPr>
        <w:autoSpaceDE w:val="0"/>
        <w:autoSpaceDN w:val="0"/>
        <w:adjustRightInd w:val="0"/>
        <w:spacing w:line="360" w:lineRule="auto"/>
        <w:ind w:left="708"/>
        <w:jc w:val="both"/>
        <w:rPr>
          <w:rFonts w:ascii="Arial" w:hAnsi="Arial" w:cs="Arial"/>
        </w:rPr>
      </w:pPr>
      <w:r w:rsidRPr="005152FF">
        <w:rPr>
          <w:rFonts w:ascii="Arial" w:hAnsi="Arial" w:cs="Arial"/>
        </w:rPr>
        <w:lastRenderedPageBreak/>
        <w:t>El registro presupuestario del ingreso y del egreso en los entes públicos se debe reflejar en la contabilidad, considerando sus efectos patrimoniales y su vinculación con las etapas presupuestarias correspondientes.</w:t>
      </w:r>
    </w:p>
    <w:p w:rsidR="00BC2ADE" w:rsidRPr="005152FF" w:rsidRDefault="00BC2ADE" w:rsidP="00BC2ADE">
      <w:pPr>
        <w:autoSpaceDE w:val="0"/>
        <w:autoSpaceDN w:val="0"/>
        <w:adjustRightInd w:val="0"/>
        <w:spacing w:line="360" w:lineRule="auto"/>
        <w:jc w:val="both"/>
        <w:rPr>
          <w:rFonts w:ascii="Arial" w:hAnsi="Arial" w:cs="Arial"/>
        </w:rPr>
      </w:pPr>
    </w:p>
    <w:p w:rsidR="00BC2ADE" w:rsidRPr="005152FF" w:rsidRDefault="00BC2ADE" w:rsidP="00BC2ADE">
      <w:pPr>
        <w:autoSpaceDE w:val="0"/>
        <w:autoSpaceDN w:val="0"/>
        <w:adjustRightInd w:val="0"/>
        <w:spacing w:line="360" w:lineRule="auto"/>
        <w:ind w:firstLine="708"/>
        <w:jc w:val="both"/>
        <w:rPr>
          <w:rFonts w:ascii="Arial" w:hAnsi="Arial" w:cs="Arial"/>
          <w:b/>
          <w:bCs/>
        </w:rPr>
      </w:pPr>
      <w:r w:rsidRPr="005152FF">
        <w:rPr>
          <w:rFonts w:ascii="Arial" w:hAnsi="Arial" w:cs="Arial"/>
          <w:b/>
          <w:bCs/>
        </w:rPr>
        <w:t>VII. Consolidación de la Información Financiera</w:t>
      </w:r>
    </w:p>
    <w:p w:rsidR="00BC2ADE" w:rsidRPr="005152FF" w:rsidRDefault="00BC2ADE" w:rsidP="00BC2ADE">
      <w:pPr>
        <w:autoSpaceDE w:val="0"/>
        <w:autoSpaceDN w:val="0"/>
        <w:adjustRightInd w:val="0"/>
        <w:spacing w:line="360" w:lineRule="auto"/>
        <w:ind w:firstLine="708"/>
        <w:jc w:val="both"/>
        <w:rPr>
          <w:rFonts w:ascii="Arial" w:hAnsi="Arial" w:cs="Arial"/>
          <w:b/>
          <w:bCs/>
        </w:rPr>
      </w:pPr>
    </w:p>
    <w:p w:rsidR="00BC2ADE" w:rsidRPr="005152FF" w:rsidRDefault="00BC2ADE" w:rsidP="00BC2ADE">
      <w:pPr>
        <w:autoSpaceDE w:val="0"/>
        <w:autoSpaceDN w:val="0"/>
        <w:adjustRightInd w:val="0"/>
        <w:spacing w:line="360" w:lineRule="auto"/>
        <w:ind w:left="708"/>
        <w:jc w:val="both"/>
        <w:rPr>
          <w:rFonts w:ascii="Arial" w:hAnsi="Arial" w:cs="Arial"/>
        </w:rPr>
      </w:pPr>
      <w:r w:rsidRPr="005152FF">
        <w:rPr>
          <w:rFonts w:ascii="Arial" w:hAnsi="Arial" w:cs="Arial"/>
        </w:rPr>
        <w:t>Los estados financieros de los entes públicos deberán presentar de manera consolidada la situación financiera, los resultados de operación, el flujo de efectivo o los cambios en la situación financiera y las variaciones a la Hacienda Pública, como si se tratara de un solo ente público.</w:t>
      </w:r>
    </w:p>
    <w:p w:rsidR="00BC2ADE" w:rsidRPr="005152FF" w:rsidRDefault="00BC2ADE" w:rsidP="00BC2ADE">
      <w:pPr>
        <w:autoSpaceDE w:val="0"/>
        <w:autoSpaceDN w:val="0"/>
        <w:adjustRightInd w:val="0"/>
        <w:spacing w:line="360" w:lineRule="auto"/>
        <w:jc w:val="both"/>
        <w:rPr>
          <w:rFonts w:ascii="Arial" w:hAnsi="Arial" w:cs="Arial"/>
        </w:rPr>
      </w:pPr>
    </w:p>
    <w:p w:rsidR="00BC2ADE" w:rsidRPr="005152FF" w:rsidRDefault="00BC2ADE" w:rsidP="00BC2ADE">
      <w:pPr>
        <w:autoSpaceDE w:val="0"/>
        <w:autoSpaceDN w:val="0"/>
        <w:adjustRightInd w:val="0"/>
        <w:spacing w:line="360" w:lineRule="auto"/>
        <w:ind w:firstLine="708"/>
        <w:jc w:val="both"/>
        <w:rPr>
          <w:rFonts w:ascii="Arial" w:hAnsi="Arial" w:cs="Arial"/>
          <w:b/>
          <w:bCs/>
        </w:rPr>
      </w:pPr>
      <w:r w:rsidRPr="005152FF">
        <w:rPr>
          <w:rFonts w:ascii="Arial" w:hAnsi="Arial" w:cs="Arial"/>
          <w:b/>
          <w:bCs/>
        </w:rPr>
        <w:t>VIII. Devengo Contable</w:t>
      </w:r>
    </w:p>
    <w:p w:rsidR="00BC2ADE" w:rsidRPr="005152FF" w:rsidRDefault="00BC2ADE" w:rsidP="00BC2ADE">
      <w:pPr>
        <w:autoSpaceDE w:val="0"/>
        <w:autoSpaceDN w:val="0"/>
        <w:adjustRightInd w:val="0"/>
        <w:spacing w:line="360" w:lineRule="auto"/>
        <w:ind w:firstLine="708"/>
        <w:jc w:val="both"/>
        <w:rPr>
          <w:rFonts w:ascii="Arial" w:hAnsi="Arial" w:cs="Arial"/>
          <w:b/>
          <w:bCs/>
        </w:rPr>
      </w:pPr>
    </w:p>
    <w:p w:rsidR="00BC2ADE" w:rsidRPr="005152FF" w:rsidRDefault="00BC2ADE" w:rsidP="00BC2ADE">
      <w:pPr>
        <w:autoSpaceDE w:val="0"/>
        <w:autoSpaceDN w:val="0"/>
        <w:adjustRightInd w:val="0"/>
        <w:spacing w:line="360" w:lineRule="auto"/>
        <w:ind w:left="708"/>
        <w:jc w:val="both"/>
        <w:rPr>
          <w:rFonts w:ascii="Arial" w:hAnsi="Arial" w:cs="Arial"/>
        </w:rPr>
      </w:pPr>
      <w:r w:rsidRPr="005152FF">
        <w:rPr>
          <w:rFonts w:ascii="Arial" w:hAnsi="Arial" w:cs="Arial"/>
        </w:rPr>
        <w:t>Los registros contables de los entes públicos se llevarán con base acumulativa. El ingreso devengado, es el momento contable que se realiza cuando existe jurídicamente el derecho de cobro de impuestos, derechos, productos, aprovechamientos y otros ingresos por parte de los entes públicos.</w:t>
      </w:r>
    </w:p>
    <w:p w:rsidR="00BC2ADE" w:rsidRPr="005152FF" w:rsidRDefault="00BC2ADE" w:rsidP="00BC2ADE">
      <w:pPr>
        <w:autoSpaceDE w:val="0"/>
        <w:autoSpaceDN w:val="0"/>
        <w:adjustRightInd w:val="0"/>
        <w:spacing w:line="360" w:lineRule="auto"/>
        <w:ind w:left="708"/>
        <w:jc w:val="both"/>
        <w:rPr>
          <w:rFonts w:ascii="Arial" w:hAnsi="Arial" w:cs="Arial"/>
        </w:rPr>
      </w:pPr>
    </w:p>
    <w:p w:rsidR="00BC2ADE" w:rsidRPr="005152FF" w:rsidRDefault="00BC2ADE" w:rsidP="00BC2ADE">
      <w:pPr>
        <w:autoSpaceDE w:val="0"/>
        <w:autoSpaceDN w:val="0"/>
        <w:adjustRightInd w:val="0"/>
        <w:spacing w:line="360" w:lineRule="auto"/>
        <w:ind w:left="708"/>
        <w:jc w:val="both"/>
        <w:rPr>
          <w:rFonts w:ascii="Arial" w:hAnsi="Arial" w:cs="Arial"/>
        </w:rPr>
      </w:pPr>
      <w:r w:rsidRPr="005152FF">
        <w:rPr>
          <w:rFonts w:ascii="Arial" w:hAnsi="Arial" w:cs="Arial"/>
        </w:rPr>
        <w:t xml:space="preserve"> El gasto devengado, es el momento contable que refleja el reconocimiento de una obligación de pago a favor de terceros por la recepción de conformidad de bienes, servicios y obra pública contratados; así como de las obligaciones que derivan de tratados, leyes, decretos, resoluciones y sentencias definitivas.</w:t>
      </w:r>
    </w:p>
    <w:p w:rsidR="00BC2ADE" w:rsidRPr="005152FF" w:rsidRDefault="00BC2ADE" w:rsidP="00BC2ADE">
      <w:pPr>
        <w:pStyle w:val="Sinespaciado"/>
        <w:spacing w:line="360" w:lineRule="auto"/>
        <w:ind w:left="720"/>
        <w:rPr>
          <w:rFonts w:ascii="Arial" w:hAnsi="Arial" w:cs="Arial"/>
          <w:sz w:val="24"/>
          <w:szCs w:val="24"/>
        </w:rPr>
      </w:pPr>
    </w:p>
    <w:p w:rsidR="00BC2ADE" w:rsidRPr="005152FF" w:rsidRDefault="00BC2ADE" w:rsidP="00BC2ADE">
      <w:pPr>
        <w:spacing w:line="360" w:lineRule="auto"/>
        <w:ind w:left="709"/>
        <w:jc w:val="both"/>
        <w:rPr>
          <w:rFonts w:ascii="Arial" w:hAnsi="Arial" w:cs="Arial"/>
        </w:rPr>
      </w:pPr>
      <w:r w:rsidRPr="005152FF">
        <w:rPr>
          <w:rFonts w:ascii="Arial" w:hAnsi="Arial" w:cs="Arial"/>
        </w:rPr>
        <w:t>d) En forma supletoria a las Normas de la Ley General de Contabilidad Gubernamental y las emitidas por la CONAC  aplicará las siguientes:</w:t>
      </w:r>
    </w:p>
    <w:p w:rsidR="00BC2ADE" w:rsidRPr="005152FF" w:rsidRDefault="00BC2ADE" w:rsidP="00BC2ADE">
      <w:pPr>
        <w:pStyle w:val="Prrafodelista"/>
        <w:numPr>
          <w:ilvl w:val="0"/>
          <w:numId w:val="10"/>
        </w:numPr>
        <w:spacing w:after="200" w:line="360" w:lineRule="auto"/>
        <w:contextualSpacing/>
        <w:jc w:val="both"/>
        <w:rPr>
          <w:rFonts w:ascii="Arial" w:eastAsiaTheme="minorHAnsi" w:hAnsi="Arial" w:cs="Arial"/>
          <w:sz w:val="24"/>
          <w:szCs w:val="24"/>
          <w:lang w:eastAsia="en-US"/>
        </w:rPr>
      </w:pPr>
      <w:r w:rsidRPr="005152FF">
        <w:rPr>
          <w:rFonts w:ascii="Arial" w:eastAsiaTheme="minorHAnsi" w:hAnsi="Arial" w:cs="Arial"/>
          <w:sz w:val="24"/>
          <w:szCs w:val="24"/>
          <w:lang w:eastAsia="en-US"/>
        </w:rPr>
        <w:lastRenderedPageBreak/>
        <w:t>Normatividad emitida por las unidades administrativas o instancias competentes en materia de Contabilidad Gubernamental.</w:t>
      </w:r>
    </w:p>
    <w:p w:rsidR="00BC2ADE" w:rsidRPr="005152FF" w:rsidRDefault="00BC2ADE" w:rsidP="00BC2ADE">
      <w:pPr>
        <w:pStyle w:val="Prrafodelista"/>
        <w:numPr>
          <w:ilvl w:val="0"/>
          <w:numId w:val="10"/>
        </w:numPr>
        <w:spacing w:after="200" w:line="360" w:lineRule="auto"/>
        <w:contextualSpacing/>
        <w:jc w:val="both"/>
        <w:rPr>
          <w:rFonts w:ascii="Arial" w:eastAsiaTheme="minorHAnsi" w:hAnsi="Arial" w:cs="Arial"/>
          <w:sz w:val="24"/>
          <w:szCs w:val="24"/>
          <w:lang w:eastAsia="en-US"/>
        </w:rPr>
      </w:pPr>
      <w:r w:rsidRPr="005152FF">
        <w:rPr>
          <w:rFonts w:ascii="Arial" w:eastAsiaTheme="minorHAnsi" w:hAnsi="Arial" w:cs="Arial"/>
          <w:sz w:val="24"/>
          <w:szCs w:val="24"/>
          <w:lang w:eastAsia="en-US"/>
        </w:rPr>
        <w:t>Las Normas Internacionales de Contabilidad para el sector público (NICSP) emitidas por la junta de Normas Internacionales de Contabilidad del Sector Público.</w:t>
      </w:r>
    </w:p>
    <w:p w:rsidR="00BC2ADE" w:rsidRPr="005152FF" w:rsidRDefault="00BC2ADE" w:rsidP="00BC2ADE">
      <w:pPr>
        <w:pStyle w:val="Prrafodelista"/>
        <w:numPr>
          <w:ilvl w:val="0"/>
          <w:numId w:val="10"/>
        </w:numPr>
        <w:spacing w:after="200" w:line="360" w:lineRule="auto"/>
        <w:contextualSpacing/>
        <w:jc w:val="both"/>
        <w:rPr>
          <w:rFonts w:ascii="Arial" w:eastAsiaTheme="minorHAnsi" w:hAnsi="Arial" w:cs="Arial"/>
          <w:sz w:val="24"/>
          <w:szCs w:val="24"/>
          <w:lang w:eastAsia="en-US"/>
        </w:rPr>
      </w:pPr>
      <w:r w:rsidRPr="005152FF">
        <w:rPr>
          <w:rFonts w:ascii="Arial" w:eastAsiaTheme="minorHAnsi" w:hAnsi="Arial" w:cs="Arial"/>
          <w:sz w:val="24"/>
          <w:szCs w:val="24"/>
          <w:lang w:eastAsia="en-US"/>
        </w:rPr>
        <w:t>Las Normas de información financiera del Consejo Mexicano para la investigación y Desarrollo de Normas de Información Financiera A.C. (CINIF).</w:t>
      </w:r>
    </w:p>
    <w:p w:rsidR="00BC2ADE" w:rsidRPr="005152FF" w:rsidRDefault="00BC2ADE" w:rsidP="00BC2ADE">
      <w:pPr>
        <w:spacing w:line="360" w:lineRule="auto"/>
        <w:ind w:firstLine="708"/>
        <w:jc w:val="both"/>
        <w:rPr>
          <w:rFonts w:ascii="Arial" w:hAnsi="Arial" w:cs="Arial"/>
        </w:rPr>
      </w:pPr>
      <w:r w:rsidRPr="005152FF">
        <w:rPr>
          <w:rFonts w:ascii="Arial" w:hAnsi="Arial" w:cs="Arial"/>
        </w:rPr>
        <w:t>Políticas de Contabilidad Significativas.</w:t>
      </w:r>
    </w:p>
    <w:p w:rsidR="00BC2ADE" w:rsidRPr="005152FF" w:rsidRDefault="00BC2ADE" w:rsidP="00BC2ADE">
      <w:pPr>
        <w:pStyle w:val="Prrafodelista"/>
        <w:numPr>
          <w:ilvl w:val="0"/>
          <w:numId w:val="19"/>
        </w:numPr>
        <w:spacing w:after="200" w:line="360" w:lineRule="auto"/>
        <w:contextualSpacing/>
        <w:jc w:val="both"/>
        <w:rPr>
          <w:rFonts w:ascii="Arial" w:eastAsiaTheme="minorHAnsi" w:hAnsi="Arial" w:cs="Arial"/>
          <w:sz w:val="24"/>
          <w:szCs w:val="24"/>
          <w:lang w:eastAsia="en-US"/>
        </w:rPr>
      </w:pPr>
      <w:r w:rsidRPr="005152FF">
        <w:rPr>
          <w:rFonts w:ascii="Arial" w:eastAsiaTheme="minorHAnsi" w:hAnsi="Arial" w:cs="Arial"/>
          <w:sz w:val="24"/>
          <w:szCs w:val="24"/>
          <w:lang w:eastAsia="en-US"/>
        </w:rPr>
        <w:t>En los presentes Estados Financieros no se aplica algún método para la actualización de los activos, pasivos y Hacienda Publica y/o Patrimonio.</w:t>
      </w:r>
    </w:p>
    <w:p w:rsidR="00BC2ADE" w:rsidRPr="005152FF" w:rsidRDefault="00BC2ADE" w:rsidP="00BC2ADE">
      <w:pPr>
        <w:pStyle w:val="Prrafodelista"/>
        <w:numPr>
          <w:ilvl w:val="0"/>
          <w:numId w:val="19"/>
        </w:numPr>
        <w:spacing w:after="200" w:line="360" w:lineRule="auto"/>
        <w:contextualSpacing/>
        <w:jc w:val="both"/>
        <w:rPr>
          <w:rFonts w:ascii="Arial" w:eastAsiaTheme="minorHAnsi" w:hAnsi="Arial" w:cs="Arial"/>
          <w:sz w:val="24"/>
          <w:szCs w:val="24"/>
          <w:lang w:eastAsia="en-US"/>
        </w:rPr>
      </w:pPr>
      <w:r w:rsidRPr="005152FF">
        <w:rPr>
          <w:rFonts w:ascii="Arial" w:eastAsiaTheme="minorHAnsi" w:hAnsi="Arial" w:cs="Arial"/>
          <w:sz w:val="24"/>
          <w:szCs w:val="24"/>
          <w:lang w:eastAsia="en-US"/>
        </w:rPr>
        <w:t>El Poder ejecutivo del Gobierno del Estado, no realizó operaciones en el extranjero.</w:t>
      </w:r>
    </w:p>
    <w:p w:rsidR="00BC2ADE" w:rsidRPr="005152FF" w:rsidRDefault="00BC2ADE" w:rsidP="00BC2ADE">
      <w:pPr>
        <w:pStyle w:val="Prrafodelista"/>
        <w:numPr>
          <w:ilvl w:val="0"/>
          <w:numId w:val="19"/>
        </w:numPr>
        <w:spacing w:after="200" w:line="360" w:lineRule="auto"/>
        <w:contextualSpacing/>
        <w:jc w:val="both"/>
        <w:rPr>
          <w:rFonts w:ascii="Arial" w:eastAsiaTheme="minorHAnsi" w:hAnsi="Arial" w:cs="Arial"/>
          <w:sz w:val="24"/>
          <w:szCs w:val="24"/>
          <w:lang w:eastAsia="en-US"/>
        </w:rPr>
      </w:pPr>
      <w:r w:rsidRPr="005152FF">
        <w:rPr>
          <w:rFonts w:ascii="Arial" w:eastAsiaTheme="minorHAnsi" w:hAnsi="Arial" w:cs="Arial"/>
          <w:sz w:val="24"/>
          <w:szCs w:val="24"/>
          <w:lang w:eastAsia="en-US"/>
        </w:rPr>
        <w:t xml:space="preserve">Las Dependencias del Sector Centralizado que forman el poder Ejecutivo del Gobierno del Estado, no cuentan con inventarios de mercancías para venta, esas funciones recaen en las entidades de la Administración </w:t>
      </w:r>
      <w:proofErr w:type="spellStart"/>
      <w:r w:rsidRPr="005152FF">
        <w:rPr>
          <w:rFonts w:ascii="Arial" w:eastAsiaTheme="minorHAnsi" w:hAnsi="Arial" w:cs="Arial"/>
          <w:sz w:val="24"/>
          <w:szCs w:val="24"/>
          <w:lang w:eastAsia="en-US"/>
        </w:rPr>
        <w:t>Publica</w:t>
      </w:r>
      <w:proofErr w:type="spellEnd"/>
      <w:r w:rsidRPr="005152FF">
        <w:rPr>
          <w:rFonts w:ascii="Arial" w:eastAsiaTheme="minorHAnsi" w:hAnsi="Arial" w:cs="Arial"/>
          <w:sz w:val="24"/>
          <w:szCs w:val="24"/>
          <w:lang w:eastAsia="en-US"/>
        </w:rPr>
        <w:t xml:space="preserve"> Paraestatal.</w:t>
      </w:r>
    </w:p>
    <w:p w:rsidR="00BC2ADE" w:rsidRPr="005152FF" w:rsidRDefault="00BC2ADE" w:rsidP="00BC2ADE">
      <w:pPr>
        <w:pStyle w:val="Sinespaciado"/>
        <w:numPr>
          <w:ilvl w:val="0"/>
          <w:numId w:val="19"/>
        </w:numPr>
        <w:spacing w:line="360" w:lineRule="auto"/>
        <w:jc w:val="both"/>
        <w:rPr>
          <w:rFonts w:ascii="Arial" w:hAnsi="Arial" w:cs="Arial"/>
          <w:sz w:val="24"/>
          <w:szCs w:val="24"/>
        </w:rPr>
      </w:pPr>
      <w:r w:rsidRPr="005152FF">
        <w:rPr>
          <w:rFonts w:ascii="Arial" w:hAnsi="Arial" w:cs="Arial"/>
          <w:sz w:val="24"/>
          <w:szCs w:val="24"/>
        </w:rPr>
        <w:t>Los bienes muebles se registran a su costo de adquisición o a su valor estimado, en caso de que sean  producto de una donación o adjudicación. Los estados financieros, bajo el postulado de costo histórico, muestran los valores y costos en las fechas de realización.</w:t>
      </w:r>
    </w:p>
    <w:p w:rsidR="00BC2ADE" w:rsidRPr="005152FF" w:rsidRDefault="00BC2ADE" w:rsidP="00BC2ADE">
      <w:pPr>
        <w:pStyle w:val="Sinespaciado"/>
        <w:numPr>
          <w:ilvl w:val="0"/>
          <w:numId w:val="19"/>
        </w:numPr>
        <w:spacing w:line="360" w:lineRule="auto"/>
        <w:jc w:val="both"/>
        <w:rPr>
          <w:rFonts w:ascii="Arial" w:hAnsi="Arial" w:cs="Arial"/>
          <w:sz w:val="24"/>
          <w:szCs w:val="24"/>
        </w:rPr>
      </w:pPr>
      <w:r w:rsidRPr="005152FF">
        <w:rPr>
          <w:rFonts w:ascii="Arial" w:hAnsi="Arial" w:cs="Arial"/>
          <w:sz w:val="24"/>
          <w:szCs w:val="24"/>
        </w:rPr>
        <w:t>Los bienes inmuebles se registran o actualizan a su valor catastral.</w:t>
      </w:r>
    </w:p>
    <w:p w:rsidR="00BC2ADE" w:rsidRPr="005152FF" w:rsidRDefault="00BC2ADE" w:rsidP="00BC2ADE">
      <w:pPr>
        <w:pStyle w:val="Sinespaciado"/>
        <w:numPr>
          <w:ilvl w:val="0"/>
          <w:numId w:val="19"/>
        </w:numPr>
        <w:spacing w:line="360" w:lineRule="auto"/>
        <w:jc w:val="both"/>
        <w:rPr>
          <w:rFonts w:ascii="Arial" w:hAnsi="Arial" w:cs="Arial"/>
          <w:sz w:val="24"/>
          <w:szCs w:val="24"/>
        </w:rPr>
      </w:pPr>
      <w:r w:rsidRPr="005152FF">
        <w:rPr>
          <w:rFonts w:ascii="Arial" w:hAnsi="Arial" w:cs="Arial"/>
          <w:sz w:val="24"/>
          <w:szCs w:val="24"/>
        </w:rPr>
        <w:t>El registro contable de los inventarios se efectúa mediante el sistema de inventarios perpetuos. La valuación de los inventarios se lleva a cabo en base al costo histórico.</w:t>
      </w:r>
    </w:p>
    <w:p w:rsidR="00BC2ADE" w:rsidRPr="005152FF" w:rsidRDefault="00BC2ADE" w:rsidP="00BC2ADE">
      <w:pPr>
        <w:pStyle w:val="Sinespaciado"/>
        <w:numPr>
          <w:ilvl w:val="0"/>
          <w:numId w:val="19"/>
        </w:numPr>
        <w:spacing w:line="360" w:lineRule="auto"/>
        <w:jc w:val="both"/>
        <w:rPr>
          <w:rFonts w:ascii="Arial" w:hAnsi="Arial" w:cs="Arial"/>
          <w:sz w:val="24"/>
          <w:szCs w:val="24"/>
        </w:rPr>
      </w:pPr>
      <w:r w:rsidRPr="005152FF">
        <w:rPr>
          <w:rFonts w:ascii="Arial" w:hAnsi="Arial" w:cs="Arial"/>
          <w:sz w:val="24"/>
          <w:szCs w:val="24"/>
        </w:rPr>
        <w:lastRenderedPageBreak/>
        <w:t>Las erogaciones que se realizan con la finalidad de aumentar el rendimiento, la vida útil o la capacidad de producción del activo fijo, deberá registrarse como un aumento de su valor.</w:t>
      </w:r>
    </w:p>
    <w:p w:rsidR="00BC2ADE" w:rsidRPr="005152FF" w:rsidRDefault="00BC2ADE" w:rsidP="00BC2ADE">
      <w:pPr>
        <w:pStyle w:val="Sinespaciado"/>
        <w:numPr>
          <w:ilvl w:val="0"/>
          <w:numId w:val="19"/>
        </w:numPr>
        <w:spacing w:line="360" w:lineRule="auto"/>
        <w:jc w:val="both"/>
        <w:rPr>
          <w:rFonts w:ascii="Arial" w:hAnsi="Arial" w:cs="Arial"/>
          <w:sz w:val="24"/>
          <w:szCs w:val="24"/>
        </w:rPr>
      </w:pPr>
      <w:r w:rsidRPr="005152FF">
        <w:rPr>
          <w:rFonts w:ascii="Arial" w:hAnsi="Arial" w:cs="Arial"/>
          <w:sz w:val="24"/>
          <w:szCs w:val="24"/>
        </w:rPr>
        <w:t>Las obras de infraestructura se registrarán durante el proceso de construcción como Obras en proceso y una vez terminadas se afectarán a cargo de la dependencia responsable de su ejecución.</w:t>
      </w:r>
    </w:p>
    <w:p w:rsidR="00BC2ADE" w:rsidRPr="005152FF" w:rsidRDefault="00BC2ADE" w:rsidP="00BC2ADE">
      <w:pPr>
        <w:pStyle w:val="Sinespaciado"/>
        <w:numPr>
          <w:ilvl w:val="0"/>
          <w:numId w:val="19"/>
        </w:numPr>
        <w:spacing w:line="360" w:lineRule="auto"/>
        <w:jc w:val="both"/>
        <w:rPr>
          <w:rFonts w:ascii="Arial" w:hAnsi="Arial" w:cs="Arial"/>
          <w:sz w:val="24"/>
          <w:szCs w:val="24"/>
        </w:rPr>
      </w:pPr>
      <w:r w:rsidRPr="005152FF">
        <w:rPr>
          <w:rFonts w:ascii="Arial" w:hAnsi="Arial" w:cs="Arial"/>
          <w:sz w:val="24"/>
          <w:szCs w:val="24"/>
        </w:rPr>
        <w:t>Los registros por la construcción de las obras, incluirán todas las erogaciones que se realicen a partir de su proyecto, desarrollo y terminación, y que se identifiquen plenamente con ésta.</w:t>
      </w:r>
    </w:p>
    <w:p w:rsidR="00BC2ADE" w:rsidRPr="005152FF" w:rsidRDefault="00BC2ADE" w:rsidP="00BC2ADE">
      <w:pPr>
        <w:pStyle w:val="Sinespaciado"/>
        <w:numPr>
          <w:ilvl w:val="0"/>
          <w:numId w:val="19"/>
        </w:numPr>
        <w:spacing w:line="360" w:lineRule="auto"/>
        <w:jc w:val="both"/>
        <w:rPr>
          <w:rFonts w:ascii="Arial" w:hAnsi="Arial" w:cs="Arial"/>
          <w:sz w:val="24"/>
          <w:szCs w:val="24"/>
        </w:rPr>
      </w:pPr>
      <w:r w:rsidRPr="005152FF">
        <w:rPr>
          <w:rFonts w:ascii="Arial" w:hAnsi="Arial" w:cs="Arial"/>
          <w:sz w:val="24"/>
          <w:szCs w:val="24"/>
        </w:rPr>
        <w:t>El pasivo se registrará al momento de recibir el bien o servicio que le de origen, al valor pactado o contratado.</w:t>
      </w:r>
    </w:p>
    <w:p w:rsidR="00BC2ADE" w:rsidRPr="005152FF" w:rsidRDefault="00BC2ADE" w:rsidP="00BC2ADE">
      <w:pPr>
        <w:pStyle w:val="Sinespaciado"/>
        <w:numPr>
          <w:ilvl w:val="0"/>
          <w:numId w:val="19"/>
        </w:numPr>
        <w:spacing w:line="360" w:lineRule="auto"/>
        <w:jc w:val="both"/>
        <w:rPr>
          <w:rFonts w:ascii="Arial" w:hAnsi="Arial" w:cs="Arial"/>
          <w:sz w:val="24"/>
          <w:szCs w:val="24"/>
        </w:rPr>
      </w:pPr>
      <w:r w:rsidRPr="005152FF">
        <w:rPr>
          <w:rFonts w:ascii="Arial" w:hAnsi="Arial" w:cs="Arial"/>
          <w:sz w:val="24"/>
          <w:szCs w:val="24"/>
        </w:rPr>
        <w:t>Las operaciones en moneda extranjera se registrarán al tipo de cambio fijado por el Banco de México, en esa fecha, y se valuarán al tipo de cambio a la fecha de presentación de los estados financieros.</w:t>
      </w:r>
    </w:p>
    <w:p w:rsidR="00BC2ADE" w:rsidRPr="005152FF" w:rsidRDefault="00BC2ADE" w:rsidP="00BC2ADE">
      <w:pPr>
        <w:pStyle w:val="Sinespaciado"/>
        <w:numPr>
          <w:ilvl w:val="0"/>
          <w:numId w:val="19"/>
        </w:numPr>
        <w:spacing w:line="360" w:lineRule="auto"/>
        <w:jc w:val="both"/>
        <w:rPr>
          <w:rFonts w:ascii="Arial" w:hAnsi="Arial" w:cs="Arial"/>
          <w:sz w:val="24"/>
          <w:szCs w:val="24"/>
        </w:rPr>
      </w:pPr>
      <w:r w:rsidRPr="005152FF">
        <w:rPr>
          <w:rFonts w:ascii="Arial" w:hAnsi="Arial" w:cs="Arial"/>
          <w:sz w:val="24"/>
          <w:szCs w:val="24"/>
        </w:rPr>
        <w:t>El patrimonio se modifica con el resultado anual obtenido, por los movimientos derivados de los incrementos y decrementos en los bienes inventaríales, por la aplicación de refrendos, por las rectificaciones efectuadas a resultados de ejercicios anteriores presupuestales y no presupuestales; y por los traspasos realizados al inicio del ejercicio.</w:t>
      </w:r>
    </w:p>
    <w:p w:rsidR="00BC2ADE" w:rsidRPr="005152FF" w:rsidRDefault="00BC2ADE" w:rsidP="00BC2ADE">
      <w:pPr>
        <w:pStyle w:val="Sinespaciado"/>
        <w:numPr>
          <w:ilvl w:val="0"/>
          <w:numId w:val="19"/>
        </w:numPr>
        <w:spacing w:line="360" w:lineRule="auto"/>
        <w:jc w:val="both"/>
        <w:rPr>
          <w:rFonts w:ascii="Arial" w:hAnsi="Arial" w:cs="Arial"/>
          <w:sz w:val="24"/>
          <w:szCs w:val="24"/>
        </w:rPr>
      </w:pPr>
      <w:r w:rsidRPr="005152FF">
        <w:rPr>
          <w:rFonts w:ascii="Arial" w:hAnsi="Arial" w:cs="Arial"/>
          <w:sz w:val="24"/>
          <w:szCs w:val="24"/>
        </w:rPr>
        <w:t>El Presupuestó se registra contablemente por el importe asignado y autorizado, así también sus incidencias en cuentas de resultados.</w:t>
      </w:r>
    </w:p>
    <w:p w:rsidR="00BC2ADE" w:rsidRPr="005152FF" w:rsidRDefault="00BC2ADE" w:rsidP="00BC2ADE">
      <w:pPr>
        <w:pStyle w:val="Sinespaciado"/>
        <w:numPr>
          <w:ilvl w:val="0"/>
          <w:numId w:val="19"/>
        </w:numPr>
        <w:spacing w:line="360" w:lineRule="auto"/>
        <w:jc w:val="both"/>
        <w:rPr>
          <w:rFonts w:ascii="Arial" w:hAnsi="Arial" w:cs="Arial"/>
          <w:sz w:val="24"/>
          <w:szCs w:val="24"/>
        </w:rPr>
      </w:pPr>
      <w:r w:rsidRPr="005152FF">
        <w:rPr>
          <w:rFonts w:ascii="Arial" w:hAnsi="Arial" w:cs="Arial"/>
          <w:sz w:val="24"/>
          <w:szCs w:val="24"/>
        </w:rPr>
        <w:t>Las cifras que presentan los estados financieros y sus notas que lo acompañan, están expresadas en miles de pesos nominales, por lo que pudieran existir diferencias, no materiales, contra las cifras denominadas en pesos y las cifras pueden diferir con lo reportado en la Cuenta Pública debido a efectos de redondeo.</w:t>
      </w:r>
    </w:p>
    <w:p w:rsidR="00BC2ADE" w:rsidRPr="005152FF" w:rsidRDefault="00BC2ADE" w:rsidP="00BC2ADE">
      <w:pPr>
        <w:pStyle w:val="Sinespaciado"/>
        <w:spacing w:line="360" w:lineRule="auto"/>
        <w:ind w:left="708"/>
        <w:jc w:val="both"/>
        <w:rPr>
          <w:rFonts w:ascii="Arial" w:hAnsi="Arial" w:cs="Arial"/>
          <w:color w:val="000000" w:themeColor="text1"/>
          <w:sz w:val="24"/>
          <w:szCs w:val="24"/>
        </w:rPr>
      </w:pPr>
      <w:r w:rsidRPr="005152FF">
        <w:rPr>
          <w:rFonts w:ascii="Arial" w:hAnsi="Arial" w:cs="Arial"/>
          <w:color w:val="000000" w:themeColor="text1"/>
          <w:sz w:val="24"/>
          <w:szCs w:val="24"/>
        </w:rPr>
        <w:lastRenderedPageBreak/>
        <w:t>El presente estado de posición financiera consolidado al 3</w:t>
      </w:r>
      <w:r>
        <w:rPr>
          <w:rFonts w:ascii="Arial" w:hAnsi="Arial" w:cs="Arial"/>
          <w:color w:val="000000" w:themeColor="text1"/>
          <w:sz w:val="24"/>
          <w:szCs w:val="24"/>
        </w:rPr>
        <w:t>0</w:t>
      </w:r>
      <w:r w:rsidRPr="005152FF">
        <w:rPr>
          <w:rFonts w:ascii="Arial" w:hAnsi="Arial" w:cs="Arial"/>
          <w:color w:val="000000" w:themeColor="text1"/>
          <w:sz w:val="24"/>
          <w:szCs w:val="24"/>
        </w:rPr>
        <w:t xml:space="preserve"> de </w:t>
      </w:r>
      <w:r>
        <w:rPr>
          <w:rFonts w:ascii="Arial" w:hAnsi="Arial" w:cs="Arial"/>
          <w:color w:val="000000" w:themeColor="text1"/>
          <w:sz w:val="24"/>
          <w:szCs w:val="24"/>
        </w:rPr>
        <w:t>Junio</w:t>
      </w:r>
      <w:r w:rsidRPr="005152FF">
        <w:rPr>
          <w:rFonts w:ascii="Arial" w:hAnsi="Arial" w:cs="Arial"/>
          <w:color w:val="000000" w:themeColor="text1"/>
          <w:sz w:val="24"/>
          <w:szCs w:val="24"/>
        </w:rPr>
        <w:t xml:space="preserve"> de 201</w:t>
      </w:r>
      <w:r>
        <w:rPr>
          <w:rFonts w:ascii="Arial" w:hAnsi="Arial" w:cs="Arial"/>
          <w:color w:val="000000" w:themeColor="text1"/>
          <w:sz w:val="24"/>
          <w:szCs w:val="24"/>
        </w:rPr>
        <w:t>5</w:t>
      </w:r>
      <w:r w:rsidRPr="005152FF">
        <w:rPr>
          <w:rFonts w:ascii="Arial" w:hAnsi="Arial" w:cs="Arial"/>
          <w:color w:val="000000" w:themeColor="text1"/>
          <w:sz w:val="24"/>
          <w:szCs w:val="24"/>
        </w:rPr>
        <w:t>, el estado de actividades, el estado de variaciones en la hacienda pública y el estado de flujo de efectivo, correspondientes al periodo del 01 de Enero al 3</w:t>
      </w:r>
      <w:r>
        <w:rPr>
          <w:rFonts w:ascii="Arial" w:hAnsi="Arial" w:cs="Arial"/>
          <w:color w:val="000000" w:themeColor="text1"/>
          <w:sz w:val="24"/>
          <w:szCs w:val="24"/>
        </w:rPr>
        <w:t>0</w:t>
      </w:r>
      <w:r w:rsidRPr="005152FF">
        <w:rPr>
          <w:rFonts w:ascii="Arial" w:hAnsi="Arial" w:cs="Arial"/>
          <w:color w:val="000000" w:themeColor="text1"/>
          <w:sz w:val="24"/>
          <w:szCs w:val="24"/>
        </w:rPr>
        <w:t xml:space="preserve"> de </w:t>
      </w:r>
      <w:r>
        <w:rPr>
          <w:rFonts w:ascii="Arial" w:hAnsi="Arial" w:cs="Arial"/>
          <w:color w:val="000000" w:themeColor="text1"/>
          <w:sz w:val="24"/>
          <w:szCs w:val="24"/>
        </w:rPr>
        <w:t>Junio</w:t>
      </w:r>
      <w:r w:rsidRPr="005152FF">
        <w:rPr>
          <w:rFonts w:ascii="Arial" w:hAnsi="Arial" w:cs="Arial"/>
          <w:color w:val="000000" w:themeColor="text1"/>
          <w:sz w:val="24"/>
          <w:szCs w:val="24"/>
        </w:rPr>
        <w:t xml:space="preserve"> de 201</w:t>
      </w:r>
      <w:r>
        <w:rPr>
          <w:rFonts w:ascii="Arial" w:hAnsi="Arial" w:cs="Arial"/>
          <w:color w:val="000000" w:themeColor="text1"/>
          <w:sz w:val="24"/>
          <w:szCs w:val="24"/>
        </w:rPr>
        <w:t>5</w:t>
      </w:r>
      <w:r w:rsidRPr="005152FF">
        <w:rPr>
          <w:rFonts w:ascii="Arial" w:hAnsi="Arial" w:cs="Arial"/>
          <w:color w:val="000000" w:themeColor="text1"/>
          <w:sz w:val="24"/>
          <w:szCs w:val="24"/>
        </w:rPr>
        <w:t xml:space="preserve">, fueron preparados y emitidos por dicho periodo, con la finalidad de dar cumplimiento a la disposición legal contenida en el artículo 37 de la Ley </w:t>
      </w:r>
      <w:r w:rsidR="00F409B4">
        <w:rPr>
          <w:rFonts w:ascii="Arial" w:hAnsi="Arial" w:cs="Arial"/>
          <w:color w:val="000000" w:themeColor="text1"/>
          <w:sz w:val="24"/>
          <w:szCs w:val="24"/>
        </w:rPr>
        <w:t>Estatal de</w:t>
      </w:r>
      <w:r w:rsidRPr="005152FF">
        <w:rPr>
          <w:rFonts w:ascii="Arial" w:hAnsi="Arial" w:cs="Arial"/>
          <w:color w:val="000000" w:themeColor="text1"/>
          <w:sz w:val="24"/>
          <w:szCs w:val="24"/>
        </w:rPr>
        <w:t xml:space="preserve"> Presupuesto</w:t>
      </w:r>
      <w:r w:rsidR="00F409B4">
        <w:rPr>
          <w:rFonts w:ascii="Arial" w:hAnsi="Arial" w:cs="Arial"/>
          <w:color w:val="000000" w:themeColor="text1"/>
          <w:sz w:val="24"/>
          <w:szCs w:val="24"/>
        </w:rPr>
        <w:t xml:space="preserve"> y Responsabilidad Hacendaria</w:t>
      </w:r>
      <w:r w:rsidRPr="005152FF">
        <w:rPr>
          <w:rFonts w:ascii="Arial" w:hAnsi="Arial" w:cs="Arial"/>
          <w:color w:val="000000" w:themeColor="text1"/>
          <w:sz w:val="24"/>
          <w:szCs w:val="24"/>
        </w:rPr>
        <w:t>.</w:t>
      </w:r>
    </w:p>
    <w:p w:rsidR="00BC2ADE" w:rsidRDefault="00BC2ADE" w:rsidP="00BC2ADE">
      <w:pPr>
        <w:pStyle w:val="Prrafodelista"/>
        <w:spacing w:line="360" w:lineRule="auto"/>
        <w:ind w:left="1146"/>
        <w:jc w:val="both"/>
        <w:rPr>
          <w:rFonts w:ascii="Arial" w:eastAsiaTheme="minorHAnsi" w:hAnsi="Arial" w:cs="Arial"/>
          <w:color w:val="000000" w:themeColor="text1"/>
          <w:sz w:val="24"/>
          <w:szCs w:val="24"/>
          <w:lang w:eastAsia="en-US"/>
        </w:rPr>
      </w:pPr>
    </w:p>
    <w:p w:rsidR="00BC2ADE" w:rsidRPr="003E6195" w:rsidRDefault="00BC2ADE" w:rsidP="00BC2ADE">
      <w:pPr>
        <w:pStyle w:val="Sinespaciado"/>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3</w:t>
      </w:r>
      <w:r w:rsidRPr="003E6195">
        <w:rPr>
          <w:rFonts w:ascii="Arial" w:hAnsi="Arial" w:cs="Arial"/>
          <w:b/>
          <w:color w:val="000000" w:themeColor="text1"/>
          <w:sz w:val="24"/>
          <w:szCs w:val="24"/>
        </w:rPr>
        <w:t>. Procesos de Mejora</w:t>
      </w:r>
    </w:p>
    <w:p w:rsidR="00BC2ADE" w:rsidRPr="003E6195" w:rsidRDefault="00BC2ADE" w:rsidP="00BC2ADE">
      <w:pPr>
        <w:pStyle w:val="Sinespaciado"/>
        <w:spacing w:line="360" w:lineRule="auto"/>
        <w:jc w:val="both"/>
        <w:rPr>
          <w:rFonts w:ascii="Arial" w:hAnsi="Arial" w:cs="Arial"/>
          <w:color w:val="000000" w:themeColor="text1"/>
          <w:sz w:val="24"/>
          <w:szCs w:val="24"/>
        </w:rPr>
      </w:pPr>
    </w:p>
    <w:p w:rsidR="00BC2ADE" w:rsidRDefault="00BC2ADE" w:rsidP="00BC2ADE">
      <w:pPr>
        <w:pStyle w:val="Sinespaciado"/>
        <w:spacing w:line="360" w:lineRule="auto"/>
        <w:jc w:val="both"/>
        <w:rPr>
          <w:rFonts w:ascii="Arial" w:hAnsi="Arial" w:cs="Arial"/>
          <w:color w:val="000000" w:themeColor="text1"/>
          <w:sz w:val="24"/>
          <w:szCs w:val="24"/>
        </w:rPr>
      </w:pPr>
      <w:r w:rsidRPr="005152FF">
        <w:rPr>
          <w:rFonts w:ascii="Arial" w:hAnsi="Arial" w:cs="Arial"/>
          <w:color w:val="000000" w:themeColor="text1"/>
          <w:sz w:val="24"/>
          <w:szCs w:val="24"/>
        </w:rPr>
        <w:t>El Gobierno del Estado de Oaxaca como proceso de mejora entre otros tiene a la reducción del gasto esto mediante la implementación de eficiencia y austeridad del gasto, así como el aumento del gasto de inversión.</w:t>
      </w:r>
    </w:p>
    <w:p w:rsidR="00BC2ADE" w:rsidRPr="005152FF" w:rsidRDefault="00BC2ADE" w:rsidP="00BC2ADE">
      <w:pPr>
        <w:pStyle w:val="Sinespaciado"/>
        <w:spacing w:line="360" w:lineRule="auto"/>
        <w:jc w:val="both"/>
        <w:rPr>
          <w:rFonts w:ascii="Arial" w:hAnsi="Arial" w:cs="Arial"/>
          <w:color w:val="000000" w:themeColor="text1"/>
          <w:sz w:val="24"/>
          <w:szCs w:val="24"/>
        </w:rPr>
      </w:pPr>
    </w:p>
    <w:p w:rsidR="00BC2ADE" w:rsidRPr="005152FF" w:rsidRDefault="00BC2ADE" w:rsidP="00BC2ADE">
      <w:pPr>
        <w:pStyle w:val="Sinespaciado"/>
        <w:spacing w:line="360" w:lineRule="auto"/>
        <w:jc w:val="both"/>
        <w:rPr>
          <w:rFonts w:ascii="Arial" w:hAnsi="Arial" w:cs="Arial"/>
          <w:color w:val="000000" w:themeColor="text1"/>
          <w:sz w:val="24"/>
          <w:szCs w:val="24"/>
        </w:rPr>
      </w:pPr>
      <w:r w:rsidRPr="005152FF">
        <w:rPr>
          <w:rFonts w:ascii="Arial" w:hAnsi="Arial" w:cs="Arial"/>
          <w:color w:val="000000" w:themeColor="text1"/>
          <w:sz w:val="24"/>
          <w:szCs w:val="24"/>
        </w:rPr>
        <w:t>Mediante el programa del Plan Estatal de Desarrollo 2011-2016 se logró alinear el presupuesto de Egresos del Estado de Oaxaca para el ejercicio del 201</w:t>
      </w:r>
      <w:r>
        <w:rPr>
          <w:rFonts w:ascii="Arial" w:hAnsi="Arial" w:cs="Arial"/>
          <w:color w:val="000000" w:themeColor="text1"/>
          <w:sz w:val="24"/>
          <w:szCs w:val="24"/>
        </w:rPr>
        <w:t>5</w:t>
      </w:r>
      <w:r w:rsidRPr="005152FF">
        <w:rPr>
          <w:rFonts w:ascii="Arial" w:hAnsi="Arial" w:cs="Arial"/>
          <w:color w:val="000000" w:themeColor="text1"/>
          <w:sz w:val="24"/>
          <w:szCs w:val="24"/>
        </w:rPr>
        <w:t xml:space="preserve">, así mismo mediante el Sistema Integral de Presupuesto se logró mejorar organización, sistematización y transparencia de las erogaciones realizadas, permitiendo identificar la naturaleza y destino de los recursos públicos. </w:t>
      </w:r>
    </w:p>
    <w:p w:rsidR="00BC2ADE" w:rsidRPr="005152FF" w:rsidRDefault="00BC2ADE" w:rsidP="00BC2ADE">
      <w:pPr>
        <w:pStyle w:val="Sinespaciado"/>
        <w:spacing w:line="360" w:lineRule="auto"/>
        <w:jc w:val="both"/>
        <w:rPr>
          <w:rFonts w:ascii="Arial" w:hAnsi="Arial" w:cs="Arial"/>
          <w:color w:val="000000" w:themeColor="text1"/>
          <w:sz w:val="24"/>
          <w:szCs w:val="24"/>
        </w:rPr>
      </w:pPr>
    </w:p>
    <w:p w:rsidR="00BC2ADE" w:rsidRPr="005152FF" w:rsidRDefault="00BC2ADE" w:rsidP="00BC2ADE">
      <w:pPr>
        <w:pStyle w:val="Sinespaciado"/>
        <w:spacing w:line="360" w:lineRule="auto"/>
        <w:jc w:val="both"/>
        <w:rPr>
          <w:rFonts w:ascii="Arial" w:hAnsi="Arial" w:cs="Arial"/>
          <w:color w:val="000000" w:themeColor="text1"/>
          <w:sz w:val="24"/>
          <w:szCs w:val="24"/>
        </w:rPr>
      </w:pPr>
      <w:r w:rsidRPr="005152FF">
        <w:rPr>
          <w:rFonts w:ascii="Arial" w:hAnsi="Arial" w:cs="Arial"/>
          <w:color w:val="000000" w:themeColor="text1"/>
          <w:sz w:val="24"/>
          <w:szCs w:val="24"/>
        </w:rPr>
        <w:t xml:space="preserve">En  la presente administración, el gobierno estatal ha promovido una política de austeridad basada en la mejora de la programación y </w:t>
      </w:r>
      <w:proofErr w:type="spellStart"/>
      <w:r w:rsidRPr="005152FF">
        <w:rPr>
          <w:rFonts w:ascii="Arial" w:hAnsi="Arial" w:cs="Arial"/>
          <w:color w:val="000000" w:themeColor="text1"/>
          <w:sz w:val="24"/>
          <w:szCs w:val="24"/>
        </w:rPr>
        <w:t>presupuestación</w:t>
      </w:r>
      <w:proofErr w:type="spellEnd"/>
      <w:r w:rsidRPr="005152FF">
        <w:rPr>
          <w:rFonts w:ascii="Arial" w:hAnsi="Arial" w:cs="Arial"/>
          <w:color w:val="000000" w:themeColor="text1"/>
          <w:sz w:val="24"/>
          <w:szCs w:val="24"/>
        </w:rPr>
        <w:t xml:space="preserve"> de los ejecutores de gasto, logrando un mejor control, ejercicio y evaluación del gasto, haciendo énfasis en la reducción del gasto corriente. Las economías resultantes de esta reducción fueron reorientadas a acciones prioritarias de impacto social, estas disposiciones de racionalidad, austeridad y disciplina presupuestaria iniciadas en el ejercicio anterior se prorrogaron para el 201</w:t>
      </w:r>
      <w:r>
        <w:rPr>
          <w:rFonts w:ascii="Arial" w:hAnsi="Arial" w:cs="Arial"/>
          <w:color w:val="000000" w:themeColor="text1"/>
          <w:sz w:val="24"/>
          <w:szCs w:val="24"/>
        </w:rPr>
        <w:t>5</w:t>
      </w:r>
      <w:r w:rsidRPr="005152FF">
        <w:rPr>
          <w:rFonts w:ascii="Arial" w:hAnsi="Arial" w:cs="Arial"/>
          <w:color w:val="000000" w:themeColor="text1"/>
          <w:sz w:val="24"/>
          <w:szCs w:val="24"/>
        </w:rPr>
        <w:t>.</w:t>
      </w:r>
    </w:p>
    <w:p w:rsidR="00BC2ADE" w:rsidRPr="005152FF" w:rsidRDefault="00BC2ADE" w:rsidP="00BC2ADE">
      <w:pPr>
        <w:pStyle w:val="Sinespaciado"/>
        <w:spacing w:line="360" w:lineRule="auto"/>
        <w:jc w:val="both"/>
        <w:rPr>
          <w:rFonts w:ascii="Arial" w:hAnsi="Arial" w:cs="Arial"/>
          <w:color w:val="000000" w:themeColor="text1"/>
          <w:sz w:val="24"/>
          <w:szCs w:val="24"/>
        </w:rPr>
      </w:pPr>
    </w:p>
    <w:p w:rsidR="00BC2ADE" w:rsidRPr="005152FF" w:rsidRDefault="00BC2ADE" w:rsidP="00BC2ADE">
      <w:pPr>
        <w:pStyle w:val="Sinespaciado"/>
        <w:spacing w:line="360" w:lineRule="auto"/>
        <w:jc w:val="both"/>
        <w:rPr>
          <w:rFonts w:ascii="Arial" w:hAnsi="Arial" w:cs="Arial"/>
          <w:color w:val="000000" w:themeColor="text1"/>
          <w:sz w:val="24"/>
          <w:szCs w:val="24"/>
        </w:rPr>
      </w:pPr>
      <w:r w:rsidRPr="005152FF">
        <w:rPr>
          <w:rFonts w:ascii="Arial" w:hAnsi="Arial" w:cs="Arial"/>
          <w:color w:val="000000" w:themeColor="text1"/>
          <w:sz w:val="24"/>
          <w:szCs w:val="24"/>
        </w:rPr>
        <w:lastRenderedPageBreak/>
        <w:t>Así también el Gobierno del Estado de Oaxaca  avanzo en el tema de la transparencia, que generalmente se mide por el índice de información presupuestal del Estado de Oaxaca.</w:t>
      </w:r>
    </w:p>
    <w:p w:rsidR="00BC2ADE" w:rsidRPr="005152FF" w:rsidRDefault="00BC2ADE" w:rsidP="00BC2ADE">
      <w:pPr>
        <w:pStyle w:val="Sinespaciado"/>
        <w:spacing w:line="360" w:lineRule="auto"/>
        <w:jc w:val="both"/>
        <w:rPr>
          <w:rFonts w:ascii="Arial" w:hAnsi="Arial" w:cs="Arial"/>
          <w:color w:val="000000" w:themeColor="text1"/>
          <w:sz w:val="24"/>
          <w:szCs w:val="24"/>
        </w:rPr>
      </w:pPr>
    </w:p>
    <w:p w:rsidR="00BC2ADE" w:rsidRPr="004742AD" w:rsidRDefault="00BC2ADE" w:rsidP="00BC2ADE">
      <w:pPr>
        <w:pStyle w:val="Sinespaciado"/>
        <w:spacing w:line="360" w:lineRule="auto"/>
        <w:jc w:val="both"/>
        <w:rPr>
          <w:rFonts w:ascii="Arial" w:hAnsi="Arial" w:cs="Arial"/>
          <w:color w:val="000000" w:themeColor="text1"/>
          <w:sz w:val="24"/>
          <w:szCs w:val="24"/>
        </w:rPr>
      </w:pPr>
      <w:r w:rsidRPr="005152FF">
        <w:rPr>
          <w:rFonts w:ascii="Arial" w:hAnsi="Arial" w:cs="Arial"/>
          <w:color w:val="000000" w:themeColor="text1"/>
          <w:sz w:val="24"/>
          <w:szCs w:val="24"/>
        </w:rPr>
        <w:t>Las notas descritas son parte integral de los estados financieros del Gobierno del Estado de Oaxaca al 3</w:t>
      </w:r>
      <w:r>
        <w:rPr>
          <w:rFonts w:ascii="Arial" w:hAnsi="Arial" w:cs="Arial"/>
          <w:color w:val="000000" w:themeColor="text1"/>
          <w:sz w:val="24"/>
          <w:szCs w:val="24"/>
        </w:rPr>
        <w:t>0</w:t>
      </w:r>
      <w:r w:rsidRPr="005152FF">
        <w:rPr>
          <w:rFonts w:ascii="Arial" w:hAnsi="Arial" w:cs="Arial"/>
          <w:color w:val="000000" w:themeColor="text1"/>
          <w:sz w:val="24"/>
          <w:szCs w:val="24"/>
        </w:rPr>
        <w:t xml:space="preserve"> de </w:t>
      </w:r>
      <w:r>
        <w:rPr>
          <w:rFonts w:ascii="Arial" w:hAnsi="Arial" w:cs="Arial"/>
          <w:color w:val="000000" w:themeColor="text1"/>
          <w:sz w:val="24"/>
          <w:szCs w:val="24"/>
        </w:rPr>
        <w:t>Junio</w:t>
      </w:r>
      <w:r w:rsidRPr="005152FF">
        <w:rPr>
          <w:rFonts w:ascii="Arial" w:hAnsi="Arial" w:cs="Arial"/>
          <w:color w:val="000000" w:themeColor="text1"/>
          <w:sz w:val="24"/>
          <w:szCs w:val="24"/>
        </w:rPr>
        <w:t xml:space="preserve"> del 201</w:t>
      </w:r>
      <w:r>
        <w:rPr>
          <w:rFonts w:ascii="Arial" w:hAnsi="Arial" w:cs="Arial"/>
          <w:color w:val="000000" w:themeColor="text1"/>
          <w:sz w:val="24"/>
          <w:szCs w:val="24"/>
        </w:rPr>
        <w:t>5</w:t>
      </w:r>
      <w:r w:rsidRPr="005152FF">
        <w:rPr>
          <w:rFonts w:ascii="Arial" w:hAnsi="Arial" w:cs="Arial"/>
          <w:color w:val="000000" w:themeColor="text1"/>
          <w:sz w:val="24"/>
          <w:szCs w:val="24"/>
        </w:rPr>
        <w:t>.</w:t>
      </w:r>
    </w:p>
    <w:p w:rsidR="006A5F62" w:rsidRDefault="006A5F62"/>
    <w:p w:rsidR="00BC2ADE" w:rsidRDefault="00BC2ADE"/>
    <w:p w:rsidR="0056565A" w:rsidRDefault="0056565A">
      <w:pPr>
        <w:rPr>
          <w:rFonts w:cs="Arial"/>
          <w:b/>
          <w:bCs/>
        </w:rPr>
      </w:pPr>
      <w:r>
        <w:rPr>
          <w:rFonts w:cs="Arial"/>
          <w:b/>
          <w:bCs/>
        </w:rPr>
        <w:br w:type="page"/>
      </w:r>
    </w:p>
    <w:p w:rsidR="0056565A" w:rsidRDefault="0056565A">
      <w:pPr>
        <w:rPr>
          <w:rFonts w:cs="Arial"/>
          <w:b/>
          <w:bCs/>
        </w:rPr>
      </w:pPr>
    </w:p>
    <w:p w:rsidR="001F7A50" w:rsidRDefault="001F7A50" w:rsidP="001F7A50">
      <w:pPr>
        <w:spacing w:line="22" w:lineRule="atLeast"/>
        <w:rPr>
          <w:rFonts w:ascii="Arial" w:hAnsi="Arial" w:cs="Arial"/>
          <w:b/>
          <w:spacing w:val="20"/>
        </w:rPr>
      </w:pPr>
      <w:r>
        <w:rPr>
          <w:rFonts w:ascii="Arial" w:hAnsi="Arial" w:cs="Arial"/>
          <w:b/>
          <w:spacing w:val="20"/>
        </w:rPr>
        <w:t>10.- INFORMACION PRESUPUESTARIA</w:t>
      </w:r>
    </w:p>
    <w:p w:rsidR="001F7A50" w:rsidRDefault="001F7A50">
      <w:pPr>
        <w:rPr>
          <w:rFonts w:ascii="Arial" w:hAnsi="Arial" w:cs="Arial"/>
          <w:b/>
          <w:spacing w:val="20"/>
        </w:rPr>
      </w:pPr>
      <w:r>
        <w:rPr>
          <w:rFonts w:ascii="Arial" w:hAnsi="Arial" w:cs="Arial"/>
          <w:b/>
          <w:spacing w:val="20"/>
        </w:rPr>
        <w:br w:type="page"/>
      </w:r>
    </w:p>
    <w:p w:rsidR="00F45683" w:rsidRDefault="00F45683" w:rsidP="00F45683">
      <w:pPr>
        <w:spacing w:line="22" w:lineRule="atLeast"/>
        <w:rPr>
          <w:rFonts w:ascii="Arial" w:hAnsi="Arial" w:cs="Arial"/>
          <w:b/>
          <w:spacing w:val="20"/>
        </w:rPr>
      </w:pPr>
      <w:r>
        <w:rPr>
          <w:rFonts w:ascii="Arial" w:hAnsi="Arial" w:cs="Arial"/>
          <w:b/>
          <w:spacing w:val="20"/>
        </w:rPr>
        <w:lastRenderedPageBreak/>
        <w:t>11.- INDICADORES DE POSTURA FISCAL</w:t>
      </w:r>
    </w:p>
    <w:p w:rsidR="00F45683" w:rsidRDefault="00F45683" w:rsidP="00F45683">
      <w:pPr>
        <w:spacing w:line="22" w:lineRule="atLeast"/>
        <w:rPr>
          <w:rFonts w:ascii="Arial" w:hAnsi="Arial" w:cs="Arial"/>
          <w:b/>
          <w:spacing w:val="20"/>
        </w:rPr>
      </w:pPr>
    </w:p>
    <w:p w:rsidR="00F45683" w:rsidRDefault="00F45683" w:rsidP="00F45683">
      <w:pPr>
        <w:spacing w:line="22" w:lineRule="atLeast"/>
        <w:rPr>
          <w:rFonts w:ascii="Arial" w:hAnsi="Arial" w:cs="Arial"/>
          <w:b/>
          <w:spacing w:val="20"/>
        </w:rPr>
      </w:pPr>
    </w:p>
    <w:p w:rsidR="00F45683" w:rsidRDefault="00F45683" w:rsidP="00F45683">
      <w:pPr>
        <w:spacing w:line="22" w:lineRule="atLeast"/>
        <w:rPr>
          <w:rFonts w:ascii="Arial" w:hAnsi="Arial" w:cs="Arial"/>
          <w:b/>
          <w:spacing w:val="20"/>
        </w:rPr>
      </w:pPr>
    </w:p>
    <w:p w:rsidR="00F45683" w:rsidRDefault="00F45683">
      <w:pPr>
        <w:rPr>
          <w:rFonts w:ascii="Arial" w:hAnsi="Arial" w:cs="Arial"/>
          <w:b/>
          <w:spacing w:val="20"/>
        </w:rPr>
      </w:pPr>
    </w:p>
    <w:p w:rsidR="00F45683" w:rsidRDefault="00F45683">
      <w:pPr>
        <w:rPr>
          <w:rFonts w:ascii="Arial" w:hAnsi="Arial" w:cs="Arial"/>
          <w:b/>
          <w:spacing w:val="20"/>
        </w:rPr>
      </w:pPr>
      <w:r w:rsidRPr="00F45683">
        <w:rPr>
          <w:noProof/>
          <w:lang w:val="es-MX" w:eastAsia="es-MX"/>
        </w:rPr>
        <w:drawing>
          <wp:inline distT="0" distB="0" distL="0" distR="0">
            <wp:extent cx="5671185" cy="4195520"/>
            <wp:effectExtent l="19050" t="0" r="5715"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5671185" cy="4195520"/>
                    </a:xfrm>
                    <a:prstGeom prst="rect">
                      <a:avLst/>
                    </a:prstGeom>
                    <a:noFill/>
                    <a:ln w="9525">
                      <a:noFill/>
                      <a:miter lim="800000"/>
                      <a:headEnd/>
                      <a:tailEnd/>
                    </a:ln>
                  </pic:spPr>
                </pic:pic>
              </a:graphicData>
            </a:graphic>
          </wp:inline>
        </w:drawing>
      </w:r>
      <w:r>
        <w:rPr>
          <w:rFonts w:ascii="Arial" w:hAnsi="Arial" w:cs="Arial"/>
          <w:b/>
          <w:spacing w:val="20"/>
        </w:rPr>
        <w:br w:type="page"/>
      </w:r>
    </w:p>
    <w:p w:rsidR="002F685D" w:rsidRDefault="002F685D" w:rsidP="002F685D">
      <w:pPr>
        <w:spacing w:line="22" w:lineRule="atLeast"/>
        <w:rPr>
          <w:rFonts w:ascii="Arial" w:hAnsi="Arial" w:cs="Arial"/>
          <w:b/>
          <w:spacing w:val="20"/>
        </w:rPr>
      </w:pPr>
      <w:r>
        <w:rPr>
          <w:rFonts w:ascii="Arial" w:hAnsi="Arial" w:cs="Arial"/>
          <w:b/>
          <w:spacing w:val="20"/>
        </w:rPr>
        <w:lastRenderedPageBreak/>
        <w:t>1</w:t>
      </w:r>
      <w:r w:rsidR="00F45683">
        <w:rPr>
          <w:rFonts w:ascii="Arial" w:hAnsi="Arial" w:cs="Arial"/>
          <w:b/>
          <w:spacing w:val="20"/>
        </w:rPr>
        <w:t>2</w:t>
      </w:r>
      <w:r>
        <w:rPr>
          <w:rFonts w:ascii="Arial" w:hAnsi="Arial" w:cs="Arial"/>
          <w:b/>
          <w:spacing w:val="20"/>
        </w:rPr>
        <w:t>.- PASIVOS CONTINGENTES</w:t>
      </w:r>
    </w:p>
    <w:p w:rsidR="002F685D" w:rsidRDefault="002F685D" w:rsidP="002F685D">
      <w:pPr>
        <w:spacing w:line="22" w:lineRule="atLeast"/>
        <w:rPr>
          <w:rFonts w:ascii="Arial" w:hAnsi="Arial" w:cs="Arial"/>
          <w:b/>
          <w:spacing w:val="20"/>
        </w:rPr>
      </w:pPr>
    </w:p>
    <w:tbl>
      <w:tblPr>
        <w:tblW w:w="8360" w:type="dxa"/>
        <w:tblInd w:w="51" w:type="dxa"/>
        <w:tblCellMar>
          <w:left w:w="70" w:type="dxa"/>
          <w:right w:w="70" w:type="dxa"/>
        </w:tblCellMar>
        <w:tblLook w:val="04A0"/>
      </w:tblPr>
      <w:tblGrid>
        <w:gridCol w:w="521"/>
        <w:gridCol w:w="2779"/>
        <w:gridCol w:w="2100"/>
        <w:gridCol w:w="1500"/>
        <w:gridCol w:w="1460"/>
      </w:tblGrid>
      <w:tr w:rsidR="00CB0BAD" w:rsidRPr="00CB0BAD" w:rsidTr="00CB0BAD">
        <w:trPr>
          <w:trHeight w:val="225"/>
        </w:trPr>
        <w:tc>
          <w:tcPr>
            <w:tcW w:w="8360" w:type="dxa"/>
            <w:gridSpan w:val="5"/>
            <w:tcBorders>
              <w:top w:val="nil"/>
              <w:left w:val="nil"/>
              <w:bottom w:val="nil"/>
              <w:right w:val="nil"/>
            </w:tcBorders>
            <w:shd w:val="clear" w:color="auto" w:fill="auto"/>
            <w:vAlign w:val="bottom"/>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pacing w:val="-3"/>
                <w:sz w:val="16"/>
                <w:szCs w:val="16"/>
                <w:lang w:val="es-ES_tradnl" w:eastAsia="es-MX"/>
              </w:rPr>
              <w:t>DEPARTAMENTO DE JUICIOS Y RECURSOS</w:t>
            </w:r>
          </w:p>
        </w:tc>
      </w:tr>
      <w:tr w:rsidR="00CB0BAD" w:rsidRPr="00CB0BAD" w:rsidTr="00CB0BAD">
        <w:trPr>
          <w:trHeight w:val="225"/>
        </w:trPr>
        <w:tc>
          <w:tcPr>
            <w:tcW w:w="8360" w:type="dxa"/>
            <w:gridSpan w:val="5"/>
            <w:tcBorders>
              <w:top w:val="nil"/>
              <w:left w:val="nil"/>
              <w:bottom w:val="nil"/>
              <w:right w:val="nil"/>
            </w:tcBorders>
            <w:shd w:val="clear" w:color="auto" w:fill="auto"/>
            <w:vAlign w:val="bottom"/>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pacing w:val="-3"/>
                <w:sz w:val="16"/>
                <w:szCs w:val="16"/>
                <w:lang w:val="es-ES_tradnl" w:eastAsia="es-MX"/>
              </w:rPr>
              <w:t>RECURSOS DE REVOCACIÓN EN MATERIA FISCAL FEDERAL</w:t>
            </w:r>
          </w:p>
        </w:tc>
      </w:tr>
      <w:tr w:rsidR="00CB0BAD" w:rsidRPr="00CB0BAD" w:rsidTr="00CB0BAD">
        <w:trPr>
          <w:trHeight w:val="225"/>
        </w:trPr>
        <w:tc>
          <w:tcPr>
            <w:tcW w:w="52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pacing w:val="-3"/>
                <w:sz w:val="16"/>
                <w:szCs w:val="16"/>
                <w:lang w:val="es-ES_tradnl" w:eastAsia="es-MX"/>
              </w:rPr>
              <w:t>NÚM.</w:t>
            </w:r>
          </w:p>
        </w:tc>
        <w:tc>
          <w:tcPr>
            <w:tcW w:w="2779"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pacing w:val="-3"/>
                <w:sz w:val="16"/>
                <w:szCs w:val="16"/>
                <w:lang w:val="es-ES_tradnl" w:eastAsia="es-MX"/>
              </w:rPr>
              <w:t>EXPEDIENTE</w:t>
            </w:r>
          </w:p>
        </w:tc>
        <w:tc>
          <w:tcPr>
            <w:tcW w:w="210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pacing w:val="-3"/>
                <w:sz w:val="16"/>
                <w:szCs w:val="16"/>
                <w:lang w:val="es-ES_tradnl" w:eastAsia="es-MX"/>
              </w:rPr>
              <w:t>RECURRENTE</w:t>
            </w:r>
          </w:p>
        </w:tc>
        <w:tc>
          <w:tcPr>
            <w:tcW w:w="150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pacing w:val="-3"/>
                <w:sz w:val="16"/>
                <w:szCs w:val="16"/>
                <w:lang w:val="es-ES_tradnl" w:eastAsia="es-MX"/>
              </w:rPr>
              <w:t>MONTO</w:t>
            </w:r>
          </w:p>
        </w:tc>
        <w:tc>
          <w:tcPr>
            <w:tcW w:w="1460" w:type="dxa"/>
            <w:tcBorders>
              <w:top w:val="single" w:sz="4" w:space="0" w:color="auto"/>
              <w:left w:val="nil"/>
              <w:bottom w:val="single" w:sz="4" w:space="0" w:color="auto"/>
              <w:right w:val="single" w:sz="4" w:space="0" w:color="auto"/>
            </w:tcBorders>
            <w:shd w:val="clear" w:color="000000" w:fill="D9D9D9"/>
            <w:vAlign w:val="bottom"/>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pacing w:val="-3"/>
                <w:sz w:val="16"/>
                <w:szCs w:val="16"/>
                <w:lang w:val="es-ES_tradnl" w:eastAsia="es-MX"/>
              </w:rPr>
              <w:t>FECHA DE</w:t>
            </w:r>
          </w:p>
        </w:tc>
      </w:tr>
      <w:tr w:rsidR="00CB0BAD" w:rsidRPr="00CB0BAD" w:rsidTr="00CB0BAD">
        <w:trPr>
          <w:trHeight w:val="225"/>
        </w:trPr>
        <w:tc>
          <w:tcPr>
            <w:tcW w:w="521" w:type="dxa"/>
            <w:vMerge/>
            <w:tcBorders>
              <w:top w:val="single" w:sz="4" w:space="0" w:color="auto"/>
              <w:left w:val="single" w:sz="4" w:space="0" w:color="auto"/>
              <w:bottom w:val="single" w:sz="4" w:space="0" w:color="000000"/>
              <w:right w:val="single" w:sz="4" w:space="0" w:color="auto"/>
            </w:tcBorders>
            <w:vAlign w:val="center"/>
            <w:hideMark/>
          </w:tcPr>
          <w:p w:rsidR="00CB0BAD" w:rsidRPr="00CB0BAD" w:rsidRDefault="00CB0BAD" w:rsidP="00CB0BAD">
            <w:pPr>
              <w:rPr>
                <w:rFonts w:ascii="Calibri" w:hAnsi="Calibri"/>
                <w:b/>
                <w:bCs/>
                <w:color w:val="000000"/>
                <w:sz w:val="16"/>
                <w:szCs w:val="16"/>
                <w:lang w:val="es-MX" w:eastAsia="es-MX"/>
              </w:rPr>
            </w:pPr>
          </w:p>
        </w:tc>
        <w:tc>
          <w:tcPr>
            <w:tcW w:w="2779" w:type="dxa"/>
            <w:vMerge/>
            <w:tcBorders>
              <w:top w:val="single" w:sz="4" w:space="0" w:color="auto"/>
              <w:left w:val="single" w:sz="4" w:space="0" w:color="auto"/>
              <w:bottom w:val="single" w:sz="4" w:space="0" w:color="000000"/>
              <w:right w:val="single" w:sz="4" w:space="0" w:color="auto"/>
            </w:tcBorders>
            <w:vAlign w:val="center"/>
            <w:hideMark/>
          </w:tcPr>
          <w:p w:rsidR="00CB0BAD" w:rsidRPr="00CB0BAD" w:rsidRDefault="00CB0BAD" w:rsidP="00CB0BAD">
            <w:pPr>
              <w:rPr>
                <w:rFonts w:ascii="Calibri" w:hAnsi="Calibri"/>
                <w:b/>
                <w:bCs/>
                <w:color w:val="000000"/>
                <w:sz w:val="16"/>
                <w:szCs w:val="16"/>
                <w:lang w:val="es-MX" w:eastAsia="es-MX"/>
              </w:rPr>
            </w:pPr>
          </w:p>
        </w:tc>
        <w:tc>
          <w:tcPr>
            <w:tcW w:w="2100" w:type="dxa"/>
            <w:vMerge/>
            <w:tcBorders>
              <w:top w:val="single" w:sz="4" w:space="0" w:color="auto"/>
              <w:left w:val="single" w:sz="4" w:space="0" w:color="auto"/>
              <w:bottom w:val="single" w:sz="4" w:space="0" w:color="000000"/>
              <w:right w:val="single" w:sz="4" w:space="0" w:color="auto"/>
            </w:tcBorders>
            <w:vAlign w:val="center"/>
            <w:hideMark/>
          </w:tcPr>
          <w:p w:rsidR="00CB0BAD" w:rsidRPr="00CB0BAD" w:rsidRDefault="00CB0BAD" w:rsidP="00CB0BAD">
            <w:pPr>
              <w:rPr>
                <w:rFonts w:ascii="Calibri" w:hAnsi="Calibri"/>
                <w:b/>
                <w:bCs/>
                <w:color w:val="000000"/>
                <w:sz w:val="16"/>
                <w:szCs w:val="16"/>
                <w:lang w:val="es-MX" w:eastAsia="es-MX"/>
              </w:rPr>
            </w:pPr>
          </w:p>
        </w:tc>
        <w:tc>
          <w:tcPr>
            <w:tcW w:w="1500" w:type="dxa"/>
            <w:vMerge/>
            <w:tcBorders>
              <w:top w:val="single" w:sz="4" w:space="0" w:color="auto"/>
              <w:left w:val="single" w:sz="4" w:space="0" w:color="auto"/>
              <w:bottom w:val="single" w:sz="4" w:space="0" w:color="000000"/>
              <w:right w:val="single" w:sz="4" w:space="0" w:color="auto"/>
            </w:tcBorders>
            <w:vAlign w:val="center"/>
            <w:hideMark/>
          </w:tcPr>
          <w:p w:rsidR="00CB0BAD" w:rsidRPr="00CB0BAD" w:rsidRDefault="00CB0BAD" w:rsidP="00CB0BAD">
            <w:pPr>
              <w:rPr>
                <w:rFonts w:ascii="Calibri" w:hAnsi="Calibri"/>
                <w:b/>
                <w:bCs/>
                <w:color w:val="000000"/>
                <w:sz w:val="16"/>
                <w:szCs w:val="16"/>
                <w:lang w:val="es-MX" w:eastAsia="es-MX"/>
              </w:rPr>
            </w:pPr>
          </w:p>
        </w:tc>
        <w:tc>
          <w:tcPr>
            <w:tcW w:w="1460" w:type="dxa"/>
            <w:tcBorders>
              <w:top w:val="nil"/>
              <w:left w:val="nil"/>
              <w:bottom w:val="single" w:sz="4" w:space="0" w:color="auto"/>
              <w:right w:val="single" w:sz="4" w:space="0" w:color="auto"/>
            </w:tcBorders>
            <w:shd w:val="clear" w:color="000000" w:fill="D9D9D9"/>
            <w:vAlign w:val="bottom"/>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pacing w:val="-3"/>
                <w:sz w:val="16"/>
                <w:szCs w:val="16"/>
                <w:lang w:val="es-ES_tradnl" w:eastAsia="es-MX"/>
              </w:rPr>
              <w:t>PRESENTACIÓN</w:t>
            </w:r>
          </w:p>
        </w:tc>
      </w:tr>
    </w:tbl>
    <w:p w:rsidR="00CB0BAD" w:rsidRDefault="00CB0BAD"/>
    <w:tbl>
      <w:tblPr>
        <w:tblW w:w="8360" w:type="dxa"/>
        <w:tblInd w:w="51" w:type="dxa"/>
        <w:tblCellMar>
          <w:left w:w="70" w:type="dxa"/>
          <w:right w:w="70" w:type="dxa"/>
        </w:tblCellMar>
        <w:tblLook w:val="04A0"/>
      </w:tblPr>
      <w:tblGrid>
        <w:gridCol w:w="521"/>
        <w:gridCol w:w="2779"/>
        <w:gridCol w:w="2100"/>
        <w:gridCol w:w="1500"/>
        <w:gridCol w:w="1460"/>
      </w:tblGrid>
      <w:tr w:rsidR="00CB0BAD" w:rsidRPr="00CB0BAD" w:rsidTr="00CB0BAD">
        <w:trPr>
          <w:trHeight w:val="900"/>
        </w:trPr>
        <w:tc>
          <w:tcPr>
            <w:tcW w:w="521" w:type="dxa"/>
            <w:tcBorders>
              <w:top w:val="single" w:sz="4" w:space="0" w:color="auto"/>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w:t>
            </w:r>
          </w:p>
        </w:tc>
        <w:tc>
          <w:tcPr>
            <w:tcW w:w="2779"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04/108H.5/C6.4.2/001/2015</w:t>
            </w:r>
          </w:p>
        </w:tc>
        <w:tc>
          <w:tcPr>
            <w:tcW w:w="2100"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CONSTRUCCIONES VILLAREAL DEL SUR, S.A. DE C.V.</w:t>
            </w:r>
          </w:p>
        </w:tc>
        <w:tc>
          <w:tcPr>
            <w:tcW w:w="1500"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$13,720.00</w:t>
            </w:r>
          </w:p>
        </w:tc>
        <w:tc>
          <w:tcPr>
            <w:tcW w:w="1460"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12/01/2015</w:t>
            </w:r>
          </w:p>
        </w:tc>
      </w:tr>
      <w:tr w:rsidR="00CB0BAD" w:rsidRPr="00CB0BAD" w:rsidTr="00CB0BAD">
        <w:trPr>
          <w:trHeight w:val="675"/>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04/108H.5/C6.4.2/003/2015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CONSTRUCCIONES GIRO, S.A. DE C.V.</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13/01/2015</w:t>
            </w:r>
          </w:p>
        </w:tc>
      </w:tr>
      <w:tr w:rsidR="00CB0BAD" w:rsidRPr="00CB0BAD" w:rsidTr="00CB0BAD">
        <w:trPr>
          <w:trHeight w:val="675"/>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04/108H.5/C6.4.2/004/2015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LOS HUITZACHES, S.C. DE R.L.</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14/01/2015</w:t>
            </w:r>
          </w:p>
        </w:tc>
      </w:tr>
      <w:tr w:rsidR="00CB0BAD" w:rsidRPr="00CB0BAD" w:rsidTr="00CB0BAD">
        <w:trPr>
          <w:trHeight w:val="900"/>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4</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04/108H.5/C6.4.2/005/2015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GRUPO CONSTRUCTOR GARCIAS, S.A. DE C.V.</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29/01/2015</w:t>
            </w:r>
          </w:p>
        </w:tc>
      </w:tr>
      <w:tr w:rsidR="00CB0BAD" w:rsidRPr="00CB0BAD" w:rsidTr="00CB0BAD">
        <w:trPr>
          <w:trHeight w:val="450"/>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5</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04/108H.5/C6.4.2/006/2015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RAMIRO CAMARA FERRA</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$2,647,099.00</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29/01/2015</w:t>
            </w:r>
          </w:p>
        </w:tc>
      </w:tr>
      <w:tr w:rsidR="00CB0BAD" w:rsidRPr="00CB0BAD" w:rsidTr="00CB0BAD">
        <w:trPr>
          <w:trHeight w:val="675"/>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6</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04/108H.5/C6.4.2/007/2015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MARIO IGNACIO GARCÍA RAMIREZ</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29/01/2015</w:t>
            </w:r>
          </w:p>
        </w:tc>
      </w:tr>
      <w:tr w:rsidR="00CB0BAD" w:rsidRPr="00CB0BAD" w:rsidTr="00CB0BAD">
        <w:trPr>
          <w:trHeight w:val="675"/>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7</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04/108H.5/C6.4.2/010/2015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DEL RIO LA LANA, S.A. DE C.V.</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$9,337,713.60</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06/02/2015</w:t>
            </w:r>
          </w:p>
        </w:tc>
      </w:tr>
      <w:tr w:rsidR="00CB0BAD" w:rsidRPr="00CB0BAD" w:rsidTr="00CB0BAD">
        <w:trPr>
          <w:trHeight w:val="450"/>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8</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04/108H.5/C6.4.2/012/2015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H.T. PERSONAL, S.A. DE C.V.</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12/02/2015</w:t>
            </w:r>
          </w:p>
        </w:tc>
      </w:tr>
      <w:tr w:rsidR="00CB0BAD" w:rsidRPr="00CB0BAD" w:rsidTr="00CB0BAD">
        <w:trPr>
          <w:trHeight w:val="900"/>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9</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04/108H.5/C6.4.2/017/2015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EDIFICACIONES Y MATERIALES ANTARES, S.A. DE C.V.</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13/02/2015</w:t>
            </w:r>
          </w:p>
        </w:tc>
      </w:tr>
      <w:tr w:rsidR="00CB0BAD" w:rsidRPr="00CB0BAD" w:rsidTr="00CB0BAD">
        <w:trPr>
          <w:trHeight w:val="675"/>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10</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04/108H.5/C6.4.2/025/2015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INDUSTRIAL DE LA REGION, S.A. DE C.V.</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$15,426.76</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13/04/02015</w:t>
            </w:r>
          </w:p>
        </w:tc>
      </w:tr>
      <w:tr w:rsidR="00CB0BAD" w:rsidRPr="00CB0BAD" w:rsidTr="00CB0BAD">
        <w:trPr>
          <w:trHeight w:val="450"/>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11</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04/108H.5/C6.4.2/026/2015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ELSA DE LA LUZ LARA NAVARRO</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114,184.76</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07/04/2015</w:t>
            </w:r>
          </w:p>
        </w:tc>
      </w:tr>
      <w:tr w:rsidR="00CB0BAD" w:rsidRPr="00CB0BAD" w:rsidTr="00CB0BAD">
        <w:trPr>
          <w:trHeight w:val="675"/>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12</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04/108H.5/C6.4.2/027/2015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LACTEOS DEL SURESTE ROLY, S.A. DE C.V.</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$15,430.00             $46,290.00</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23/04/2015</w:t>
            </w:r>
          </w:p>
        </w:tc>
      </w:tr>
      <w:tr w:rsidR="00CB0BAD" w:rsidRPr="00CB0BAD" w:rsidTr="00CB0BAD">
        <w:trPr>
          <w:trHeight w:val="1125"/>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13</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04/108H.5/C6.4.2/029/2015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CONSTRUCCIONES Y TUBERÍAS TORRES JARQUÍN, S.A. DE C.V.</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$41,170.00</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27/04/2015</w:t>
            </w:r>
          </w:p>
        </w:tc>
      </w:tr>
    </w:tbl>
    <w:p w:rsidR="00CB0BAD" w:rsidRDefault="00CB0BAD"/>
    <w:tbl>
      <w:tblPr>
        <w:tblW w:w="8360" w:type="dxa"/>
        <w:tblInd w:w="51" w:type="dxa"/>
        <w:tblCellMar>
          <w:left w:w="70" w:type="dxa"/>
          <w:right w:w="70" w:type="dxa"/>
        </w:tblCellMar>
        <w:tblLook w:val="04A0"/>
      </w:tblPr>
      <w:tblGrid>
        <w:gridCol w:w="521"/>
        <w:gridCol w:w="2779"/>
        <w:gridCol w:w="2100"/>
        <w:gridCol w:w="1500"/>
        <w:gridCol w:w="1460"/>
      </w:tblGrid>
      <w:tr w:rsidR="00CB0BAD" w:rsidRPr="00CB0BAD" w:rsidTr="00CB0BAD">
        <w:trPr>
          <w:trHeight w:val="225"/>
        </w:trPr>
        <w:tc>
          <w:tcPr>
            <w:tcW w:w="52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pacing w:val="-3"/>
                <w:sz w:val="16"/>
                <w:szCs w:val="16"/>
                <w:lang w:val="es-ES_tradnl" w:eastAsia="es-MX"/>
              </w:rPr>
              <w:lastRenderedPageBreak/>
              <w:t>NÚM.</w:t>
            </w:r>
          </w:p>
        </w:tc>
        <w:tc>
          <w:tcPr>
            <w:tcW w:w="2779"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pacing w:val="-3"/>
                <w:sz w:val="16"/>
                <w:szCs w:val="16"/>
                <w:lang w:val="es-ES_tradnl" w:eastAsia="es-MX"/>
              </w:rPr>
              <w:t>EXPEDIENTE</w:t>
            </w:r>
          </w:p>
        </w:tc>
        <w:tc>
          <w:tcPr>
            <w:tcW w:w="210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pacing w:val="-3"/>
                <w:sz w:val="16"/>
                <w:szCs w:val="16"/>
                <w:lang w:val="es-ES_tradnl" w:eastAsia="es-MX"/>
              </w:rPr>
              <w:t>RECURRENTE</w:t>
            </w:r>
          </w:p>
        </w:tc>
        <w:tc>
          <w:tcPr>
            <w:tcW w:w="150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pacing w:val="-3"/>
                <w:sz w:val="16"/>
                <w:szCs w:val="16"/>
                <w:lang w:val="es-ES_tradnl" w:eastAsia="es-MX"/>
              </w:rPr>
              <w:t>MONTO</w:t>
            </w:r>
          </w:p>
        </w:tc>
        <w:tc>
          <w:tcPr>
            <w:tcW w:w="1460" w:type="dxa"/>
            <w:tcBorders>
              <w:top w:val="single" w:sz="4" w:space="0" w:color="auto"/>
              <w:left w:val="nil"/>
              <w:bottom w:val="single" w:sz="4" w:space="0" w:color="auto"/>
              <w:right w:val="single" w:sz="4" w:space="0" w:color="auto"/>
            </w:tcBorders>
            <w:shd w:val="clear" w:color="000000" w:fill="D9D9D9"/>
            <w:vAlign w:val="bottom"/>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pacing w:val="-3"/>
                <w:sz w:val="16"/>
                <w:szCs w:val="16"/>
                <w:lang w:val="es-ES_tradnl" w:eastAsia="es-MX"/>
              </w:rPr>
              <w:t>FECHA DE</w:t>
            </w:r>
          </w:p>
        </w:tc>
      </w:tr>
      <w:tr w:rsidR="00CB0BAD" w:rsidRPr="00CB0BAD" w:rsidTr="00CB0BAD">
        <w:trPr>
          <w:trHeight w:val="225"/>
        </w:trPr>
        <w:tc>
          <w:tcPr>
            <w:tcW w:w="521" w:type="dxa"/>
            <w:vMerge/>
            <w:tcBorders>
              <w:top w:val="single" w:sz="4" w:space="0" w:color="auto"/>
              <w:left w:val="single" w:sz="4" w:space="0" w:color="auto"/>
              <w:bottom w:val="single" w:sz="4" w:space="0" w:color="000000"/>
              <w:right w:val="single" w:sz="4" w:space="0" w:color="auto"/>
            </w:tcBorders>
            <w:vAlign w:val="center"/>
            <w:hideMark/>
          </w:tcPr>
          <w:p w:rsidR="00CB0BAD" w:rsidRPr="00CB0BAD" w:rsidRDefault="00CB0BAD" w:rsidP="00CB0BAD">
            <w:pPr>
              <w:rPr>
                <w:rFonts w:ascii="Calibri" w:hAnsi="Calibri"/>
                <w:b/>
                <w:bCs/>
                <w:color w:val="000000"/>
                <w:sz w:val="16"/>
                <w:szCs w:val="16"/>
                <w:lang w:val="es-MX" w:eastAsia="es-MX"/>
              </w:rPr>
            </w:pPr>
          </w:p>
        </w:tc>
        <w:tc>
          <w:tcPr>
            <w:tcW w:w="2779" w:type="dxa"/>
            <w:vMerge/>
            <w:tcBorders>
              <w:top w:val="single" w:sz="4" w:space="0" w:color="auto"/>
              <w:left w:val="single" w:sz="4" w:space="0" w:color="auto"/>
              <w:bottom w:val="single" w:sz="4" w:space="0" w:color="000000"/>
              <w:right w:val="single" w:sz="4" w:space="0" w:color="auto"/>
            </w:tcBorders>
            <w:vAlign w:val="center"/>
            <w:hideMark/>
          </w:tcPr>
          <w:p w:rsidR="00CB0BAD" w:rsidRPr="00CB0BAD" w:rsidRDefault="00CB0BAD" w:rsidP="00CB0BAD">
            <w:pPr>
              <w:rPr>
                <w:rFonts w:ascii="Calibri" w:hAnsi="Calibri"/>
                <w:b/>
                <w:bCs/>
                <w:color w:val="000000"/>
                <w:sz w:val="16"/>
                <w:szCs w:val="16"/>
                <w:lang w:val="es-MX" w:eastAsia="es-MX"/>
              </w:rPr>
            </w:pPr>
          </w:p>
        </w:tc>
        <w:tc>
          <w:tcPr>
            <w:tcW w:w="2100" w:type="dxa"/>
            <w:vMerge/>
            <w:tcBorders>
              <w:top w:val="single" w:sz="4" w:space="0" w:color="auto"/>
              <w:left w:val="single" w:sz="4" w:space="0" w:color="auto"/>
              <w:bottom w:val="single" w:sz="4" w:space="0" w:color="000000"/>
              <w:right w:val="single" w:sz="4" w:space="0" w:color="auto"/>
            </w:tcBorders>
            <w:vAlign w:val="center"/>
            <w:hideMark/>
          </w:tcPr>
          <w:p w:rsidR="00CB0BAD" w:rsidRPr="00CB0BAD" w:rsidRDefault="00CB0BAD" w:rsidP="00CB0BAD">
            <w:pPr>
              <w:rPr>
                <w:rFonts w:ascii="Calibri" w:hAnsi="Calibri"/>
                <w:b/>
                <w:bCs/>
                <w:color w:val="000000"/>
                <w:sz w:val="16"/>
                <w:szCs w:val="16"/>
                <w:lang w:val="es-MX" w:eastAsia="es-MX"/>
              </w:rPr>
            </w:pPr>
          </w:p>
        </w:tc>
        <w:tc>
          <w:tcPr>
            <w:tcW w:w="1500" w:type="dxa"/>
            <w:vMerge/>
            <w:tcBorders>
              <w:top w:val="single" w:sz="4" w:space="0" w:color="auto"/>
              <w:left w:val="single" w:sz="4" w:space="0" w:color="auto"/>
              <w:bottom w:val="single" w:sz="4" w:space="0" w:color="000000"/>
              <w:right w:val="single" w:sz="4" w:space="0" w:color="auto"/>
            </w:tcBorders>
            <w:vAlign w:val="center"/>
            <w:hideMark/>
          </w:tcPr>
          <w:p w:rsidR="00CB0BAD" w:rsidRPr="00CB0BAD" w:rsidRDefault="00CB0BAD" w:rsidP="00CB0BAD">
            <w:pPr>
              <w:rPr>
                <w:rFonts w:ascii="Calibri" w:hAnsi="Calibri"/>
                <w:b/>
                <w:bCs/>
                <w:color w:val="000000"/>
                <w:sz w:val="16"/>
                <w:szCs w:val="16"/>
                <w:lang w:val="es-MX" w:eastAsia="es-MX"/>
              </w:rPr>
            </w:pPr>
          </w:p>
        </w:tc>
        <w:tc>
          <w:tcPr>
            <w:tcW w:w="1460" w:type="dxa"/>
            <w:tcBorders>
              <w:top w:val="nil"/>
              <w:left w:val="nil"/>
              <w:bottom w:val="single" w:sz="4" w:space="0" w:color="auto"/>
              <w:right w:val="single" w:sz="4" w:space="0" w:color="auto"/>
            </w:tcBorders>
            <w:shd w:val="clear" w:color="000000" w:fill="D9D9D9"/>
            <w:vAlign w:val="bottom"/>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pacing w:val="-3"/>
                <w:sz w:val="16"/>
                <w:szCs w:val="16"/>
                <w:lang w:val="es-ES_tradnl" w:eastAsia="es-MX"/>
              </w:rPr>
              <w:t>PRESENTACIÓN</w:t>
            </w:r>
          </w:p>
        </w:tc>
      </w:tr>
    </w:tbl>
    <w:p w:rsidR="00CB0BAD" w:rsidRDefault="00CB0BAD" w:rsidP="00CB0BAD"/>
    <w:tbl>
      <w:tblPr>
        <w:tblW w:w="8360" w:type="dxa"/>
        <w:tblInd w:w="51" w:type="dxa"/>
        <w:tblCellMar>
          <w:left w:w="70" w:type="dxa"/>
          <w:right w:w="70" w:type="dxa"/>
        </w:tblCellMar>
        <w:tblLook w:val="04A0"/>
      </w:tblPr>
      <w:tblGrid>
        <w:gridCol w:w="521"/>
        <w:gridCol w:w="2779"/>
        <w:gridCol w:w="2100"/>
        <w:gridCol w:w="1500"/>
        <w:gridCol w:w="1460"/>
      </w:tblGrid>
      <w:tr w:rsidR="00CB0BAD" w:rsidRPr="00CB0BAD" w:rsidTr="00CB0BAD">
        <w:trPr>
          <w:trHeight w:val="1125"/>
        </w:trPr>
        <w:tc>
          <w:tcPr>
            <w:tcW w:w="521" w:type="dxa"/>
            <w:tcBorders>
              <w:top w:val="single" w:sz="4" w:space="0" w:color="auto"/>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14</w:t>
            </w:r>
          </w:p>
        </w:tc>
        <w:tc>
          <w:tcPr>
            <w:tcW w:w="2779"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04/108H.5/C6.4.2/029/2015</w:t>
            </w:r>
          </w:p>
        </w:tc>
        <w:tc>
          <w:tcPr>
            <w:tcW w:w="2100"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CONSTRUCCIONES Y TUBERÍAS TORRES JARQUÍN, S.A. DE C.V.</w:t>
            </w:r>
          </w:p>
        </w:tc>
        <w:tc>
          <w:tcPr>
            <w:tcW w:w="1500"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$41,170.00</w:t>
            </w:r>
          </w:p>
        </w:tc>
        <w:tc>
          <w:tcPr>
            <w:tcW w:w="1460"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27/04/2015</w:t>
            </w:r>
          </w:p>
        </w:tc>
      </w:tr>
      <w:tr w:rsidR="00CB0BAD" w:rsidRPr="00CB0BAD" w:rsidTr="00CB0BAD">
        <w:trPr>
          <w:trHeight w:val="450"/>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15</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04/108.H.5/C6.4.2/030/2015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RIGOBERTO LÓPEZ MEDINA</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$3,730,376.00</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27/04/2015</w:t>
            </w:r>
          </w:p>
        </w:tc>
      </w:tr>
      <w:tr w:rsidR="00CB0BAD" w:rsidRPr="00CB0BAD" w:rsidTr="00CB0BAD">
        <w:trPr>
          <w:trHeight w:val="675"/>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16</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04/108.H.5/C6.4.2/031/2015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LUIS MIGUEL JIMÉNEZ SORIANO</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$13,570.00</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04/05/2015</w:t>
            </w:r>
          </w:p>
        </w:tc>
      </w:tr>
      <w:tr w:rsidR="00CB0BAD" w:rsidRPr="00CB0BAD" w:rsidTr="00CB0BAD">
        <w:trPr>
          <w:trHeight w:val="900"/>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17</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04/108.H.5/C6.4.2/032/2015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INFRAESTRUCTURA E ENGINEERS, S.A. DE C.V.</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$15,430.00</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04/05/2015</w:t>
            </w:r>
          </w:p>
        </w:tc>
      </w:tr>
      <w:tr w:rsidR="00CB0BAD" w:rsidRPr="00CB0BAD" w:rsidTr="00CB0BAD">
        <w:trPr>
          <w:trHeight w:val="450"/>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18</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04/108.H.5/C6.4.2/033/2015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IRMA IDOLINA DAZA</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right"/>
              <w:rPr>
                <w:rFonts w:ascii="Calibri" w:hAnsi="Calibri"/>
                <w:color w:val="000000"/>
                <w:sz w:val="16"/>
                <w:szCs w:val="16"/>
                <w:lang w:val="es-MX" w:eastAsia="es-MX"/>
              </w:rPr>
            </w:pPr>
            <w:r w:rsidRPr="00CB0BAD">
              <w:rPr>
                <w:rFonts w:ascii="Calibri" w:hAnsi="Calibri"/>
                <w:color w:val="000000"/>
                <w:sz w:val="16"/>
                <w:szCs w:val="16"/>
                <w:lang w:val="es-ES_tradnl" w:eastAsia="es-MX"/>
              </w:rPr>
              <w:t>$1,210.00</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12/05/2015</w:t>
            </w:r>
          </w:p>
        </w:tc>
      </w:tr>
      <w:tr w:rsidR="00CB0BAD" w:rsidRPr="00CB0BAD" w:rsidTr="00CB0BAD">
        <w:trPr>
          <w:trHeight w:val="675"/>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19</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04/108H.5/C6.4.2/35/2015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BERENICE YOLANDA PÉREZ CORTES</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$13,570.00</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12/05/2015</w:t>
            </w:r>
          </w:p>
        </w:tc>
      </w:tr>
      <w:tr w:rsidR="00CB0BAD" w:rsidRPr="00CB0BAD" w:rsidTr="00CB0BAD">
        <w:trPr>
          <w:trHeight w:val="675"/>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20</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04/108.H.5/C6.4.2/036/2015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ARTURO RODRÍGUEZ MAYORAL</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$13,570.00</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12/05/2015</w:t>
            </w:r>
          </w:p>
        </w:tc>
      </w:tr>
      <w:tr w:rsidR="00CB0BAD" w:rsidRPr="00CB0BAD" w:rsidTr="00CB0BAD">
        <w:trPr>
          <w:trHeight w:val="675"/>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21</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04/108.H.5/C6.4.2/039/2015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MONICA DE LA PAZ LÓPEZ AQUINO</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$15,430.00</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19/05/2015</w:t>
            </w:r>
          </w:p>
        </w:tc>
      </w:tr>
      <w:tr w:rsidR="00CB0BAD" w:rsidRPr="00CB0BAD" w:rsidTr="00CB0BAD">
        <w:trPr>
          <w:trHeight w:val="675"/>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22</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04/108.H.5/C6.4.2/044/2015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LACTEOS DEL SURESTE ROLY, S.A. DE C.V.</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$46,290.00</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19/05/2015</w:t>
            </w:r>
          </w:p>
        </w:tc>
      </w:tr>
      <w:tr w:rsidR="00CB0BAD" w:rsidRPr="00CB0BAD" w:rsidTr="00CB0BAD">
        <w:trPr>
          <w:trHeight w:val="1125"/>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23</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04/108H.5/C6.4.2/045/2015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LAYU VUELTU ESPECIALISTAS EN RECURSOS HUMANOS, S.C. DE R.L. DE C.V.</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$15,430.00</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01/06/2015</w:t>
            </w:r>
          </w:p>
        </w:tc>
      </w:tr>
      <w:tr w:rsidR="00CB0BAD" w:rsidRPr="00CB0BAD" w:rsidTr="00CB0BAD">
        <w:trPr>
          <w:trHeight w:val="675"/>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24</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04/108.H.5/C6.4.2/046/2015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BABLE PROYECTO, S.A. DE C.V.</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$15,430.00</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28/05/2015</w:t>
            </w:r>
          </w:p>
        </w:tc>
      </w:tr>
      <w:tr w:rsidR="00CB0BAD" w:rsidRPr="00CB0BAD" w:rsidTr="00CB0BAD">
        <w:trPr>
          <w:trHeight w:val="675"/>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25</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04/108.H.5/C6.4.2/044/2015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MATERIALES Y SUMINISTROS BOGART, S.A. DE C.V.</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$15,430.00</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29/05/2015</w:t>
            </w:r>
          </w:p>
        </w:tc>
      </w:tr>
      <w:tr w:rsidR="00CB0BAD" w:rsidRPr="00CB0BAD" w:rsidTr="00CB0BAD">
        <w:trPr>
          <w:trHeight w:val="450"/>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26</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04/108.H.5/C6.4.2/047/2015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 xml:space="preserve">PROMOTORA DE CERVEZA TUXTEPEC, S. A. DE C. V. </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30/05/2015</w:t>
            </w:r>
          </w:p>
        </w:tc>
      </w:tr>
      <w:tr w:rsidR="00CB0BAD" w:rsidRPr="00CB0BAD" w:rsidTr="00CB0BAD">
        <w:trPr>
          <w:trHeight w:val="450"/>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27</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04/108H.5/C6.4.2/052/2015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CLUB PLAZA HUATULCO, S.A. DE C.V.</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31/05/2015</w:t>
            </w:r>
          </w:p>
        </w:tc>
      </w:tr>
      <w:tr w:rsidR="00CB0BAD" w:rsidRPr="00CB0BAD" w:rsidTr="00CB0BAD">
        <w:trPr>
          <w:trHeight w:val="900"/>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28</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04/108H.5/C6.4.2/053/2015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CERVEZAS MODELO EN LA MIXTECA, S.A. DE C.V.</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01/06/2015</w:t>
            </w:r>
          </w:p>
        </w:tc>
      </w:tr>
    </w:tbl>
    <w:p w:rsidR="00CB0BAD" w:rsidRDefault="00CB0BAD"/>
    <w:tbl>
      <w:tblPr>
        <w:tblW w:w="8360" w:type="dxa"/>
        <w:tblInd w:w="51" w:type="dxa"/>
        <w:tblCellMar>
          <w:left w:w="70" w:type="dxa"/>
          <w:right w:w="70" w:type="dxa"/>
        </w:tblCellMar>
        <w:tblLook w:val="04A0"/>
      </w:tblPr>
      <w:tblGrid>
        <w:gridCol w:w="521"/>
        <w:gridCol w:w="2779"/>
        <w:gridCol w:w="2100"/>
        <w:gridCol w:w="1500"/>
        <w:gridCol w:w="1460"/>
      </w:tblGrid>
      <w:tr w:rsidR="00CB0BAD" w:rsidRPr="00CB0BAD" w:rsidTr="00CB0BAD">
        <w:trPr>
          <w:trHeight w:val="225"/>
        </w:trPr>
        <w:tc>
          <w:tcPr>
            <w:tcW w:w="52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pacing w:val="-3"/>
                <w:sz w:val="16"/>
                <w:szCs w:val="16"/>
                <w:lang w:val="es-ES_tradnl" w:eastAsia="es-MX"/>
              </w:rPr>
              <w:t>NÚM.</w:t>
            </w:r>
          </w:p>
        </w:tc>
        <w:tc>
          <w:tcPr>
            <w:tcW w:w="2779"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pacing w:val="-3"/>
                <w:sz w:val="16"/>
                <w:szCs w:val="16"/>
                <w:lang w:val="es-ES_tradnl" w:eastAsia="es-MX"/>
              </w:rPr>
              <w:t>EXPEDIENTE</w:t>
            </w:r>
          </w:p>
        </w:tc>
        <w:tc>
          <w:tcPr>
            <w:tcW w:w="210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pacing w:val="-3"/>
                <w:sz w:val="16"/>
                <w:szCs w:val="16"/>
                <w:lang w:val="es-ES_tradnl" w:eastAsia="es-MX"/>
              </w:rPr>
              <w:t>RECURRENTE</w:t>
            </w:r>
          </w:p>
        </w:tc>
        <w:tc>
          <w:tcPr>
            <w:tcW w:w="150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pacing w:val="-3"/>
                <w:sz w:val="16"/>
                <w:szCs w:val="16"/>
                <w:lang w:val="es-ES_tradnl" w:eastAsia="es-MX"/>
              </w:rPr>
              <w:t>MONTO</w:t>
            </w:r>
          </w:p>
        </w:tc>
        <w:tc>
          <w:tcPr>
            <w:tcW w:w="1460" w:type="dxa"/>
            <w:tcBorders>
              <w:top w:val="single" w:sz="4" w:space="0" w:color="auto"/>
              <w:left w:val="nil"/>
              <w:bottom w:val="single" w:sz="4" w:space="0" w:color="auto"/>
              <w:right w:val="single" w:sz="4" w:space="0" w:color="auto"/>
            </w:tcBorders>
            <w:shd w:val="clear" w:color="000000" w:fill="D9D9D9"/>
            <w:vAlign w:val="bottom"/>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pacing w:val="-3"/>
                <w:sz w:val="16"/>
                <w:szCs w:val="16"/>
                <w:lang w:val="es-ES_tradnl" w:eastAsia="es-MX"/>
              </w:rPr>
              <w:t>FECHA DE</w:t>
            </w:r>
          </w:p>
        </w:tc>
      </w:tr>
      <w:tr w:rsidR="00CB0BAD" w:rsidRPr="00CB0BAD" w:rsidTr="00CB0BAD">
        <w:trPr>
          <w:trHeight w:val="225"/>
        </w:trPr>
        <w:tc>
          <w:tcPr>
            <w:tcW w:w="521" w:type="dxa"/>
            <w:vMerge/>
            <w:tcBorders>
              <w:top w:val="single" w:sz="4" w:space="0" w:color="auto"/>
              <w:left w:val="single" w:sz="4" w:space="0" w:color="auto"/>
              <w:bottom w:val="single" w:sz="4" w:space="0" w:color="000000"/>
              <w:right w:val="single" w:sz="4" w:space="0" w:color="auto"/>
            </w:tcBorders>
            <w:vAlign w:val="center"/>
            <w:hideMark/>
          </w:tcPr>
          <w:p w:rsidR="00CB0BAD" w:rsidRPr="00CB0BAD" w:rsidRDefault="00CB0BAD" w:rsidP="00CB0BAD">
            <w:pPr>
              <w:rPr>
                <w:rFonts w:ascii="Calibri" w:hAnsi="Calibri"/>
                <w:b/>
                <w:bCs/>
                <w:color w:val="000000"/>
                <w:sz w:val="16"/>
                <w:szCs w:val="16"/>
                <w:lang w:val="es-MX" w:eastAsia="es-MX"/>
              </w:rPr>
            </w:pPr>
          </w:p>
        </w:tc>
        <w:tc>
          <w:tcPr>
            <w:tcW w:w="2779" w:type="dxa"/>
            <w:vMerge/>
            <w:tcBorders>
              <w:top w:val="single" w:sz="4" w:space="0" w:color="auto"/>
              <w:left w:val="single" w:sz="4" w:space="0" w:color="auto"/>
              <w:bottom w:val="single" w:sz="4" w:space="0" w:color="000000"/>
              <w:right w:val="single" w:sz="4" w:space="0" w:color="auto"/>
            </w:tcBorders>
            <w:vAlign w:val="center"/>
            <w:hideMark/>
          </w:tcPr>
          <w:p w:rsidR="00CB0BAD" w:rsidRPr="00CB0BAD" w:rsidRDefault="00CB0BAD" w:rsidP="00CB0BAD">
            <w:pPr>
              <w:rPr>
                <w:rFonts w:ascii="Calibri" w:hAnsi="Calibri"/>
                <w:b/>
                <w:bCs/>
                <w:color w:val="000000"/>
                <w:sz w:val="16"/>
                <w:szCs w:val="16"/>
                <w:lang w:val="es-MX" w:eastAsia="es-MX"/>
              </w:rPr>
            </w:pPr>
          </w:p>
        </w:tc>
        <w:tc>
          <w:tcPr>
            <w:tcW w:w="2100" w:type="dxa"/>
            <w:vMerge/>
            <w:tcBorders>
              <w:top w:val="single" w:sz="4" w:space="0" w:color="auto"/>
              <w:left w:val="single" w:sz="4" w:space="0" w:color="auto"/>
              <w:bottom w:val="single" w:sz="4" w:space="0" w:color="000000"/>
              <w:right w:val="single" w:sz="4" w:space="0" w:color="auto"/>
            </w:tcBorders>
            <w:vAlign w:val="center"/>
            <w:hideMark/>
          </w:tcPr>
          <w:p w:rsidR="00CB0BAD" w:rsidRPr="00CB0BAD" w:rsidRDefault="00CB0BAD" w:rsidP="00CB0BAD">
            <w:pPr>
              <w:rPr>
                <w:rFonts w:ascii="Calibri" w:hAnsi="Calibri"/>
                <w:b/>
                <w:bCs/>
                <w:color w:val="000000"/>
                <w:sz w:val="16"/>
                <w:szCs w:val="16"/>
                <w:lang w:val="es-MX" w:eastAsia="es-MX"/>
              </w:rPr>
            </w:pPr>
          </w:p>
        </w:tc>
        <w:tc>
          <w:tcPr>
            <w:tcW w:w="1500" w:type="dxa"/>
            <w:vMerge/>
            <w:tcBorders>
              <w:top w:val="single" w:sz="4" w:space="0" w:color="auto"/>
              <w:left w:val="single" w:sz="4" w:space="0" w:color="auto"/>
              <w:bottom w:val="single" w:sz="4" w:space="0" w:color="000000"/>
              <w:right w:val="single" w:sz="4" w:space="0" w:color="auto"/>
            </w:tcBorders>
            <w:vAlign w:val="center"/>
            <w:hideMark/>
          </w:tcPr>
          <w:p w:rsidR="00CB0BAD" w:rsidRPr="00CB0BAD" w:rsidRDefault="00CB0BAD" w:rsidP="00CB0BAD">
            <w:pPr>
              <w:rPr>
                <w:rFonts w:ascii="Calibri" w:hAnsi="Calibri"/>
                <w:b/>
                <w:bCs/>
                <w:color w:val="000000"/>
                <w:sz w:val="16"/>
                <w:szCs w:val="16"/>
                <w:lang w:val="es-MX" w:eastAsia="es-MX"/>
              </w:rPr>
            </w:pPr>
          </w:p>
        </w:tc>
        <w:tc>
          <w:tcPr>
            <w:tcW w:w="1460" w:type="dxa"/>
            <w:tcBorders>
              <w:top w:val="nil"/>
              <w:left w:val="nil"/>
              <w:bottom w:val="single" w:sz="4" w:space="0" w:color="auto"/>
              <w:right w:val="single" w:sz="4" w:space="0" w:color="auto"/>
            </w:tcBorders>
            <w:shd w:val="clear" w:color="000000" w:fill="D9D9D9"/>
            <w:vAlign w:val="bottom"/>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pacing w:val="-3"/>
                <w:sz w:val="16"/>
                <w:szCs w:val="16"/>
                <w:lang w:val="es-ES_tradnl" w:eastAsia="es-MX"/>
              </w:rPr>
              <w:t>PRESENTACIÓN</w:t>
            </w:r>
          </w:p>
        </w:tc>
      </w:tr>
    </w:tbl>
    <w:p w:rsidR="00CB0BAD" w:rsidRDefault="00CB0BAD" w:rsidP="00CB0BAD"/>
    <w:tbl>
      <w:tblPr>
        <w:tblW w:w="8360" w:type="dxa"/>
        <w:tblInd w:w="51" w:type="dxa"/>
        <w:tblCellMar>
          <w:left w:w="70" w:type="dxa"/>
          <w:right w:w="70" w:type="dxa"/>
        </w:tblCellMar>
        <w:tblLook w:val="04A0"/>
      </w:tblPr>
      <w:tblGrid>
        <w:gridCol w:w="521"/>
        <w:gridCol w:w="2779"/>
        <w:gridCol w:w="2100"/>
        <w:gridCol w:w="1500"/>
        <w:gridCol w:w="1460"/>
      </w:tblGrid>
      <w:tr w:rsidR="00CB0BAD" w:rsidRPr="00CB0BAD" w:rsidTr="00CB0BAD">
        <w:trPr>
          <w:trHeight w:val="675"/>
        </w:trPr>
        <w:tc>
          <w:tcPr>
            <w:tcW w:w="521" w:type="dxa"/>
            <w:tcBorders>
              <w:top w:val="single" w:sz="4" w:space="0" w:color="auto"/>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29</w:t>
            </w:r>
          </w:p>
        </w:tc>
        <w:tc>
          <w:tcPr>
            <w:tcW w:w="2779"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04/108H.5/C6.4.2/54/2015</w:t>
            </w:r>
          </w:p>
        </w:tc>
        <w:tc>
          <w:tcPr>
            <w:tcW w:w="2100"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AUTOS MEXICANOS, SA DE CV</w:t>
            </w:r>
          </w:p>
        </w:tc>
        <w:tc>
          <w:tcPr>
            <w:tcW w:w="1500"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$188,061,395.39</w:t>
            </w:r>
          </w:p>
        </w:tc>
        <w:tc>
          <w:tcPr>
            <w:tcW w:w="1460"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18/06/2015</w:t>
            </w:r>
          </w:p>
        </w:tc>
      </w:tr>
      <w:tr w:rsidR="00CB0BAD" w:rsidRPr="00CB0BAD" w:rsidTr="00CB0BAD">
        <w:trPr>
          <w:trHeight w:val="900"/>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30</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04/108H.5/C6.4.2/055/2015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CONCRETOS Y ASFALTOS DE OAXACA, S.A. DE C.V.</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$54,890.00</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19/06/2015</w:t>
            </w:r>
          </w:p>
        </w:tc>
      </w:tr>
      <w:tr w:rsidR="00CB0BAD" w:rsidRPr="00CB0BAD" w:rsidTr="00CB0BAD">
        <w:trPr>
          <w:trHeight w:val="675"/>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31</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04/108H.5/C6.4.2/37/2015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GUILLERMO GURRIÓN MATIAS</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$13,720.00</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18/05/2015</w:t>
            </w:r>
          </w:p>
        </w:tc>
      </w:tr>
      <w:tr w:rsidR="00CB0BAD" w:rsidRPr="00CB0BAD" w:rsidTr="00CB0BAD">
        <w:trPr>
          <w:trHeight w:val="450"/>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32</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04/108H.5/C6.4.2/38/2015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GUILLERMO GURRIÓN MATIAS</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$46,290.00</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18/05/2015</w:t>
            </w:r>
          </w:p>
        </w:tc>
      </w:tr>
      <w:tr w:rsidR="00CB0BAD" w:rsidRPr="00CB0BAD" w:rsidTr="00CB0BAD">
        <w:trPr>
          <w:trHeight w:val="675"/>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33</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04/108H.5/C6.4.2/034/2015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CONSORCIO INDUSTRIAL SERVICIOS CHÁVEZ POMBO S. A. DE C. V.</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$54,890.00</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12/05/2015</w:t>
            </w:r>
          </w:p>
        </w:tc>
      </w:tr>
      <w:tr w:rsidR="00CB0BAD" w:rsidRPr="00CB0BAD" w:rsidTr="00CB0BAD">
        <w:trPr>
          <w:trHeight w:val="675"/>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34</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04/108H.5/C6.4.2/060/2015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GUILLERMINA GUADALUPE GONZÁLEZ GARCÍA</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$46,290.00</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06/07/2015</w:t>
            </w:r>
          </w:p>
        </w:tc>
      </w:tr>
      <w:tr w:rsidR="00CB0BAD" w:rsidRPr="00CB0BAD" w:rsidTr="00CB0BAD">
        <w:trPr>
          <w:trHeight w:val="450"/>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35</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04/108H.5/C6.4.2/040/2015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ANA PAULA GARCÍA TINOCO</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$1,000.00</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06/07/2015</w:t>
            </w:r>
          </w:p>
        </w:tc>
      </w:tr>
      <w:tr w:rsidR="00CB0BAD" w:rsidRPr="00CB0BAD" w:rsidTr="00CB0BAD">
        <w:trPr>
          <w:trHeight w:val="450"/>
        </w:trPr>
        <w:tc>
          <w:tcPr>
            <w:tcW w:w="521"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36</w:t>
            </w:r>
          </w:p>
        </w:tc>
        <w:tc>
          <w:tcPr>
            <w:tcW w:w="2779"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04/108H.5/C6.4.2/041/2015</w:t>
            </w:r>
          </w:p>
        </w:tc>
        <w:tc>
          <w:tcPr>
            <w:tcW w:w="21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ANA PAULA GARCÍA TINOCO</w:t>
            </w:r>
          </w:p>
        </w:tc>
        <w:tc>
          <w:tcPr>
            <w:tcW w:w="150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$2,300.00</w:t>
            </w:r>
          </w:p>
        </w:tc>
        <w:tc>
          <w:tcPr>
            <w:tcW w:w="1460"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06/07/2015</w:t>
            </w:r>
          </w:p>
        </w:tc>
      </w:tr>
    </w:tbl>
    <w:p w:rsidR="002F685D" w:rsidRDefault="002F685D" w:rsidP="002F685D">
      <w:pPr>
        <w:spacing w:line="22" w:lineRule="atLeast"/>
        <w:rPr>
          <w:rFonts w:ascii="Arial" w:hAnsi="Arial" w:cs="Arial"/>
          <w:b/>
          <w:spacing w:val="20"/>
        </w:rPr>
      </w:pPr>
    </w:p>
    <w:p w:rsidR="00CB0BAD" w:rsidRDefault="00CB0BAD">
      <w:pPr>
        <w:rPr>
          <w:rFonts w:ascii="Arial" w:hAnsi="Arial" w:cs="Arial"/>
          <w:b/>
          <w:spacing w:val="20"/>
        </w:rPr>
      </w:pPr>
    </w:p>
    <w:p w:rsidR="00CB0BAD" w:rsidRDefault="00CB0BAD">
      <w:pPr>
        <w:rPr>
          <w:rFonts w:ascii="Arial" w:hAnsi="Arial" w:cs="Arial"/>
          <w:b/>
          <w:spacing w:val="20"/>
        </w:rPr>
      </w:pPr>
    </w:p>
    <w:p w:rsidR="00CB0BAD" w:rsidRDefault="00CB0BAD">
      <w:pPr>
        <w:rPr>
          <w:rFonts w:ascii="Arial" w:hAnsi="Arial" w:cs="Arial"/>
          <w:b/>
          <w:spacing w:val="20"/>
        </w:rPr>
      </w:pPr>
    </w:p>
    <w:p w:rsidR="00CB0BAD" w:rsidRDefault="00CB0BAD">
      <w:pPr>
        <w:rPr>
          <w:rFonts w:ascii="Arial" w:hAnsi="Arial" w:cs="Arial"/>
          <w:b/>
          <w:spacing w:val="20"/>
        </w:rPr>
      </w:pPr>
    </w:p>
    <w:p w:rsidR="00CB0BAD" w:rsidRDefault="00CB0BAD">
      <w:pPr>
        <w:rPr>
          <w:rFonts w:ascii="Arial" w:hAnsi="Arial" w:cs="Arial"/>
          <w:b/>
          <w:spacing w:val="20"/>
        </w:rPr>
      </w:pPr>
    </w:p>
    <w:p w:rsidR="00CB0BAD" w:rsidRDefault="00CB0BAD">
      <w:pPr>
        <w:rPr>
          <w:rFonts w:ascii="Arial" w:hAnsi="Arial" w:cs="Arial"/>
          <w:b/>
          <w:spacing w:val="20"/>
        </w:rPr>
      </w:pPr>
    </w:p>
    <w:p w:rsidR="00CB0BAD" w:rsidRDefault="00CB0BAD">
      <w:pPr>
        <w:rPr>
          <w:rFonts w:ascii="Arial" w:hAnsi="Arial" w:cs="Arial"/>
          <w:b/>
          <w:spacing w:val="20"/>
        </w:rPr>
      </w:pPr>
    </w:p>
    <w:p w:rsidR="00CB0BAD" w:rsidRDefault="00CB0BAD">
      <w:pPr>
        <w:rPr>
          <w:rFonts w:ascii="Arial" w:hAnsi="Arial" w:cs="Arial"/>
          <w:b/>
          <w:spacing w:val="20"/>
        </w:rPr>
      </w:pPr>
    </w:p>
    <w:p w:rsidR="00CB0BAD" w:rsidRDefault="00CB0BAD">
      <w:pPr>
        <w:rPr>
          <w:rFonts w:ascii="Arial" w:hAnsi="Arial" w:cs="Arial"/>
          <w:b/>
          <w:spacing w:val="20"/>
        </w:rPr>
      </w:pPr>
    </w:p>
    <w:p w:rsidR="00CB0BAD" w:rsidRDefault="00CB0BAD">
      <w:pPr>
        <w:rPr>
          <w:rFonts w:ascii="Arial" w:hAnsi="Arial" w:cs="Arial"/>
          <w:b/>
          <w:spacing w:val="20"/>
        </w:rPr>
      </w:pPr>
    </w:p>
    <w:p w:rsidR="00CB0BAD" w:rsidRDefault="00CB0BAD">
      <w:pPr>
        <w:rPr>
          <w:rFonts w:ascii="Arial" w:hAnsi="Arial" w:cs="Arial"/>
          <w:b/>
          <w:spacing w:val="20"/>
        </w:rPr>
      </w:pPr>
    </w:p>
    <w:p w:rsidR="00CB0BAD" w:rsidRDefault="00CB0BAD">
      <w:pPr>
        <w:rPr>
          <w:rFonts w:ascii="Arial" w:hAnsi="Arial" w:cs="Arial"/>
          <w:b/>
          <w:spacing w:val="20"/>
        </w:rPr>
      </w:pPr>
    </w:p>
    <w:p w:rsidR="00CB0BAD" w:rsidRDefault="00CB0BAD">
      <w:pPr>
        <w:rPr>
          <w:rFonts w:ascii="Arial" w:hAnsi="Arial" w:cs="Arial"/>
          <w:b/>
          <w:spacing w:val="20"/>
        </w:rPr>
      </w:pPr>
    </w:p>
    <w:p w:rsidR="00CB0BAD" w:rsidRDefault="00CB0BAD">
      <w:pPr>
        <w:rPr>
          <w:rFonts w:ascii="Arial" w:hAnsi="Arial" w:cs="Arial"/>
          <w:b/>
          <w:spacing w:val="20"/>
        </w:rPr>
      </w:pPr>
    </w:p>
    <w:p w:rsidR="00CB0BAD" w:rsidRDefault="00CB0BAD">
      <w:pPr>
        <w:rPr>
          <w:rFonts w:ascii="Arial" w:hAnsi="Arial" w:cs="Arial"/>
          <w:b/>
          <w:spacing w:val="20"/>
        </w:rPr>
      </w:pPr>
    </w:p>
    <w:p w:rsidR="00CB0BAD" w:rsidRDefault="00CB0BAD">
      <w:pPr>
        <w:rPr>
          <w:rFonts w:ascii="Arial" w:hAnsi="Arial" w:cs="Arial"/>
          <w:b/>
          <w:spacing w:val="20"/>
        </w:rPr>
      </w:pPr>
    </w:p>
    <w:p w:rsidR="00CB0BAD" w:rsidRDefault="00CB0BAD">
      <w:pPr>
        <w:rPr>
          <w:rFonts w:ascii="Arial" w:hAnsi="Arial" w:cs="Arial"/>
          <w:b/>
          <w:spacing w:val="20"/>
        </w:rPr>
      </w:pPr>
    </w:p>
    <w:p w:rsidR="00CB0BAD" w:rsidRDefault="00CB0BAD">
      <w:pPr>
        <w:rPr>
          <w:rFonts w:ascii="Arial" w:hAnsi="Arial" w:cs="Arial"/>
          <w:b/>
          <w:spacing w:val="20"/>
        </w:rPr>
      </w:pPr>
    </w:p>
    <w:p w:rsidR="00CB0BAD" w:rsidRDefault="00CB0BAD">
      <w:pPr>
        <w:rPr>
          <w:rFonts w:ascii="Arial" w:hAnsi="Arial" w:cs="Arial"/>
          <w:b/>
          <w:spacing w:val="20"/>
        </w:rPr>
      </w:pPr>
    </w:p>
    <w:p w:rsidR="00CB0BAD" w:rsidRDefault="00CB0BAD">
      <w:pPr>
        <w:rPr>
          <w:rFonts w:ascii="Arial" w:hAnsi="Arial" w:cs="Arial"/>
          <w:b/>
          <w:spacing w:val="20"/>
        </w:rPr>
      </w:pPr>
    </w:p>
    <w:p w:rsidR="00CB0BAD" w:rsidRDefault="00CB0BAD">
      <w:pPr>
        <w:rPr>
          <w:rFonts w:ascii="Arial" w:hAnsi="Arial" w:cs="Arial"/>
          <w:b/>
          <w:spacing w:val="20"/>
        </w:rPr>
      </w:pPr>
    </w:p>
    <w:p w:rsidR="00CB0BAD" w:rsidRDefault="00CB0BAD">
      <w:pPr>
        <w:rPr>
          <w:rFonts w:ascii="Arial" w:hAnsi="Arial" w:cs="Arial"/>
          <w:b/>
          <w:spacing w:val="20"/>
        </w:rPr>
      </w:pPr>
    </w:p>
    <w:tbl>
      <w:tblPr>
        <w:tblW w:w="8360" w:type="dxa"/>
        <w:tblInd w:w="51" w:type="dxa"/>
        <w:tblCellMar>
          <w:left w:w="70" w:type="dxa"/>
          <w:right w:w="70" w:type="dxa"/>
        </w:tblCellMar>
        <w:tblLook w:val="04A0"/>
      </w:tblPr>
      <w:tblGrid>
        <w:gridCol w:w="521"/>
        <w:gridCol w:w="2779"/>
        <w:gridCol w:w="2100"/>
        <w:gridCol w:w="1500"/>
        <w:gridCol w:w="1460"/>
      </w:tblGrid>
      <w:tr w:rsidR="00CB0BAD" w:rsidRPr="00CB0BAD" w:rsidTr="00CB0BAD">
        <w:trPr>
          <w:trHeight w:val="225"/>
        </w:trPr>
        <w:tc>
          <w:tcPr>
            <w:tcW w:w="8360" w:type="dxa"/>
            <w:gridSpan w:val="5"/>
            <w:tcBorders>
              <w:top w:val="nil"/>
              <w:left w:val="nil"/>
              <w:bottom w:val="nil"/>
            </w:tcBorders>
            <w:shd w:val="clear" w:color="auto" w:fill="auto"/>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pacing w:val="-3"/>
                <w:sz w:val="16"/>
                <w:szCs w:val="16"/>
                <w:lang w:val="es-ES_tradnl" w:eastAsia="es-MX"/>
              </w:rPr>
              <w:t>DEPARTAMENTO DE JUICIOS Y RECURSOS</w:t>
            </w:r>
          </w:p>
        </w:tc>
      </w:tr>
      <w:tr w:rsidR="00CB0BAD" w:rsidRPr="00CB0BAD" w:rsidTr="00CB0BAD">
        <w:trPr>
          <w:trHeight w:val="225"/>
        </w:trPr>
        <w:tc>
          <w:tcPr>
            <w:tcW w:w="8360" w:type="dxa"/>
            <w:gridSpan w:val="5"/>
            <w:tcBorders>
              <w:top w:val="nil"/>
              <w:left w:val="nil"/>
              <w:bottom w:val="single" w:sz="4" w:space="0" w:color="000000"/>
            </w:tcBorders>
            <w:shd w:val="clear" w:color="auto" w:fill="auto"/>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pacing w:val="-3"/>
                <w:sz w:val="16"/>
                <w:szCs w:val="16"/>
                <w:lang w:val="es-ES_tradnl" w:eastAsia="es-MX"/>
              </w:rPr>
              <w:t>RECURSOS DE REVOCACIÓN EN MATERIA FISCAL ESTATAL</w:t>
            </w:r>
          </w:p>
        </w:tc>
      </w:tr>
      <w:tr w:rsidR="00CB0BAD" w:rsidRPr="00CB0BAD" w:rsidTr="00CB0BAD">
        <w:trPr>
          <w:trHeight w:val="225"/>
        </w:trPr>
        <w:tc>
          <w:tcPr>
            <w:tcW w:w="520" w:type="dxa"/>
            <w:vMerge w:val="restart"/>
            <w:tcBorders>
              <w:top w:val="nil"/>
              <w:left w:val="single" w:sz="4" w:space="0" w:color="000000"/>
              <w:bottom w:val="single" w:sz="4" w:space="0" w:color="000000"/>
              <w:right w:val="single" w:sz="4" w:space="0" w:color="000000"/>
            </w:tcBorders>
            <w:shd w:val="clear" w:color="000000" w:fill="D9D9D9"/>
            <w:vAlign w:val="center"/>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pacing w:val="-3"/>
                <w:sz w:val="16"/>
                <w:szCs w:val="16"/>
                <w:lang w:val="es-ES_tradnl" w:eastAsia="es-MX"/>
              </w:rPr>
              <w:t>NÚM.</w:t>
            </w:r>
          </w:p>
        </w:tc>
        <w:tc>
          <w:tcPr>
            <w:tcW w:w="2780" w:type="dxa"/>
            <w:vMerge w:val="restart"/>
            <w:tcBorders>
              <w:top w:val="nil"/>
              <w:left w:val="single" w:sz="4" w:space="0" w:color="000000"/>
              <w:bottom w:val="single" w:sz="4" w:space="0" w:color="000000"/>
              <w:right w:val="single" w:sz="4" w:space="0" w:color="000000"/>
            </w:tcBorders>
            <w:shd w:val="clear" w:color="000000" w:fill="D9D9D9"/>
            <w:vAlign w:val="center"/>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pacing w:val="-3"/>
                <w:sz w:val="16"/>
                <w:szCs w:val="16"/>
                <w:lang w:val="es-ES_tradnl" w:eastAsia="es-MX"/>
              </w:rPr>
              <w:t>EXPEDIENTE</w:t>
            </w:r>
          </w:p>
        </w:tc>
        <w:tc>
          <w:tcPr>
            <w:tcW w:w="2100" w:type="dxa"/>
            <w:vMerge w:val="restart"/>
            <w:tcBorders>
              <w:top w:val="nil"/>
              <w:left w:val="single" w:sz="4" w:space="0" w:color="000000"/>
              <w:bottom w:val="single" w:sz="4" w:space="0" w:color="000000"/>
              <w:right w:val="single" w:sz="4" w:space="0" w:color="000000"/>
            </w:tcBorders>
            <w:shd w:val="clear" w:color="000000" w:fill="D9D9D9"/>
            <w:vAlign w:val="center"/>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pacing w:val="-3"/>
                <w:sz w:val="16"/>
                <w:szCs w:val="16"/>
                <w:lang w:val="es-ES_tradnl" w:eastAsia="es-MX"/>
              </w:rPr>
              <w:t>RECURRENTE</w:t>
            </w:r>
          </w:p>
        </w:tc>
        <w:tc>
          <w:tcPr>
            <w:tcW w:w="1500" w:type="dxa"/>
            <w:vMerge w:val="restart"/>
            <w:tcBorders>
              <w:top w:val="nil"/>
              <w:left w:val="single" w:sz="4" w:space="0" w:color="000000"/>
              <w:bottom w:val="single" w:sz="4" w:space="0" w:color="000000"/>
              <w:right w:val="single" w:sz="4" w:space="0" w:color="000000"/>
            </w:tcBorders>
            <w:shd w:val="clear" w:color="000000" w:fill="D9D9D9"/>
            <w:vAlign w:val="center"/>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pacing w:val="-3"/>
                <w:sz w:val="16"/>
                <w:szCs w:val="16"/>
                <w:lang w:val="es-ES_tradnl" w:eastAsia="es-MX"/>
              </w:rPr>
              <w:t>MONTO</w:t>
            </w:r>
          </w:p>
        </w:tc>
        <w:tc>
          <w:tcPr>
            <w:tcW w:w="1460" w:type="dxa"/>
            <w:tcBorders>
              <w:top w:val="nil"/>
              <w:left w:val="nil"/>
              <w:bottom w:val="single" w:sz="4" w:space="0" w:color="000000"/>
              <w:right w:val="single" w:sz="4" w:space="0" w:color="000000"/>
            </w:tcBorders>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pacing w:val="-3"/>
                <w:sz w:val="16"/>
                <w:szCs w:val="16"/>
                <w:lang w:val="es-ES_tradnl" w:eastAsia="es-MX"/>
              </w:rPr>
              <w:t>FECHA DE</w:t>
            </w:r>
          </w:p>
        </w:tc>
      </w:tr>
      <w:tr w:rsidR="00CB0BAD" w:rsidRPr="00CB0BAD" w:rsidTr="00CB0BAD">
        <w:trPr>
          <w:trHeight w:val="225"/>
        </w:trPr>
        <w:tc>
          <w:tcPr>
            <w:tcW w:w="520" w:type="dxa"/>
            <w:vMerge/>
            <w:tcBorders>
              <w:top w:val="nil"/>
              <w:left w:val="single" w:sz="4" w:space="0" w:color="000000"/>
              <w:bottom w:val="single" w:sz="4" w:space="0" w:color="000000"/>
              <w:right w:val="single" w:sz="4" w:space="0" w:color="000000"/>
            </w:tcBorders>
            <w:vAlign w:val="center"/>
            <w:hideMark/>
          </w:tcPr>
          <w:p w:rsidR="00CB0BAD" w:rsidRPr="00CB0BAD" w:rsidRDefault="00CB0BAD" w:rsidP="00CB0BAD">
            <w:pPr>
              <w:rPr>
                <w:rFonts w:ascii="Calibri" w:hAnsi="Calibri"/>
                <w:b/>
                <w:bCs/>
                <w:color w:val="000000"/>
                <w:sz w:val="16"/>
                <w:szCs w:val="16"/>
                <w:lang w:val="es-MX" w:eastAsia="es-MX"/>
              </w:rPr>
            </w:pPr>
          </w:p>
        </w:tc>
        <w:tc>
          <w:tcPr>
            <w:tcW w:w="2780" w:type="dxa"/>
            <w:vMerge/>
            <w:tcBorders>
              <w:top w:val="nil"/>
              <w:left w:val="single" w:sz="4" w:space="0" w:color="000000"/>
              <w:bottom w:val="single" w:sz="4" w:space="0" w:color="000000"/>
              <w:right w:val="single" w:sz="4" w:space="0" w:color="000000"/>
            </w:tcBorders>
            <w:vAlign w:val="center"/>
            <w:hideMark/>
          </w:tcPr>
          <w:p w:rsidR="00CB0BAD" w:rsidRPr="00CB0BAD" w:rsidRDefault="00CB0BAD" w:rsidP="00CB0BAD">
            <w:pPr>
              <w:rPr>
                <w:rFonts w:ascii="Calibri" w:hAnsi="Calibri"/>
                <w:b/>
                <w:bCs/>
                <w:color w:val="000000"/>
                <w:sz w:val="16"/>
                <w:szCs w:val="16"/>
                <w:lang w:val="es-MX" w:eastAsia="es-MX"/>
              </w:rPr>
            </w:pPr>
          </w:p>
        </w:tc>
        <w:tc>
          <w:tcPr>
            <w:tcW w:w="2100" w:type="dxa"/>
            <w:vMerge/>
            <w:tcBorders>
              <w:top w:val="nil"/>
              <w:left w:val="single" w:sz="4" w:space="0" w:color="000000"/>
              <w:bottom w:val="single" w:sz="4" w:space="0" w:color="000000"/>
              <w:right w:val="single" w:sz="4" w:space="0" w:color="000000"/>
            </w:tcBorders>
            <w:vAlign w:val="center"/>
            <w:hideMark/>
          </w:tcPr>
          <w:p w:rsidR="00CB0BAD" w:rsidRPr="00CB0BAD" w:rsidRDefault="00CB0BAD" w:rsidP="00CB0BAD">
            <w:pPr>
              <w:rPr>
                <w:rFonts w:ascii="Calibri" w:hAnsi="Calibri"/>
                <w:b/>
                <w:bCs/>
                <w:color w:val="000000"/>
                <w:sz w:val="16"/>
                <w:szCs w:val="16"/>
                <w:lang w:val="es-MX" w:eastAsia="es-MX"/>
              </w:rPr>
            </w:pPr>
          </w:p>
        </w:tc>
        <w:tc>
          <w:tcPr>
            <w:tcW w:w="1500" w:type="dxa"/>
            <w:vMerge/>
            <w:tcBorders>
              <w:top w:val="nil"/>
              <w:left w:val="single" w:sz="4" w:space="0" w:color="000000"/>
              <w:bottom w:val="single" w:sz="4" w:space="0" w:color="000000"/>
              <w:right w:val="single" w:sz="4" w:space="0" w:color="000000"/>
            </w:tcBorders>
            <w:vAlign w:val="center"/>
            <w:hideMark/>
          </w:tcPr>
          <w:p w:rsidR="00CB0BAD" w:rsidRPr="00CB0BAD" w:rsidRDefault="00CB0BAD" w:rsidP="00CB0BAD">
            <w:pPr>
              <w:rPr>
                <w:rFonts w:ascii="Calibri" w:hAnsi="Calibri"/>
                <w:b/>
                <w:bCs/>
                <w:color w:val="000000"/>
                <w:sz w:val="16"/>
                <w:szCs w:val="16"/>
                <w:lang w:val="es-MX" w:eastAsia="es-MX"/>
              </w:rPr>
            </w:pPr>
          </w:p>
        </w:tc>
        <w:tc>
          <w:tcPr>
            <w:tcW w:w="1460" w:type="dxa"/>
            <w:tcBorders>
              <w:top w:val="nil"/>
              <w:left w:val="nil"/>
              <w:bottom w:val="single" w:sz="4" w:space="0" w:color="000000"/>
              <w:right w:val="single" w:sz="4" w:space="0" w:color="000000"/>
            </w:tcBorders>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pacing w:val="-3"/>
                <w:sz w:val="16"/>
                <w:szCs w:val="16"/>
                <w:lang w:val="es-ES_tradnl" w:eastAsia="es-MX"/>
              </w:rPr>
              <w:t>PRESENTACIÓN</w:t>
            </w:r>
          </w:p>
        </w:tc>
      </w:tr>
      <w:tr w:rsidR="00CB0BAD" w:rsidRPr="00CB0BAD" w:rsidTr="00CB0BAD">
        <w:trPr>
          <w:trHeight w:val="225"/>
        </w:trPr>
        <w:tc>
          <w:tcPr>
            <w:tcW w:w="520" w:type="dxa"/>
            <w:tcBorders>
              <w:top w:val="nil"/>
              <w:left w:val="single" w:sz="4" w:space="0" w:color="000000"/>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w:t>
            </w:r>
          </w:p>
        </w:tc>
        <w:tc>
          <w:tcPr>
            <w:tcW w:w="278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04/108H.1/C6.4.1/001/2015</w:t>
            </w:r>
          </w:p>
        </w:tc>
        <w:tc>
          <w:tcPr>
            <w:tcW w:w="21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ROSSANA GALLEGOS MEZA</w:t>
            </w:r>
          </w:p>
        </w:tc>
        <w:tc>
          <w:tcPr>
            <w:tcW w:w="15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05/01/2015</w:t>
            </w:r>
          </w:p>
        </w:tc>
      </w:tr>
      <w:tr w:rsidR="00CB0BAD" w:rsidRPr="00CB0BAD" w:rsidTr="00CB0BAD">
        <w:trPr>
          <w:trHeight w:val="450"/>
        </w:trPr>
        <w:tc>
          <w:tcPr>
            <w:tcW w:w="520" w:type="dxa"/>
            <w:tcBorders>
              <w:top w:val="nil"/>
              <w:left w:val="single" w:sz="4" w:space="0" w:color="000000"/>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w:t>
            </w:r>
          </w:p>
        </w:tc>
        <w:tc>
          <w:tcPr>
            <w:tcW w:w="278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04/108H.1/C6.4.1/002/2015</w:t>
            </w:r>
          </w:p>
        </w:tc>
        <w:tc>
          <w:tcPr>
            <w:tcW w:w="21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OLIVIA CONCEPCIÓN  CHI CARRILLO</w:t>
            </w:r>
          </w:p>
        </w:tc>
        <w:tc>
          <w:tcPr>
            <w:tcW w:w="15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06/01/2015</w:t>
            </w:r>
          </w:p>
        </w:tc>
      </w:tr>
      <w:tr w:rsidR="00CB0BAD" w:rsidRPr="00CB0BAD" w:rsidTr="00CB0BAD">
        <w:trPr>
          <w:trHeight w:val="225"/>
        </w:trPr>
        <w:tc>
          <w:tcPr>
            <w:tcW w:w="520" w:type="dxa"/>
            <w:tcBorders>
              <w:top w:val="nil"/>
              <w:left w:val="single" w:sz="4" w:space="0" w:color="000000"/>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w:t>
            </w:r>
          </w:p>
        </w:tc>
        <w:tc>
          <w:tcPr>
            <w:tcW w:w="278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04/108H.1/C6.4.1/003/2015</w:t>
            </w:r>
          </w:p>
        </w:tc>
        <w:tc>
          <w:tcPr>
            <w:tcW w:w="21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ELEUTERIO LÓPEZ  RUIZ</w:t>
            </w:r>
          </w:p>
        </w:tc>
        <w:tc>
          <w:tcPr>
            <w:tcW w:w="15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06/01/2015</w:t>
            </w:r>
          </w:p>
        </w:tc>
      </w:tr>
      <w:tr w:rsidR="00CB0BAD" w:rsidRPr="00CB0BAD" w:rsidTr="00CB0BAD">
        <w:trPr>
          <w:trHeight w:val="225"/>
        </w:trPr>
        <w:tc>
          <w:tcPr>
            <w:tcW w:w="520" w:type="dxa"/>
            <w:tcBorders>
              <w:top w:val="nil"/>
              <w:left w:val="single" w:sz="4" w:space="0" w:color="000000"/>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4</w:t>
            </w:r>
          </w:p>
        </w:tc>
        <w:tc>
          <w:tcPr>
            <w:tcW w:w="278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04/108H.1/C6.4.1/005/2015</w:t>
            </w:r>
          </w:p>
        </w:tc>
        <w:tc>
          <w:tcPr>
            <w:tcW w:w="21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EUSEBIO LÓPEZ LEÓN</w:t>
            </w:r>
          </w:p>
        </w:tc>
        <w:tc>
          <w:tcPr>
            <w:tcW w:w="15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06/01/2015</w:t>
            </w:r>
          </w:p>
        </w:tc>
      </w:tr>
      <w:tr w:rsidR="00CB0BAD" w:rsidRPr="00CB0BAD" w:rsidTr="00CB0BAD">
        <w:trPr>
          <w:trHeight w:val="225"/>
        </w:trPr>
        <w:tc>
          <w:tcPr>
            <w:tcW w:w="520" w:type="dxa"/>
            <w:tcBorders>
              <w:top w:val="nil"/>
              <w:left w:val="single" w:sz="4" w:space="0" w:color="000000"/>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5</w:t>
            </w:r>
          </w:p>
        </w:tc>
        <w:tc>
          <w:tcPr>
            <w:tcW w:w="278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04/108H.1/C6.4.1/008/2015</w:t>
            </w:r>
          </w:p>
        </w:tc>
        <w:tc>
          <w:tcPr>
            <w:tcW w:w="21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JOSÉ PERALTA RAMOS</w:t>
            </w:r>
          </w:p>
        </w:tc>
        <w:tc>
          <w:tcPr>
            <w:tcW w:w="15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06/01/2015</w:t>
            </w:r>
          </w:p>
        </w:tc>
      </w:tr>
      <w:tr w:rsidR="00CB0BAD" w:rsidRPr="00CB0BAD" w:rsidTr="00CB0BAD">
        <w:trPr>
          <w:trHeight w:val="450"/>
        </w:trPr>
        <w:tc>
          <w:tcPr>
            <w:tcW w:w="520" w:type="dxa"/>
            <w:tcBorders>
              <w:top w:val="nil"/>
              <w:left w:val="single" w:sz="4" w:space="0" w:color="000000"/>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6</w:t>
            </w:r>
          </w:p>
        </w:tc>
        <w:tc>
          <w:tcPr>
            <w:tcW w:w="278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04/108H.1/C6.4.1/010/2015</w:t>
            </w:r>
          </w:p>
        </w:tc>
        <w:tc>
          <w:tcPr>
            <w:tcW w:w="21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NIDIA DEL CARMEN COLMENARES MORALES</w:t>
            </w:r>
          </w:p>
        </w:tc>
        <w:tc>
          <w:tcPr>
            <w:tcW w:w="15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06/01/2015</w:t>
            </w:r>
          </w:p>
        </w:tc>
      </w:tr>
      <w:tr w:rsidR="00CB0BAD" w:rsidRPr="00CB0BAD" w:rsidTr="00CB0BAD">
        <w:trPr>
          <w:trHeight w:val="450"/>
        </w:trPr>
        <w:tc>
          <w:tcPr>
            <w:tcW w:w="520" w:type="dxa"/>
            <w:tcBorders>
              <w:top w:val="nil"/>
              <w:left w:val="single" w:sz="4" w:space="0" w:color="000000"/>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7</w:t>
            </w:r>
          </w:p>
        </w:tc>
        <w:tc>
          <w:tcPr>
            <w:tcW w:w="278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04/108H.1/C6.4.1/011/2015</w:t>
            </w:r>
          </w:p>
        </w:tc>
        <w:tc>
          <w:tcPr>
            <w:tcW w:w="21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DOMINGO COLMENARES NORIEGA</w:t>
            </w:r>
          </w:p>
        </w:tc>
        <w:tc>
          <w:tcPr>
            <w:tcW w:w="15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09/01/2015</w:t>
            </w:r>
          </w:p>
        </w:tc>
      </w:tr>
      <w:tr w:rsidR="00CB0BAD" w:rsidRPr="00CB0BAD" w:rsidTr="00CB0BAD">
        <w:trPr>
          <w:trHeight w:val="450"/>
        </w:trPr>
        <w:tc>
          <w:tcPr>
            <w:tcW w:w="520" w:type="dxa"/>
            <w:tcBorders>
              <w:top w:val="nil"/>
              <w:left w:val="single" w:sz="4" w:space="0" w:color="000000"/>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8</w:t>
            </w:r>
          </w:p>
        </w:tc>
        <w:tc>
          <w:tcPr>
            <w:tcW w:w="278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04/108H.1/C6.4.1/012/2015</w:t>
            </w:r>
          </w:p>
        </w:tc>
        <w:tc>
          <w:tcPr>
            <w:tcW w:w="21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JOAQUIN ABEL MARTÍNEZ ROMERO</w:t>
            </w:r>
          </w:p>
        </w:tc>
        <w:tc>
          <w:tcPr>
            <w:tcW w:w="15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12/12/2015</w:t>
            </w:r>
          </w:p>
        </w:tc>
      </w:tr>
      <w:tr w:rsidR="00CB0BAD" w:rsidRPr="00CB0BAD" w:rsidTr="00CB0BAD">
        <w:trPr>
          <w:trHeight w:val="450"/>
        </w:trPr>
        <w:tc>
          <w:tcPr>
            <w:tcW w:w="520" w:type="dxa"/>
            <w:tcBorders>
              <w:top w:val="nil"/>
              <w:left w:val="single" w:sz="4" w:space="0" w:color="000000"/>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9</w:t>
            </w:r>
          </w:p>
        </w:tc>
        <w:tc>
          <w:tcPr>
            <w:tcW w:w="278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04/108H.1/C6.4.1/013/2015</w:t>
            </w:r>
          </w:p>
        </w:tc>
        <w:tc>
          <w:tcPr>
            <w:tcW w:w="21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INGRID CHANTAL ZARATE ORTA</w:t>
            </w:r>
          </w:p>
        </w:tc>
        <w:tc>
          <w:tcPr>
            <w:tcW w:w="15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17/12/2015</w:t>
            </w:r>
          </w:p>
        </w:tc>
      </w:tr>
      <w:tr w:rsidR="00CB0BAD" w:rsidRPr="00CB0BAD" w:rsidTr="00CB0BAD">
        <w:trPr>
          <w:trHeight w:val="450"/>
        </w:trPr>
        <w:tc>
          <w:tcPr>
            <w:tcW w:w="520" w:type="dxa"/>
            <w:tcBorders>
              <w:top w:val="nil"/>
              <w:left w:val="single" w:sz="4" w:space="0" w:color="000000"/>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10</w:t>
            </w:r>
          </w:p>
        </w:tc>
        <w:tc>
          <w:tcPr>
            <w:tcW w:w="278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04/108H.1/C6.4.1/015/2015</w:t>
            </w:r>
          </w:p>
        </w:tc>
        <w:tc>
          <w:tcPr>
            <w:tcW w:w="21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MARIA DEL CARMEN ARACEN LÓPEZ</w:t>
            </w:r>
          </w:p>
        </w:tc>
        <w:tc>
          <w:tcPr>
            <w:tcW w:w="15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05/01/2015</w:t>
            </w:r>
          </w:p>
        </w:tc>
      </w:tr>
      <w:tr w:rsidR="00CB0BAD" w:rsidRPr="00CB0BAD" w:rsidTr="00CB0BAD">
        <w:trPr>
          <w:trHeight w:val="225"/>
        </w:trPr>
        <w:tc>
          <w:tcPr>
            <w:tcW w:w="520" w:type="dxa"/>
            <w:tcBorders>
              <w:top w:val="nil"/>
              <w:left w:val="single" w:sz="4" w:space="0" w:color="000000"/>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11</w:t>
            </w:r>
          </w:p>
        </w:tc>
        <w:tc>
          <w:tcPr>
            <w:tcW w:w="278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04/108H.1/C6.4.1/016/2015</w:t>
            </w:r>
          </w:p>
        </w:tc>
        <w:tc>
          <w:tcPr>
            <w:tcW w:w="21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JAVIER NIÑO VÁSQUEZ</w:t>
            </w:r>
          </w:p>
        </w:tc>
        <w:tc>
          <w:tcPr>
            <w:tcW w:w="15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05/01/2015</w:t>
            </w:r>
          </w:p>
        </w:tc>
      </w:tr>
      <w:tr w:rsidR="00CB0BAD" w:rsidRPr="00CB0BAD" w:rsidTr="00CB0BAD">
        <w:trPr>
          <w:trHeight w:val="225"/>
        </w:trPr>
        <w:tc>
          <w:tcPr>
            <w:tcW w:w="520" w:type="dxa"/>
            <w:tcBorders>
              <w:top w:val="nil"/>
              <w:left w:val="single" w:sz="4" w:space="0" w:color="000000"/>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12</w:t>
            </w:r>
          </w:p>
        </w:tc>
        <w:tc>
          <w:tcPr>
            <w:tcW w:w="278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04/108H.1/C6.4.1/017/2015</w:t>
            </w:r>
          </w:p>
        </w:tc>
        <w:tc>
          <w:tcPr>
            <w:tcW w:w="21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ALEIDA LÓPEZ JIMÉNEZ</w:t>
            </w:r>
          </w:p>
        </w:tc>
        <w:tc>
          <w:tcPr>
            <w:tcW w:w="15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06/01/2015</w:t>
            </w:r>
          </w:p>
        </w:tc>
      </w:tr>
      <w:tr w:rsidR="00CB0BAD" w:rsidRPr="00CB0BAD" w:rsidTr="00CB0BAD">
        <w:trPr>
          <w:trHeight w:val="225"/>
        </w:trPr>
        <w:tc>
          <w:tcPr>
            <w:tcW w:w="520" w:type="dxa"/>
            <w:tcBorders>
              <w:top w:val="nil"/>
              <w:left w:val="single" w:sz="4" w:space="0" w:color="000000"/>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16</w:t>
            </w:r>
          </w:p>
        </w:tc>
        <w:tc>
          <w:tcPr>
            <w:tcW w:w="278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04/108H.1/C6.4.1/024/2015</w:t>
            </w:r>
          </w:p>
        </w:tc>
        <w:tc>
          <w:tcPr>
            <w:tcW w:w="21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MARÍA CANDELARIA TOLEDO</w:t>
            </w:r>
          </w:p>
        </w:tc>
        <w:tc>
          <w:tcPr>
            <w:tcW w:w="15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 </w:t>
            </w:r>
          </w:p>
        </w:tc>
        <w:tc>
          <w:tcPr>
            <w:tcW w:w="146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 </w:t>
            </w:r>
          </w:p>
        </w:tc>
      </w:tr>
      <w:tr w:rsidR="00CB0BAD" w:rsidRPr="00CB0BAD" w:rsidTr="00CB0BAD">
        <w:trPr>
          <w:trHeight w:val="225"/>
        </w:trPr>
        <w:tc>
          <w:tcPr>
            <w:tcW w:w="520" w:type="dxa"/>
            <w:tcBorders>
              <w:top w:val="nil"/>
              <w:left w:val="single" w:sz="4" w:space="0" w:color="000000"/>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17</w:t>
            </w:r>
          </w:p>
        </w:tc>
        <w:tc>
          <w:tcPr>
            <w:tcW w:w="278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04/108H.5/C6.4.1/025/2015</w:t>
            </w:r>
          </w:p>
        </w:tc>
        <w:tc>
          <w:tcPr>
            <w:tcW w:w="21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OSCAR BOLAÑOS MORALES</w:t>
            </w:r>
          </w:p>
        </w:tc>
        <w:tc>
          <w:tcPr>
            <w:tcW w:w="15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18/05/2015</w:t>
            </w:r>
          </w:p>
        </w:tc>
      </w:tr>
      <w:tr w:rsidR="00CB0BAD" w:rsidRPr="00CB0BAD" w:rsidTr="00CB0BAD">
        <w:trPr>
          <w:trHeight w:val="450"/>
        </w:trPr>
        <w:tc>
          <w:tcPr>
            <w:tcW w:w="520" w:type="dxa"/>
            <w:tcBorders>
              <w:top w:val="nil"/>
              <w:left w:val="single" w:sz="4" w:space="0" w:color="000000"/>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18</w:t>
            </w:r>
          </w:p>
        </w:tc>
        <w:tc>
          <w:tcPr>
            <w:tcW w:w="278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04/108H.1/C6.4.1/026/2015</w:t>
            </w:r>
          </w:p>
        </w:tc>
        <w:tc>
          <w:tcPr>
            <w:tcW w:w="21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GONSALO ALEJANDRO PÉREZ IBAÑES</w:t>
            </w:r>
          </w:p>
        </w:tc>
        <w:tc>
          <w:tcPr>
            <w:tcW w:w="15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 </w:t>
            </w:r>
          </w:p>
        </w:tc>
        <w:tc>
          <w:tcPr>
            <w:tcW w:w="146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26/06/2015</w:t>
            </w:r>
          </w:p>
        </w:tc>
      </w:tr>
      <w:tr w:rsidR="00CB0BAD" w:rsidRPr="00CB0BAD" w:rsidTr="00CB0BAD">
        <w:trPr>
          <w:trHeight w:val="225"/>
        </w:trPr>
        <w:tc>
          <w:tcPr>
            <w:tcW w:w="520" w:type="dxa"/>
            <w:tcBorders>
              <w:top w:val="nil"/>
              <w:left w:val="single" w:sz="4" w:space="0" w:color="000000"/>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19</w:t>
            </w:r>
          </w:p>
        </w:tc>
        <w:tc>
          <w:tcPr>
            <w:tcW w:w="278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04/108H.1/C6.4.1/027/2015</w:t>
            </w:r>
          </w:p>
        </w:tc>
        <w:tc>
          <w:tcPr>
            <w:tcW w:w="21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VICENTE VILLALOBOS</w:t>
            </w:r>
          </w:p>
        </w:tc>
        <w:tc>
          <w:tcPr>
            <w:tcW w:w="15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 </w:t>
            </w:r>
          </w:p>
        </w:tc>
        <w:tc>
          <w:tcPr>
            <w:tcW w:w="146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26/06/2015</w:t>
            </w:r>
          </w:p>
        </w:tc>
      </w:tr>
      <w:tr w:rsidR="00CB0BAD" w:rsidRPr="00CB0BAD" w:rsidTr="00CB0BAD">
        <w:trPr>
          <w:trHeight w:val="225"/>
        </w:trPr>
        <w:tc>
          <w:tcPr>
            <w:tcW w:w="520" w:type="dxa"/>
            <w:tcBorders>
              <w:top w:val="nil"/>
              <w:left w:val="single" w:sz="4" w:space="0" w:color="000000"/>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20</w:t>
            </w:r>
          </w:p>
        </w:tc>
        <w:tc>
          <w:tcPr>
            <w:tcW w:w="278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04/108H.1/C6.4.1/28/2015</w:t>
            </w:r>
          </w:p>
        </w:tc>
        <w:tc>
          <w:tcPr>
            <w:tcW w:w="21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MARGARITA PÉREZ MAYA</w:t>
            </w:r>
          </w:p>
        </w:tc>
        <w:tc>
          <w:tcPr>
            <w:tcW w:w="15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 </w:t>
            </w:r>
          </w:p>
        </w:tc>
        <w:tc>
          <w:tcPr>
            <w:tcW w:w="146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06/06/2015</w:t>
            </w:r>
          </w:p>
        </w:tc>
      </w:tr>
      <w:tr w:rsidR="00CB0BAD" w:rsidRPr="00CB0BAD" w:rsidTr="00CB0BAD">
        <w:trPr>
          <w:trHeight w:val="225"/>
        </w:trPr>
        <w:tc>
          <w:tcPr>
            <w:tcW w:w="520" w:type="dxa"/>
            <w:tcBorders>
              <w:top w:val="nil"/>
              <w:left w:val="single" w:sz="4" w:space="0" w:color="000000"/>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21</w:t>
            </w:r>
          </w:p>
        </w:tc>
        <w:tc>
          <w:tcPr>
            <w:tcW w:w="278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04/108H.5/C6.4.2/023/2015</w:t>
            </w:r>
          </w:p>
        </w:tc>
        <w:tc>
          <w:tcPr>
            <w:tcW w:w="21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ANGEL J.R. LÓPEZ CABRERA</w:t>
            </w:r>
          </w:p>
        </w:tc>
        <w:tc>
          <w:tcPr>
            <w:tcW w:w="15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$19,314.00</w:t>
            </w:r>
          </w:p>
        </w:tc>
        <w:tc>
          <w:tcPr>
            <w:tcW w:w="146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12/05/2015</w:t>
            </w:r>
          </w:p>
        </w:tc>
      </w:tr>
      <w:tr w:rsidR="00CB0BAD" w:rsidRPr="00CB0BAD" w:rsidTr="00CB0BAD">
        <w:trPr>
          <w:trHeight w:val="450"/>
        </w:trPr>
        <w:tc>
          <w:tcPr>
            <w:tcW w:w="520" w:type="dxa"/>
            <w:tcBorders>
              <w:top w:val="nil"/>
              <w:left w:val="single" w:sz="4" w:space="0" w:color="000000"/>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22</w:t>
            </w:r>
          </w:p>
        </w:tc>
        <w:tc>
          <w:tcPr>
            <w:tcW w:w="278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04/108H.5/C6.4.2/023/2015</w:t>
            </w:r>
          </w:p>
        </w:tc>
        <w:tc>
          <w:tcPr>
            <w:tcW w:w="21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3A3427"/>
                <w:sz w:val="16"/>
                <w:szCs w:val="16"/>
                <w:lang w:val="es-MX" w:eastAsia="es-MX"/>
              </w:rPr>
            </w:pPr>
            <w:r w:rsidRPr="00CB0BAD">
              <w:rPr>
                <w:rFonts w:ascii="Calibri" w:hAnsi="Calibri"/>
                <w:color w:val="3A3427"/>
                <w:sz w:val="16"/>
                <w:szCs w:val="16"/>
                <w:lang w:val="es-ES_tradnl" w:eastAsia="es-MX"/>
              </w:rPr>
              <w:t>MARÍA DE LOURDES LÓPEZ VÁSQUEZ</w:t>
            </w:r>
          </w:p>
        </w:tc>
        <w:tc>
          <w:tcPr>
            <w:tcW w:w="150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$3,823.00</w:t>
            </w:r>
          </w:p>
        </w:tc>
        <w:tc>
          <w:tcPr>
            <w:tcW w:w="1460" w:type="dxa"/>
            <w:tcBorders>
              <w:top w:val="nil"/>
              <w:left w:val="nil"/>
              <w:bottom w:val="single" w:sz="4" w:space="0" w:color="000000"/>
              <w:right w:val="single" w:sz="4" w:space="0" w:color="000000"/>
            </w:tcBorders>
            <w:shd w:val="clear" w:color="000000" w:fill="FFFFFF"/>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26/06/2015</w:t>
            </w:r>
          </w:p>
        </w:tc>
      </w:tr>
    </w:tbl>
    <w:p w:rsidR="00CB0BAD" w:rsidRDefault="002F685D">
      <w:pPr>
        <w:rPr>
          <w:rFonts w:ascii="Arial" w:hAnsi="Arial" w:cs="Arial"/>
          <w:b/>
          <w:spacing w:val="20"/>
        </w:rPr>
      </w:pPr>
      <w:r>
        <w:rPr>
          <w:rFonts w:ascii="Arial" w:hAnsi="Arial" w:cs="Arial"/>
          <w:b/>
          <w:spacing w:val="20"/>
        </w:rPr>
        <w:br w:type="page"/>
      </w:r>
    </w:p>
    <w:p w:rsidR="00CB0BAD" w:rsidRDefault="00CB0BAD">
      <w:pPr>
        <w:rPr>
          <w:rFonts w:ascii="Arial" w:hAnsi="Arial" w:cs="Arial"/>
          <w:b/>
          <w:spacing w:val="20"/>
        </w:rPr>
      </w:pPr>
    </w:p>
    <w:p w:rsidR="00CB0BAD" w:rsidRDefault="00CB0BAD">
      <w:pPr>
        <w:rPr>
          <w:rFonts w:ascii="Arial" w:hAnsi="Arial" w:cs="Arial"/>
          <w:b/>
          <w:spacing w:val="20"/>
        </w:rPr>
      </w:pPr>
    </w:p>
    <w:tbl>
      <w:tblPr>
        <w:tblW w:w="9580" w:type="dxa"/>
        <w:tblInd w:w="51" w:type="dxa"/>
        <w:tblCellMar>
          <w:left w:w="70" w:type="dxa"/>
          <w:right w:w="70" w:type="dxa"/>
        </w:tblCellMar>
        <w:tblLook w:val="04A0"/>
      </w:tblPr>
      <w:tblGrid>
        <w:gridCol w:w="490"/>
        <w:gridCol w:w="2780"/>
        <w:gridCol w:w="2100"/>
        <w:gridCol w:w="1500"/>
        <w:gridCol w:w="1460"/>
        <w:gridCol w:w="1250"/>
      </w:tblGrid>
      <w:tr w:rsidR="00CB0BAD" w:rsidRPr="00CB0BAD" w:rsidTr="00CB0BAD">
        <w:trPr>
          <w:trHeight w:val="225"/>
        </w:trPr>
        <w:tc>
          <w:tcPr>
            <w:tcW w:w="9580" w:type="dxa"/>
            <w:gridSpan w:val="6"/>
            <w:tcBorders>
              <w:top w:val="nil"/>
              <w:left w:val="nil"/>
              <w:bottom w:val="nil"/>
            </w:tcBorders>
            <w:shd w:val="clear" w:color="000000" w:fill="FFFFFF"/>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DEPARTAMENTO DE JUICIOS Y RECURSOS</w:t>
            </w:r>
          </w:p>
        </w:tc>
      </w:tr>
      <w:tr w:rsidR="00CB0BAD" w:rsidRPr="00CB0BAD" w:rsidTr="00CB0BAD">
        <w:trPr>
          <w:trHeight w:val="225"/>
        </w:trPr>
        <w:tc>
          <w:tcPr>
            <w:tcW w:w="9580" w:type="dxa"/>
            <w:gridSpan w:val="6"/>
            <w:tcBorders>
              <w:top w:val="nil"/>
              <w:left w:val="nil"/>
              <w:bottom w:val="single" w:sz="4" w:space="0" w:color="000000"/>
            </w:tcBorders>
            <w:shd w:val="clear" w:color="000000" w:fill="FFFFFF"/>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JUICIOS DE NULIDAD EN MATERIA FISCAL</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NÚM</w:t>
            </w:r>
          </w:p>
        </w:tc>
        <w:tc>
          <w:tcPr>
            <w:tcW w:w="2780" w:type="dxa"/>
            <w:tcBorders>
              <w:top w:val="nil"/>
              <w:left w:val="nil"/>
              <w:bottom w:val="single" w:sz="4" w:space="0" w:color="000000"/>
              <w:right w:val="single" w:sz="4" w:space="0" w:color="000000"/>
            </w:tcBorders>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EXPEDIENTE</w:t>
            </w:r>
          </w:p>
        </w:tc>
        <w:tc>
          <w:tcPr>
            <w:tcW w:w="2100" w:type="dxa"/>
            <w:tcBorders>
              <w:top w:val="nil"/>
              <w:left w:val="nil"/>
              <w:bottom w:val="single" w:sz="4" w:space="0" w:color="000000"/>
              <w:right w:val="single" w:sz="4" w:space="0" w:color="000000"/>
            </w:tcBorders>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ACTOR</w:t>
            </w:r>
          </w:p>
        </w:tc>
        <w:tc>
          <w:tcPr>
            <w:tcW w:w="1500" w:type="dxa"/>
            <w:tcBorders>
              <w:top w:val="nil"/>
              <w:left w:val="nil"/>
              <w:bottom w:val="single" w:sz="4" w:space="0" w:color="000000"/>
              <w:right w:val="single" w:sz="4" w:space="0" w:color="000000"/>
            </w:tcBorders>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MONTO</w:t>
            </w:r>
          </w:p>
        </w:tc>
        <w:tc>
          <w:tcPr>
            <w:tcW w:w="1460" w:type="dxa"/>
            <w:tcBorders>
              <w:top w:val="nil"/>
              <w:left w:val="nil"/>
              <w:bottom w:val="single" w:sz="4" w:space="0" w:color="000000"/>
              <w:right w:val="single" w:sz="4" w:space="0" w:color="000000"/>
            </w:tcBorders>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FECHA DE EMPLAZAMIENTO</w:t>
            </w:r>
          </w:p>
        </w:tc>
        <w:tc>
          <w:tcPr>
            <w:tcW w:w="1250" w:type="dxa"/>
            <w:tcBorders>
              <w:top w:val="nil"/>
              <w:left w:val="nil"/>
              <w:bottom w:val="single" w:sz="4" w:space="0" w:color="000000"/>
              <w:right w:val="single" w:sz="4" w:space="0" w:color="000000"/>
            </w:tcBorders>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SENTIDO DE LAS SENTENCIAS</w:t>
            </w:r>
          </w:p>
        </w:tc>
      </w:tr>
    </w:tbl>
    <w:p w:rsidR="00CB0BAD" w:rsidRDefault="00CB0BAD"/>
    <w:tbl>
      <w:tblPr>
        <w:tblW w:w="9580" w:type="dxa"/>
        <w:tblInd w:w="51" w:type="dxa"/>
        <w:tblCellMar>
          <w:left w:w="70" w:type="dxa"/>
          <w:right w:w="70" w:type="dxa"/>
        </w:tblCellMar>
        <w:tblLook w:val="04A0"/>
      </w:tblPr>
      <w:tblGrid>
        <w:gridCol w:w="490"/>
        <w:gridCol w:w="2780"/>
        <w:gridCol w:w="2100"/>
        <w:gridCol w:w="1500"/>
        <w:gridCol w:w="1460"/>
        <w:gridCol w:w="1250"/>
      </w:tblGrid>
      <w:tr w:rsidR="00CB0BAD" w:rsidRPr="00CB0BAD" w:rsidTr="00CB0BAD">
        <w:trPr>
          <w:trHeight w:val="675"/>
        </w:trPr>
        <w:tc>
          <w:tcPr>
            <w:tcW w:w="490" w:type="dxa"/>
            <w:tcBorders>
              <w:top w:val="single" w:sz="4" w:space="0" w:color="000000"/>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w:t>
            </w:r>
          </w:p>
        </w:tc>
        <w:tc>
          <w:tcPr>
            <w:tcW w:w="278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A22CBC" w:rsidP="00CB0BAD">
            <w:pPr>
              <w:jc w:val="center"/>
              <w:rPr>
                <w:rFonts w:ascii="Calibri" w:hAnsi="Calibri"/>
                <w:sz w:val="16"/>
                <w:szCs w:val="16"/>
                <w:u w:val="single"/>
                <w:lang w:val="es-MX" w:eastAsia="es-MX"/>
              </w:rPr>
            </w:pPr>
            <w:hyperlink r:id="rId40" w:anchor="'RR FEDERALES'!S438" w:history="1">
              <w:r w:rsidR="00CB0BAD" w:rsidRPr="00CB0BAD">
                <w:rPr>
                  <w:rFonts w:ascii="Calibri" w:hAnsi="Calibri"/>
                  <w:sz w:val="16"/>
                  <w:u w:val="single"/>
                  <w:lang w:val="es-ES_tradnl" w:eastAsia="es-MX"/>
                </w:rPr>
                <w:t>04/108H.5/C6.3.2/155/15-15-01-8</w:t>
              </w:r>
            </w:hyperlink>
          </w:p>
        </w:tc>
        <w:tc>
          <w:tcPr>
            <w:tcW w:w="210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FRANCISCO SANDRO BAUTISTA PELAEZ</w:t>
            </w:r>
          </w:p>
        </w:tc>
        <w:tc>
          <w:tcPr>
            <w:tcW w:w="150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$13,720.00</w:t>
            </w:r>
          </w:p>
        </w:tc>
        <w:tc>
          <w:tcPr>
            <w:tcW w:w="146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04/02/2015.</w:t>
            </w:r>
          </w:p>
        </w:tc>
        <w:tc>
          <w:tcPr>
            <w:tcW w:w="125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VALIDEZ DE LA RESOLUCIÓN IMPUGNADA.</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A22CBC" w:rsidP="00CB0BAD">
            <w:pPr>
              <w:jc w:val="center"/>
              <w:rPr>
                <w:rFonts w:ascii="Calibri" w:hAnsi="Calibri"/>
                <w:sz w:val="16"/>
                <w:szCs w:val="16"/>
                <w:u w:val="single"/>
                <w:lang w:val="es-MX" w:eastAsia="es-MX"/>
              </w:rPr>
            </w:pPr>
            <w:hyperlink r:id="rId41" w:anchor="Hoja2!S431" w:history="1">
              <w:r w:rsidR="00CB0BAD" w:rsidRPr="00CB0BAD">
                <w:rPr>
                  <w:rFonts w:ascii="Calibri" w:hAnsi="Calibri"/>
                  <w:sz w:val="16"/>
                  <w:u w:val="single"/>
                  <w:lang w:val="es-ES_tradnl" w:eastAsia="es-MX"/>
                </w:rPr>
                <w:t>04/108H.5/C6.3.2/48/15-15-01-9</w:t>
              </w:r>
            </w:hyperlink>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EDITH FELIPA GUZMÁN HERNÁNDEZ</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$12,070.00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20/01/2015.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67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04/108H.5/C6.3.2/181/15-15-01-7</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CONSTRUCTORES Y TUBERÍAS TORRES JARQUÍN,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$13,720.00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21/02/2015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4</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04/108H.5/C6.3.2/295/15-15-01-9</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HIDROCARBUROS DE LA MIXTECA,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$1,006,800.92</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06/03/2015.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67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5</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04/108H.5/C6.3.2/282/15-15-01-10</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CONSTRUCCIONES AMBIENTALES H.C.,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$2´352,167.00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10/03/2015.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112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6</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04/108H.5/C6.3.2/254/15-15-01-3</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CORPORATIVO DE SERVICIOS ESPECIALIZADOS JURÍDICOS CONTABLES, S.C.</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$13,720.00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04/03/2015.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112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7</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04/108H.5/C6.3.2/453/15-15-01-9</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CARMEN DE LA LUZ SOLEDAD NERI CARRASCO</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$5,096.00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23/03/2015.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NULIDAD LISA Y LLANA TANTO DE LA RESOLUCIÓN IMPUGNADA.</w:t>
            </w:r>
          </w:p>
        </w:tc>
      </w:tr>
      <w:tr w:rsidR="00CB0BAD" w:rsidRPr="00CB0BAD" w:rsidTr="00CB0BAD">
        <w:trPr>
          <w:trHeight w:val="67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8</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04/108H.5/C6.3.2/483/15-15-01-3</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SI QUIERES AHORRAR EN FERRETERÍA SERNA DEBES COMPRAR,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$13,720.00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27/03/2015.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9</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04/108H.5/C6.3.2/137/15-15-01-5</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FERNANDO HERNANDEZ ENRIQUEZ</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$41,170.00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22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10</w:t>
            </w:r>
          </w:p>
        </w:tc>
        <w:tc>
          <w:tcPr>
            <w:tcW w:w="278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04/108H.5/C6.3.2/230/15-15-01-9</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ISMAEL CRUZ MEJIA</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$3,907,366.00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17/02/2015.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90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11</w:t>
            </w:r>
          </w:p>
        </w:tc>
        <w:tc>
          <w:tcPr>
            <w:tcW w:w="278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04/108H.5/C6.3.2/168/15-15-01-6</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SUMINISTROS Y MANTENIMIENTOS ESPECIALIZADOS,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$318,434.80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04/02/2015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12</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04/108H.5/C6.3.2/175/15-15-01-4</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CLAUDIA FABIOLA MUÑOZ TORRES</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$9´104,934.76</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06/02/2015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13</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04/108H.5/C6.3.2/273/15-15-01-7</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LUIS VILLALOBOS FERNANDO</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$6´824,688.21</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10/03/2015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67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14</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04/108H.5/C6.3.2/298/15-15-01-5</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PRODUCTOS FORESTALES LA ASUNCION,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$30,278,771.28</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10/03/2015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15</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04/108H.5/C6.3.2/547/15-15-01-6</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SERVICIOS ZICATELA,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$15,148.00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17/04/2015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bl>
    <w:p w:rsidR="00CB0BAD" w:rsidRDefault="00CB0BAD"/>
    <w:tbl>
      <w:tblPr>
        <w:tblW w:w="9580" w:type="dxa"/>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tblPr>
      <w:tblGrid>
        <w:gridCol w:w="490"/>
        <w:gridCol w:w="2780"/>
        <w:gridCol w:w="2100"/>
        <w:gridCol w:w="1500"/>
        <w:gridCol w:w="1460"/>
        <w:gridCol w:w="1250"/>
      </w:tblGrid>
      <w:tr w:rsidR="00CB0BAD" w:rsidRPr="00CB0BAD" w:rsidTr="00CB0BAD">
        <w:trPr>
          <w:trHeight w:val="450"/>
        </w:trPr>
        <w:tc>
          <w:tcPr>
            <w:tcW w:w="490" w:type="dxa"/>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NÚM</w:t>
            </w:r>
          </w:p>
        </w:tc>
        <w:tc>
          <w:tcPr>
            <w:tcW w:w="2780" w:type="dxa"/>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EXPEDIENTE</w:t>
            </w:r>
          </w:p>
        </w:tc>
        <w:tc>
          <w:tcPr>
            <w:tcW w:w="2100" w:type="dxa"/>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ACTOR</w:t>
            </w:r>
          </w:p>
        </w:tc>
        <w:tc>
          <w:tcPr>
            <w:tcW w:w="1500" w:type="dxa"/>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MONTO</w:t>
            </w:r>
          </w:p>
        </w:tc>
        <w:tc>
          <w:tcPr>
            <w:tcW w:w="1460" w:type="dxa"/>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FECHA DE EMPLAZAMIENTO</w:t>
            </w:r>
          </w:p>
        </w:tc>
        <w:tc>
          <w:tcPr>
            <w:tcW w:w="1250" w:type="dxa"/>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SENTIDO DE LAS SENTENCIAS</w:t>
            </w:r>
          </w:p>
        </w:tc>
      </w:tr>
    </w:tbl>
    <w:p w:rsidR="00CB0BAD" w:rsidRDefault="00CB0BAD" w:rsidP="00CB0BAD"/>
    <w:tbl>
      <w:tblPr>
        <w:tblW w:w="9580" w:type="dxa"/>
        <w:tblInd w:w="51" w:type="dxa"/>
        <w:tblCellMar>
          <w:left w:w="70" w:type="dxa"/>
          <w:right w:w="70" w:type="dxa"/>
        </w:tblCellMar>
        <w:tblLook w:val="04A0"/>
      </w:tblPr>
      <w:tblGrid>
        <w:gridCol w:w="490"/>
        <w:gridCol w:w="2780"/>
        <w:gridCol w:w="2100"/>
        <w:gridCol w:w="1500"/>
        <w:gridCol w:w="1460"/>
        <w:gridCol w:w="1250"/>
      </w:tblGrid>
      <w:tr w:rsidR="00CB0BAD" w:rsidRPr="00CB0BAD" w:rsidTr="00CB0BAD">
        <w:trPr>
          <w:trHeight w:val="450"/>
        </w:trPr>
        <w:tc>
          <w:tcPr>
            <w:tcW w:w="490" w:type="dxa"/>
            <w:tcBorders>
              <w:top w:val="single" w:sz="4" w:space="0" w:color="000000"/>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16</w:t>
            </w:r>
          </w:p>
        </w:tc>
        <w:tc>
          <w:tcPr>
            <w:tcW w:w="278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04/108H.5/C6.3.2/173/15-15-01-2</w:t>
            </w:r>
          </w:p>
        </w:tc>
        <w:tc>
          <w:tcPr>
            <w:tcW w:w="210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INGENIERÍA DE SERVICIOS DATA, S.A. DE C.V.</w:t>
            </w:r>
          </w:p>
        </w:tc>
        <w:tc>
          <w:tcPr>
            <w:tcW w:w="150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c>
          <w:tcPr>
            <w:tcW w:w="146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19/02/2015</w:t>
            </w:r>
          </w:p>
        </w:tc>
        <w:tc>
          <w:tcPr>
            <w:tcW w:w="125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17</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04/108H.5/C6.3.2/509/15-15-01-9</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GRUAS Y MANIOBRAS DEL ISTMO,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17/04/2015.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18</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04/108H.5/C6.3.2/513/15-15-01-5</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SERVICIOS DE SALUD DE OAXACA</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$610,274.00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08/04/2015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19</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04/108H.5/C6.3.2/447/15-15-01-6</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COMISIÓN FEDERAL DE ELECTRICIDAD</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23/03/2015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22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20</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A22CBC" w:rsidP="00CB0BAD">
            <w:pPr>
              <w:jc w:val="center"/>
              <w:rPr>
                <w:rFonts w:ascii="Calibri" w:hAnsi="Calibri"/>
                <w:sz w:val="16"/>
                <w:szCs w:val="16"/>
                <w:u w:val="single"/>
                <w:lang w:val="es-MX" w:eastAsia="es-MX"/>
              </w:rPr>
            </w:pPr>
            <w:hyperlink r:id="rId42" w:anchor="'RR FEDERALES'!S451" w:history="1">
              <w:r w:rsidR="00CB0BAD" w:rsidRPr="00CB0BAD">
                <w:rPr>
                  <w:rFonts w:ascii="Calibri" w:hAnsi="Calibri"/>
                  <w:sz w:val="16"/>
                  <w:u w:val="single"/>
                  <w:lang w:val="es-ES_tradnl" w:eastAsia="es-MX"/>
                </w:rPr>
                <w:t>04/108H.5/C6.3.2/565/15-15-01-2</w:t>
              </w:r>
            </w:hyperlink>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JESÚS GÓMEZ MARTÍNEZ</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 xml:space="preserve">$, 460,085.59             </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12/05/2015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67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21</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04/108H.5/C6.3.2/287/15-15-01-7</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PROMACU Y ESPECIALIDADES PARA HOSPITAL,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23/03/2015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22</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04/108H.5/C6.3.2/400/15-15-01-7</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SANTOS HERRERA ERASTO GERARDO GUADALUPE</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$2,279,196.00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05/06/2015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23</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04/108H.5/C6.3.2/410/15-15-01-7</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COMISIÓN FEDERAL DE ELECTRICIDAD</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$5,043.00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24/03/2015.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67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24</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04/108H.5/C6.3.2/452/15-15-01-8</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PROYECTOS Y CONSTRUCCIONES BIO ABRIL, S.C. DE R.L.</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$1,394,933.46</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23/03/2015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67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25</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04/108H.5/C6.3.2/486/15-15-01-7</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SI QUIERES AHORRAR EN FERRETERÍA SERNA DEBES COMPRAR,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$41,170.00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26</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04/108H.5/C6.3.2/1491/15-06-01-8</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ESTACIÓN DE SERVICIO RUSVI,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29/04/2015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67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27</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04/108H.5/C6.3.2/533/15-15-01-6</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CORPORATIVO PBMG,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$41,170.00        $41,170.00     $13,720.00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VALIDEZ DE LA RESOLUCIÓN IMPUGNADA</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28</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04/108H.5/C6.3.2/624/15-15-01-3</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ALBA BEATRIZ SECUNDINO GONZÁLEZ</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$100,935.00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21/04/2015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29</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04/108H.5/C6.3.2/649/15-15-01-9</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MATERIALES DE HERRERÍA,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$13,570.00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24/06/2015.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30</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04/108H.5/C6.3.2/695/15-15-01-2</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LAMBERTO CORDERO ESCOBAR</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$32,880.00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20/05/2015.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31</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04/108H.5/C6.3.2/671/15-15-01-8</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TECNO INSTALACIONES CERVAL,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$27,437,888.53</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18/05/2015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32</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04/108H.5/C6.3.2/720/15-15-01-8</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INTEGRADORA ISTMEÑA,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$43,170.00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18/05/2015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33</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04/108H.5/C6.3.2/781/15-15-01-2</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URBANIZACIONES SIETE REGIONES,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$15,430.00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08/06/2015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34</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04/108H.5/C6.3.2/800/15-15-01-5</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JUDITH RAMÍREZ CEBALLOS</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$13,570.00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29/05/2015.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67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35</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04/108H.5/C6.3.2/811/15-15-01-2</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CONSTRUCCIONES CIVILES Y MECÁNICA DEL ISTMO,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08/06/2015.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single" w:sz="4" w:space="0" w:color="000000"/>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36</w:t>
            </w:r>
          </w:p>
        </w:tc>
        <w:tc>
          <w:tcPr>
            <w:tcW w:w="278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04/108H.5/C6.3.2/828/15-15-01-1</w:t>
            </w:r>
          </w:p>
        </w:tc>
        <w:tc>
          <w:tcPr>
            <w:tcW w:w="210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SERVICIO COSTA ESMERALDA, S.A. DE C.V.</w:t>
            </w:r>
          </w:p>
        </w:tc>
        <w:tc>
          <w:tcPr>
            <w:tcW w:w="150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$60,000.00</w:t>
            </w:r>
          </w:p>
        </w:tc>
        <w:tc>
          <w:tcPr>
            <w:tcW w:w="146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04/06/2015</w:t>
            </w:r>
          </w:p>
        </w:tc>
        <w:tc>
          <w:tcPr>
            <w:tcW w:w="125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bl>
    <w:p w:rsidR="00CB0BAD" w:rsidRDefault="00CB0BAD"/>
    <w:tbl>
      <w:tblPr>
        <w:tblW w:w="9580" w:type="dxa"/>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tblPr>
      <w:tblGrid>
        <w:gridCol w:w="490"/>
        <w:gridCol w:w="2780"/>
        <w:gridCol w:w="2100"/>
        <w:gridCol w:w="1500"/>
        <w:gridCol w:w="1460"/>
        <w:gridCol w:w="1250"/>
      </w:tblGrid>
      <w:tr w:rsidR="00CB0BAD" w:rsidRPr="00CB0BAD" w:rsidTr="00CB0BAD">
        <w:trPr>
          <w:trHeight w:val="450"/>
        </w:trPr>
        <w:tc>
          <w:tcPr>
            <w:tcW w:w="490" w:type="dxa"/>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NÚM</w:t>
            </w:r>
          </w:p>
        </w:tc>
        <w:tc>
          <w:tcPr>
            <w:tcW w:w="2780" w:type="dxa"/>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EXPEDIENTE</w:t>
            </w:r>
          </w:p>
        </w:tc>
        <w:tc>
          <w:tcPr>
            <w:tcW w:w="2100" w:type="dxa"/>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ACTOR</w:t>
            </w:r>
          </w:p>
        </w:tc>
        <w:tc>
          <w:tcPr>
            <w:tcW w:w="1500" w:type="dxa"/>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MONTO</w:t>
            </w:r>
          </w:p>
        </w:tc>
        <w:tc>
          <w:tcPr>
            <w:tcW w:w="1460" w:type="dxa"/>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FECHA DE EMPLAZAMIENTO</w:t>
            </w:r>
          </w:p>
        </w:tc>
        <w:tc>
          <w:tcPr>
            <w:tcW w:w="1250" w:type="dxa"/>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SENTIDO DE LAS SENTENCIAS</w:t>
            </w:r>
          </w:p>
        </w:tc>
      </w:tr>
    </w:tbl>
    <w:p w:rsidR="00CB0BAD" w:rsidRDefault="00CB0BAD" w:rsidP="00CB0BAD"/>
    <w:tbl>
      <w:tblPr>
        <w:tblW w:w="9580" w:type="dxa"/>
        <w:tblInd w:w="51" w:type="dxa"/>
        <w:tblCellMar>
          <w:left w:w="70" w:type="dxa"/>
          <w:right w:w="70" w:type="dxa"/>
        </w:tblCellMar>
        <w:tblLook w:val="04A0"/>
      </w:tblPr>
      <w:tblGrid>
        <w:gridCol w:w="490"/>
        <w:gridCol w:w="2780"/>
        <w:gridCol w:w="2100"/>
        <w:gridCol w:w="1500"/>
        <w:gridCol w:w="1460"/>
        <w:gridCol w:w="1250"/>
      </w:tblGrid>
      <w:tr w:rsidR="00CB0BAD" w:rsidRPr="00CB0BAD" w:rsidTr="00CB0BAD">
        <w:trPr>
          <w:trHeight w:val="450"/>
        </w:trPr>
        <w:tc>
          <w:tcPr>
            <w:tcW w:w="490" w:type="dxa"/>
            <w:tcBorders>
              <w:top w:val="single" w:sz="4" w:space="0" w:color="000000"/>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37</w:t>
            </w:r>
          </w:p>
        </w:tc>
        <w:tc>
          <w:tcPr>
            <w:tcW w:w="278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04/108H.5/C6.3.2/839/15-15-01-9</w:t>
            </w:r>
          </w:p>
        </w:tc>
        <w:tc>
          <w:tcPr>
            <w:tcW w:w="210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MIGUEL ADÁN CRUZ JIMÉNEZ</w:t>
            </w:r>
          </w:p>
        </w:tc>
        <w:tc>
          <w:tcPr>
            <w:tcW w:w="150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$2,789,480.29</w:t>
            </w:r>
          </w:p>
        </w:tc>
        <w:tc>
          <w:tcPr>
            <w:tcW w:w="146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16/06/2015</w:t>
            </w:r>
          </w:p>
        </w:tc>
        <w:tc>
          <w:tcPr>
            <w:tcW w:w="125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67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38</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04/108H.5/C6.3.2/848/15-15-01-4</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TORO BRAVO PLATANO MACHO, S.C. DE R.L.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12/06/2015.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67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39</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04/108H.5/C6.3.2/400/15-15-01-7</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SANTOS HERRERA ERASTO GERARDO GUADALUPE</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$2,279,196.00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23/03/2015.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VALIDEZ DE LA RESOLUCIÓN IMPUGNADA</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40</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04/108H.5/C6.3.2/410/15-15-01-7</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COMISIÓN FEDERAL DE ELECTRICIDAD.</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$5,043.00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23/03/2015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41</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04/108H.5/C6.3.2/409/15-15-01-3</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n-US" w:eastAsia="es-MX"/>
              </w:rPr>
              <w:t>TYLORD SUPPORT GROUP,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$13,720.00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10/03/2015.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42</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04/108H.5/C6.3.2/425/15-15-01-7</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CONSTRUCTORA MACBETH,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$23,294,502.00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27/03/2015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67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43</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04/108H.5/C6.3.2/453/15-15-01-9</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CARMEN DE LA LUZ SOLEDAD NERI CARRASCO.</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23/03/2015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67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44</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04/108H.5/C6.3.2/511/15-15-01-6</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SI QUIERES AHORRAR EN FERRETERÍA SERNA DEBES COMPRAR,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$13,720.00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12/05/2015.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45</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04/108H.5/C6.3.2/548/15-15-01-5</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SERVICIOS ZICATELA,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$3,925.00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24/04/2015.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46</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04/108H.5/C6.3.2/482/15-15-01-8</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GREENTEK,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$13,720.00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27/03/2015.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90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47</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04/108H.5/C6.3.2/624/15-15-01-3</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ALBA BEATRIZ SECUNDINO GONZÁLEZ</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$100,935.00.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21/04/2015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RECONOCER LA VALIDEZ DE LA RESOLUCIÓN IMPUGNADA.</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48</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04/108H.5/C6.3.2/725/15-15-01-5</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JORGE CANTERO RUIZ</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18/06/2015.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49</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04/108H.5/C6.3.2/764/14-15-01-2</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GRUPO CONSTRUCTOR GARCIAS,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$541,020.75</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12/06/2015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50</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04/108H.5/C6.3.2/8318/15-17-02-3</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TRACTORES NUEVA GENERACIÓN,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15/06/2015.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51</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04/108H.5/C6.3.2/837/15-15-01-8</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n-US" w:eastAsia="es-MX"/>
              </w:rPr>
              <w:t>TYLORD SUPPORT GROUP,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$41,170.00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03/06/2015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52</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04/108H.5/C6.3.2/4831/15-17-10-3</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TRACTORES NUEVA GENERACIÓN,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$42,158.00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21/05/2015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53</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04/108H.5/C6.3.2/30680/14-17-04-4</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VÍCTOR HUGO REYES VÁSQUEZ</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$10,720.00      $32,150.00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09/06/2015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54</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04/108H.5/C6.3.2/839/15-15-0-9</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MIGUEL ADÁN CRUZ JIMÉNEZ</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$2,789,480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09/06/2015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55</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04/108H.5/C6.3.2/918/15-15-01-2</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INFRAESTRUCTURAS XABLEC,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$27,374,886.00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24/06/2015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bl>
    <w:p w:rsidR="00CB0BAD" w:rsidRDefault="00CB0BAD"/>
    <w:tbl>
      <w:tblPr>
        <w:tblW w:w="9580" w:type="dxa"/>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tblPr>
      <w:tblGrid>
        <w:gridCol w:w="490"/>
        <w:gridCol w:w="2780"/>
        <w:gridCol w:w="2100"/>
        <w:gridCol w:w="1500"/>
        <w:gridCol w:w="1460"/>
        <w:gridCol w:w="1250"/>
      </w:tblGrid>
      <w:tr w:rsidR="00CB0BAD" w:rsidRPr="00CB0BAD" w:rsidTr="00CB0BAD">
        <w:trPr>
          <w:trHeight w:val="450"/>
        </w:trPr>
        <w:tc>
          <w:tcPr>
            <w:tcW w:w="490" w:type="dxa"/>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lastRenderedPageBreak/>
              <w:t>NÚM</w:t>
            </w:r>
          </w:p>
        </w:tc>
        <w:tc>
          <w:tcPr>
            <w:tcW w:w="2780" w:type="dxa"/>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EXPEDIENTE</w:t>
            </w:r>
          </w:p>
        </w:tc>
        <w:tc>
          <w:tcPr>
            <w:tcW w:w="2100" w:type="dxa"/>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ACTOR</w:t>
            </w:r>
          </w:p>
        </w:tc>
        <w:tc>
          <w:tcPr>
            <w:tcW w:w="1500" w:type="dxa"/>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MONTO</w:t>
            </w:r>
          </w:p>
        </w:tc>
        <w:tc>
          <w:tcPr>
            <w:tcW w:w="1460" w:type="dxa"/>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FECHA DE EMPLAZAMIENTO</w:t>
            </w:r>
          </w:p>
        </w:tc>
        <w:tc>
          <w:tcPr>
            <w:tcW w:w="1250" w:type="dxa"/>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SENTIDO DE LAS SENTENCIAS</w:t>
            </w:r>
          </w:p>
        </w:tc>
      </w:tr>
    </w:tbl>
    <w:p w:rsidR="00CB0BAD" w:rsidRDefault="00CB0BAD" w:rsidP="00CB0BAD"/>
    <w:tbl>
      <w:tblPr>
        <w:tblW w:w="9580" w:type="dxa"/>
        <w:tblInd w:w="51" w:type="dxa"/>
        <w:tblCellMar>
          <w:left w:w="70" w:type="dxa"/>
          <w:right w:w="70" w:type="dxa"/>
        </w:tblCellMar>
        <w:tblLook w:val="04A0"/>
      </w:tblPr>
      <w:tblGrid>
        <w:gridCol w:w="490"/>
        <w:gridCol w:w="2780"/>
        <w:gridCol w:w="2100"/>
        <w:gridCol w:w="1500"/>
        <w:gridCol w:w="1460"/>
        <w:gridCol w:w="1250"/>
      </w:tblGrid>
      <w:tr w:rsidR="00CB0BAD" w:rsidRPr="00CB0BAD" w:rsidTr="00CB0BAD">
        <w:trPr>
          <w:trHeight w:val="675"/>
        </w:trPr>
        <w:tc>
          <w:tcPr>
            <w:tcW w:w="490" w:type="dxa"/>
            <w:tcBorders>
              <w:top w:val="single" w:sz="4" w:space="0" w:color="000000"/>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56</w:t>
            </w:r>
          </w:p>
        </w:tc>
        <w:tc>
          <w:tcPr>
            <w:tcW w:w="278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04/108H.5/C6.3.2/909/15-15-01-3</w:t>
            </w:r>
          </w:p>
        </w:tc>
        <w:tc>
          <w:tcPr>
            <w:tcW w:w="210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URBANIZACIÓN DE LAS SIETE REGIONES, S.A. DE C.V.</w:t>
            </w:r>
          </w:p>
        </w:tc>
        <w:tc>
          <w:tcPr>
            <w:tcW w:w="150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$46,290.00</w:t>
            </w:r>
          </w:p>
        </w:tc>
        <w:tc>
          <w:tcPr>
            <w:tcW w:w="146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30/06/2015</w:t>
            </w:r>
          </w:p>
        </w:tc>
        <w:tc>
          <w:tcPr>
            <w:tcW w:w="125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97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57</w:t>
            </w:r>
          </w:p>
        </w:tc>
        <w:tc>
          <w:tcPr>
            <w:tcW w:w="278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04/108H.5/C6.3.2/629/15-15-01-9</w:t>
            </w:r>
          </w:p>
        </w:tc>
        <w:tc>
          <w:tcPr>
            <w:tcW w:w="2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EDILBERTO ANTONIO MANZANO MONTERO</w:t>
            </w:r>
          </w:p>
        </w:tc>
        <w:tc>
          <w:tcPr>
            <w:tcW w:w="15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$13,236,184.65</w:t>
            </w:r>
          </w:p>
        </w:tc>
        <w:tc>
          <w:tcPr>
            <w:tcW w:w="14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16/04/2015</w:t>
            </w:r>
          </w:p>
        </w:tc>
        <w:tc>
          <w:tcPr>
            <w:tcW w:w="125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22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58</w:t>
            </w:r>
          </w:p>
        </w:tc>
        <w:tc>
          <w:tcPr>
            <w:tcW w:w="2780" w:type="dxa"/>
            <w:vMerge/>
            <w:tcBorders>
              <w:top w:val="nil"/>
              <w:left w:val="single" w:sz="4" w:space="0" w:color="000000"/>
              <w:bottom w:val="single" w:sz="4" w:space="0" w:color="000000"/>
              <w:right w:val="single" w:sz="4" w:space="0" w:color="000000"/>
            </w:tcBorders>
            <w:vAlign w:val="center"/>
            <w:hideMark/>
          </w:tcPr>
          <w:p w:rsidR="00CB0BAD" w:rsidRPr="00CB0BAD" w:rsidRDefault="00CB0BAD" w:rsidP="00CB0BAD">
            <w:pPr>
              <w:rPr>
                <w:rFonts w:ascii="Calibri" w:hAnsi="Calibri"/>
                <w:color w:val="000000"/>
                <w:sz w:val="16"/>
                <w:szCs w:val="16"/>
                <w:lang w:val="es-MX" w:eastAsia="es-MX"/>
              </w:rPr>
            </w:pPr>
          </w:p>
        </w:tc>
        <w:tc>
          <w:tcPr>
            <w:tcW w:w="2100" w:type="dxa"/>
            <w:vMerge/>
            <w:tcBorders>
              <w:top w:val="nil"/>
              <w:left w:val="single" w:sz="4" w:space="0" w:color="000000"/>
              <w:bottom w:val="single" w:sz="4" w:space="0" w:color="000000"/>
              <w:right w:val="single" w:sz="4" w:space="0" w:color="000000"/>
            </w:tcBorders>
            <w:vAlign w:val="center"/>
            <w:hideMark/>
          </w:tcPr>
          <w:p w:rsidR="00CB0BAD" w:rsidRPr="00CB0BAD" w:rsidRDefault="00CB0BAD" w:rsidP="00CB0BAD">
            <w:pPr>
              <w:rPr>
                <w:rFonts w:ascii="Calibri" w:hAnsi="Calibri"/>
                <w:color w:val="000000"/>
                <w:sz w:val="16"/>
                <w:szCs w:val="16"/>
                <w:lang w:val="es-MX" w:eastAsia="es-MX"/>
              </w:rPr>
            </w:pPr>
          </w:p>
        </w:tc>
        <w:tc>
          <w:tcPr>
            <w:tcW w:w="1500" w:type="dxa"/>
            <w:vMerge/>
            <w:tcBorders>
              <w:top w:val="nil"/>
              <w:left w:val="single" w:sz="4" w:space="0" w:color="000000"/>
              <w:bottom w:val="single" w:sz="4" w:space="0" w:color="000000"/>
              <w:right w:val="single" w:sz="4" w:space="0" w:color="000000"/>
            </w:tcBorders>
            <w:vAlign w:val="center"/>
            <w:hideMark/>
          </w:tcPr>
          <w:p w:rsidR="00CB0BAD" w:rsidRPr="00CB0BAD" w:rsidRDefault="00CB0BAD" w:rsidP="00CB0BAD">
            <w:pPr>
              <w:rPr>
                <w:rFonts w:ascii="Calibri" w:hAnsi="Calibri"/>
                <w:color w:val="000000"/>
                <w:sz w:val="16"/>
                <w:szCs w:val="16"/>
                <w:lang w:val="es-MX" w:eastAsia="es-MX"/>
              </w:rPr>
            </w:pPr>
          </w:p>
        </w:tc>
        <w:tc>
          <w:tcPr>
            <w:tcW w:w="1460" w:type="dxa"/>
            <w:vMerge/>
            <w:tcBorders>
              <w:top w:val="nil"/>
              <w:left w:val="single" w:sz="4" w:space="0" w:color="000000"/>
              <w:bottom w:val="single" w:sz="4" w:space="0" w:color="000000"/>
              <w:right w:val="single" w:sz="4" w:space="0" w:color="000000"/>
            </w:tcBorders>
            <w:vAlign w:val="center"/>
            <w:hideMark/>
          </w:tcPr>
          <w:p w:rsidR="00CB0BAD" w:rsidRPr="00CB0BAD" w:rsidRDefault="00CB0BAD" w:rsidP="00CB0BAD">
            <w:pPr>
              <w:rPr>
                <w:rFonts w:ascii="Calibri" w:hAnsi="Calibri"/>
                <w:color w:val="000000"/>
                <w:sz w:val="16"/>
                <w:szCs w:val="16"/>
                <w:lang w:val="es-MX" w:eastAsia="es-MX"/>
              </w:rPr>
            </w:pPr>
          </w:p>
        </w:tc>
        <w:tc>
          <w:tcPr>
            <w:tcW w:w="1250" w:type="dxa"/>
            <w:vMerge/>
            <w:tcBorders>
              <w:top w:val="nil"/>
              <w:left w:val="single" w:sz="4" w:space="0" w:color="000000"/>
              <w:bottom w:val="single" w:sz="4" w:space="0" w:color="000000"/>
              <w:right w:val="single" w:sz="4" w:space="0" w:color="000000"/>
            </w:tcBorders>
            <w:vAlign w:val="center"/>
            <w:hideMark/>
          </w:tcPr>
          <w:p w:rsidR="00CB0BAD" w:rsidRPr="00CB0BAD" w:rsidRDefault="00CB0BAD" w:rsidP="00CB0BAD">
            <w:pPr>
              <w:rPr>
                <w:rFonts w:ascii="Calibri" w:hAnsi="Calibri"/>
                <w:color w:val="000000"/>
                <w:sz w:val="16"/>
                <w:szCs w:val="16"/>
                <w:lang w:val="es-MX" w:eastAsia="es-MX"/>
              </w:rPr>
            </w:pP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59</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04/108H.5/C6.3.2/540/15-15-01-9</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n-US" w:eastAsia="es-MX"/>
              </w:rPr>
              <w:t>EZPAW MANAGEMENT,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17/04/2015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60</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04/108H.5/C6.3.2/650/15-15-01-3</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JUAN LUIS LESCAS AGUILAR</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14/05/2015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97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61</w:t>
            </w:r>
          </w:p>
        </w:tc>
        <w:tc>
          <w:tcPr>
            <w:tcW w:w="278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04/108H.5/C6.3.2/700/15-15-01-8</w:t>
            </w:r>
          </w:p>
        </w:tc>
        <w:tc>
          <w:tcPr>
            <w:tcW w:w="2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CONSTRUCTORA YARETZI, S.A. DE C.V.</w:t>
            </w:r>
          </w:p>
        </w:tc>
        <w:tc>
          <w:tcPr>
            <w:tcW w:w="15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26/05/2015</w:t>
            </w:r>
          </w:p>
        </w:tc>
        <w:tc>
          <w:tcPr>
            <w:tcW w:w="125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22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62</w:t>
            </w:r>
          </w:p>
        </w:tc>
        <w:tc>
          <w:tcPr>
            <w:tcW w:w="2780" w:type="dxa"/>
            <w:vMerge/>
            <w:tcBorders>
              <w:top w:val="nil"/>
              <w:left w:val="single" w:sz="4" w:space="0" w:color="000000"/>
              <w:bottom w:val="single" w:sz="4" w:space="0" w:color="000000"/>
              <w:right w:val="single" w:sz="4" w:space="0" w:color="000000"/>
            </w:tcBorders>
            <w:vAlign w:val="center"/>
            <w:hideMark/>
          </w:tcPr>
          <w:p w:rsidR="00CB0BAD" w:rsidRPr="00CB0BAD" w:rsidRDefault="00CB0BAD" w:rsidP="00CB0BAD">
            <w:pPr>
              <w:rPr>
                <w:rFonts w:ascii="Calibri" w:hAnsi="Calibri"/>
                <w:color w:val="000000"/>
                <w:sz w:val="16"/>
                <w:szCs w:val="16"/>
                <w:lang w:val="es-MX" w:eastAsia="es-MX"/>
              </w:rPr>
            </w:pPr>
          </w:p>
        </w:tc>
        <w:tc>
          <w:tcPr>
            <w:tcW w:w="2100" w:type="dxa"/>
            <w:vMerge/>
            <w:tcBorders>
              <w:top w:val="nil"/>
              <w:left w:val="single" w:sz="4" w:space="0" w:color="000000"/>
              <w:bottom w:val="single" w:sz="4" w:space="0" w:color="000000"/>
              <w:right w:val="single" w:sz="4" w:space="0" w:color="000000"/>
            </w:tcBorders>
            <w:vAlign w:val="center"/>
            <w:hideMark/>
          </w:tcPr>
          <w:p w:rsidR="00CB0BAD" w:rsidRPr="00CB0BAD" w:rsidRDefault="00CB0BAD" w:rsidP="00CB0BAD">
            <w:pPr>
              <w:rPr>
                <w:rFonts w:ascii="Calibri" w:hAnsi="Calibri"/>
                <w:color w:val="000000"/>
                <w:sz w:val="16"/>
                <w:szCs w:val="16"/>
                <w:lang w:val="es-MX" w:eastAsia="es-MX"/>
              </w:rPr>
            </w:pPr>
          </w:p>
        </w:tc>
        <w:tc>
          <w:tcPr>
            <w:tcW w:w="1500" w:type="dxa"/>
            <w:vMerge/>
            <w:tcBorders>
              <w:top w:val="nil"/>
              <w:left w:val="single" w:sz="4" w:space="0" w:color="000000"/>
              <w:bottom w:val="single" w:sz="4" w:space="0" w:color="000000"/>
              <w:right w:val="single" w:sz="4" w:space="0" w:color="000000"/>
            </w:tcBorders>
            <w:vAlign w:val="center"/>
            <w:hideMark/>
          </w:tcPr>
          <w:p w:rsidR="00CB0BAD" w:rsidRPr="00CB0BAD" w:rsidRDefault="00CB0BAD" w:rsidP="00CB0BAD">
            <w:pPr>
              <w:rPr>
                <w:rFonts w:ascii="Calibri" w:hAnsi="Calibri"/>
                <w:color w:val="000000"/>
                <w:sz w:val="16"/>
                <w:szCs w:val="16"/>
                <w:lang w:val="es-MX" w:eastAsia="es-MX"/>
              </w:rPr>
            </w:pPr>
          </w:p>
        </w:tc>
        <w:tc>
          <w:tcPr>
            <w:tcW w:w="1460" w:type="dxa"/>
            <w:vMerge/>
            <w:tcBorders>
              <w:top w:val="nil"/>
              <w:left w:val="single" w:sz="4" w:space="0" w:color="000000"/>
              <w:bottom w:val="single" w:sz="4" w:space="0" w:color="000000"/>
              <w:right w:val="single" w:sz="4" w:space="0" w:color="000000"/>
            </w:tcBorders>
            <w:vAlign w:val="center"/>
            <w:hideMark/>
          </w:tcPr>
          <w:p w:rsidR="00CB0BAD" w:rsidRPr="00CB0BAD" w:rsidRDefault="00CB0BAD" w:rsidP="00CB0BAD">
            <w:pPr>
              <w:rPr>
                <w:rFonts w:ascii="Calibri" w:hAnsi="Calibri"/>
                <w:color w:val="000000"/>
                <w:sz w:val="16"/>
                <w:szCs w:val="16"/>
                <w:lang w:val="es-MX" w:eastAsia="es-MX"/>
              </w:rPr>
            </w:pPr>
          </w:p>
        </w:tc>
        <w:tc>
          <w:tcPr>
            <w:tcW w:w="1250" w:type="dxa"/>
            <w:vMerge/>
            <w:tcBorders>
              <w:top w:val="nil"/>
              <w:left w:val="single" w:sz="4" w:space="0" w:color="000000"/>
              <w:bottom w:val="single" w:sz="4" w:space="0" w:color="000000"/>
              <w:right w:val="single" w:sz="4" w:space="0" w:color="000000"/>
            </w:tcBorders>
            <w:vAlign w:val="center"/>
            <w:hideMark/>
          </w:tcPr>
          <w:p w:rsidR="00CB0BAD" w:rsidRPr="00CB0BAD" w:rsidRDefault="00CB0BAD" w:rsidP="00CB0BAD">
            <w:pPr>
              <w:rPr>
                <w:rFonts w:ascii="Calibri" w:hAnsi="Calibri"/>
                <w:color w:val="000000"/>
                <w:sz w:val="16"/>
                <w:szCs w:val="16"/>
                <w:lang w:val="es-MX" w:eastAsia="es-MX"/>
              </w:rPr>
            </w:pP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63</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04/108H.5/C6.3.2/797/15-15-01-9</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TIENDAS CHEDRAHUI,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01/06/2015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64</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04/108H.5/C6.3.2/865/15-15-01-2</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SERVICIOS DE SALUD DE OAXACA</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16/06/2015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65</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04/108H.5/C6.3.2/864/15-15-01-6</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HOMBRES TRABAJANDO,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$290,333,600.04</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16/06/2015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66</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04/108H.5/C6.3.2/421/15-15-01-3</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MARÍA SEGURA GÓMEZ</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$3´070,711.00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16/07/2015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67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67</w:t>
            </w:r>
          </w:p>
        </w:tc>
        <w:tc>
          <w:tcPr>
            <w:tcW w:w="278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04/108H.5/C6.3.2/217/15-15-01-4</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CONSTRUCCIONES Y TUBERÍAS TORRES JARQUÍN, S.A. DE C.V.</w:t>
            </w:r>
          </w:p>
        </w:tc>
        <w:tc>
          <w:tcPr>
            <w:tcW w:w="150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$41,170.00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27/02/2015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22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68</w:t>
            </w:r>
          </w:p>
        </w:tc>
        <w:tc>
          <w:tcPr>
            <w:tcW w:w="278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04/108H.5/C6.3.2/220/15-15-01-5</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MICTLAN, S.A. DE C.V.</w:t>
            </w:r>
          </w:p>
        </w:tc>
        <w:tc>
          <w:tcPr>
            <w:tcW w:w="150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$4´378,060.33</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16/02/2015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22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69</w:t>
            </w:r>
          </w:p>
        </w:tc>
        <w:tc>
          <w:tcPr>
            <w:tcW w:w="278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04/108H.5/C6.3.2/253/15-15-01-5</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SINDICATO PATRONAL</w:t>
            </w:r>
          </w:p>
        </w:tc>
        <w:tc>
          <w:tcPr>
            <w:tcW w:w="150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$13,720.00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04/03/2015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22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70</w:t>
            </w:r>
          </w:p>
        </w:tc>
        <w:tc>
          <w:tcPr>
            <w:tcW w:w="278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04/108H.5/C6.3.2/389/15-15-01-1</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ANA LILIA LEÓN CANTÓN</w:t>
            </w:r>
          </w:p>
        </w:tc>
        <w:tc>
          <w:tcPr>
            <w:tcW w:w="150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$12,070.00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06/03/2015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71</w:t>
            </w:r>
          </w:p>
        </w:tc>
        <w:tc>
          <w:tcPr>
            <w:tcW w:w="278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04/108H.5/C6.3.2/427/15-15-01-4</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ESTACIÓN DE SERVICIO DORAMAR, S.A. DE C.V.</w:t>
            </w:r>
          </w:p>
        </w:tc>
        <w:tc>
          <w:tcPr>
            <w:tcW w:w="150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$174,572.15</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12/03/2015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90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72</w:t>
            </w:r>
          </w:p>
        </w:tc>
        <w:tc>
          <w:tcPr>
            <w:tcW w:w="278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04/108H.5/C6.3.2/428/15-15-01-2</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DISTRIBUIDORA DE MATERIALES PARA LA CONSTRUCCIÓN 3 HERMANOS, S.A. DE C.V.</w:t>
            </w:r>
          </w:p>
        </w:tc>
        <w:tc>
          <w:tcPr>
            <w:tcW w:w="150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$1´003,551.24</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03/03/2015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73</w:t>
            </w:r>
          </w:p>
        </w:tc>
        <w:tc>
          <w:tcPr>
            <w:tcW w:w="278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04/108H.5/C6.3.2/698/15-15-01-8</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PROYECTOS CATALONIA, S.A. DE C.V.</w:t>
            </w:r>
          </w:p>
        </w:tc>
        <w:tc>
          <w:tcPr>
            <w:tcW w:w="150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$15,430.00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14/05/2015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74</w:t>
            </w:r>
          </w:p>
        </w:tc>
        <w:tc>
          <w:tcPr>
            <w:tcW w:w="278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04/108H.5/C6.3.2/826/15-15-01-9</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EZEQUIEL TOMAS DÍAZ VÁZQUEZ</w:t>
            </w:r>
          </w:p>
        </w:tc>
        <w:tc>
          <w:tcPr>
            <w:tcW w:w="150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$ 8´726,987.43</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03/06/2015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67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75</w:t>
            </w:r>
          </w:p>
        </w:tc>
        <w:tc>
          <w:tcPr>
            <w:tcW w:w="278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04/108H.5/C6.3.2/2053/14-15-01-5</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ADIFICADORA OAXACAQUEÑA, S.A. DE C.V.</w:t>
            </w:r>
          </w:p>
        </w:tc>
        <w:tc>
          <w:tcPr>
            <w:tcW w:w="150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28/01/2015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22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76</w:t>
            </w:r>
          </w:p>
        </w:tc>
        <w:tc>
          <w:tcPr>
            <w:tcW w:w="278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04/108H.5/C6.3.2/394/15-15-01-2</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MARCELA IZETA GALVÁN</w:t>
            </w:r>
          </w:p>
        </w:tc>
        <w:tc>
          <w:tcPr>
            <w:tcW w:w="150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bl>
    <w:p w:rsidR="00CB0BAD" w:rsidRDefault="00CB0BAD"/>
    <w:p w:rsidR="00CB0BAD" w:rsidRDefault="00CB0BAD"/>
    <w:tbl>
      <w:tblPr>
        <w:tblW w:w="9580" w:type="dxa"/>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tblPr>
      <w:tblGrid>
        <w:gridCol w:w="490"/>
        <w:gridCol w:w="2780"/>
        <w:gridCol w:w="2100"/>
        <w:gridCol w:w="1500"/>
        <w:gridCol w:w="1460"/>
        <w:gridCol w:w="1250"/>
      </w:tblGrid>
      <w:tr w:rsidR="00CB0BAD" w:rsidRPr="00CB0BAD" w:rsidTr="00CB0BAD">
        <w:trPr>
          <w:trHeight w:val="450"/>
        </w:trPr>
        <w:tc>
          <w:tcPr>
            <w:tcW w:w="490" w:type="dxa"/>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NÚM</w:t>
            </w:r>
          </w:p>
        </w:tc>
        <w:tc>
          <w:tcPr>
            <w:tcW w:w="2780" w:type="dxa"/>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EXPEDIENTE</w:t>
            </w:r>
          </w:p>
        </w:tc>
        <w:tc>
          <w:tcPr>
            <w:tcW w:w="2100" w:type="dxa"/>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ACTOR</w:t>
            </w:r>
          </w:p>
        </w:tc>
        <w:tc>
          <w:tcPr>
            <w:tcW w:w="1500" w:type="dxa"/>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MONTO</w:t>
            </w:r>
          </w:p>
        </w:tc>
        <w:tc>
          <w:tcPr>
            <w:tcW w:w="1460" w:type="dxa"/>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FECHA DE EMPLAZAMIENTO</w:t>
            </w:r>
          </w:p>
        </w:tc>
        <w:tc>
          <w:tcPr>
            <w:tcW w:w="1250" w:type="dxa"/>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SENTIDO DE LAS SENTENCIAS</w:t>
            </w:r>
          </w:p>
        </w:tc>
      </w:tr>
    </w:tbl>
    <w:p w:rsidR="00CB0BAD" w:rsidRDefault="00CB0BAD" w:rsidP="00CB0BAD"/>
    <w:tbl>
      <w:tblPr>
        <w:tblW w:w="9580" w:type="dxa"/>
        <w:tblInd w:w="51" w:type="dxa"/>
        <w:tblCellMar>
          <w:left w:w="70" w:type="dxa"/>
          <w:right w:w="70" w:type="dxa"/>
        </w:tblCellMar>
        <w:tblLook w:val="04A0"/>
      </w:tblPr>
      <w:tblGrid>
        <w:gridCol w:w="490"/>
        <w:gridCol w:w="2780"/>
        <w:gridCol w:w="2100"/>
        <w:gridCol w:w="1500"/>
        <w:gridCol w:w="1460"/>
        <w:gridCol w:w="1250"/>
      </w:tblGrid>
      <w:tr w:rsidR="00CB0BAD" w:rsidRPr="00CB0BAD" w:rsidTr="00CB0BAD">
        <w:trPr>
          <w:trHeight w:val="450"/>
        </w:trPr>
        <w:tc>
          <w:tcPr>
            <w:tcW w:w="490" w:type="dxa"/>
            <w:tcBorders>
              <w:top w:val="single" w:sz="4" w:space="0" w:color="000000"/>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77</w:t>
            </w:r>
          </w:p>
        </w:tc>
        <w:tc>
          <w:tcPr>
            <w:tcW w:w="2780" w:type="dxa"/>
            <w:tcBorders>
              <w:top w:val="single" w:sz="4" w:space="0" w:color="000000"/>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04/108H.5/C6.3.2/520/15-15-01-2</w:t>
            </w:r>
          </w:p>
        </w:tc>
        <w:tc>
          <w:tcPr>
            <w:tcW w:w="210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SERVICIO COSTA ESMERALDA, S.A. DE C.V.</w:t>
            </w:r>
          </w:p>
        </w:tc>
        <w:tc>
          <w:tcPr>
            <w:tcW w:w="1500" w:type="dxa"/>
            <w:tcBorders>
              <w:top w:val="single" w:sz="4" w:space="0" w:color="000000"/>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17/04/2015</w:t>
            </w:r>
          </w:p>
        </w:tc>
        <w:tc>
          <w:tcPr>
            <w:tcW w:w="125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78</w:t>
            </w:r>
          </w:p>
        </w:tc>
        <w:tc>
          <w:tcPr>
            <w:tcW w:w="278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04/108H.5/C6.3.2/654/1-15-01-6</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AURELIANO ADAN CARMONA GARCÍA</w:t>
            </w:r>
          </w:p>
        </w:tc>
        <w:tc>
          <w:tcPr>
            <w:tcW w:w="150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27/04/2015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79</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04/108H.5/C6.3.2/691/15-15-01-9</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PRODUCTOS SELECTOS BARA,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26/05/2015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67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80</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04/108H.5/C6.3.2/865/15-15-01-1</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SERVICIO DE SALUD RURAL SAN FELIPE JALAPA DE DÍAZ</w:t>
            </w:r>
          </w:p>
        </w:tc>
        <w:tc>
          <w:tcPr>
            <w:tcW w:w="150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16/06/2015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81</w:t>
            </w:r>
          </w:p>
        </w:tc>
        <w:tc>
          <w:tcPr>
            <w:tcW w:w="278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04/108H.5/C6.3.2/959/15-15-01-1</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GASOLINERA GALLEGOS, S.A. DE C.V.</w:t>
            </w:r>
          </w:p>
        </w:tc>
        <w:tc>
          <w:tcPr>
            <w:tcW w:w="150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30/06/2015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82</w:t>
            </w:r>
          </w:p>
        </w:tc>
        <w:tc>
          <w:tcPr>
            <w:tcW w:w="278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04/108H.5/C6.3.2/269/15-15-01-6</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INGENIEROS CIVILES DE SALINA CRUZ, S.A. DE C.V.</w:t>
            </w:r>
          </w:p>
        </w:tc>
        <w:tc>
          <w:tcPr>
            <w:tcW w:w="150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21/04/2015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83</w:t>
            </w:r>
          </w:p>
        </w:tc>
        <w:tc>
          <w:tcPr>
            <w:tcW w:w="278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04/108H.5/C6.3.2/643/15-15-01-7</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VICENTE JIMÉNEZ RAMÍREZ</w:t>
            </w:r>
          </w:p>
        </w:tc>
        <w:tc>
          <w:tcPr>
            <w:tcW w:w="150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22/04/2015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84</w:t>
            </w:r>
          </w:p>
        </w:tc>
        <w:tc>
          <w:tcPr>
            <w:tcW w:w="278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04/108H.5/C6.3.2/651/15-15-01-4</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TRANQUILINO MARTÍNEZ SANTIAGO</w:t>
            </w:r>
          </w:p>
        </w:tc>
        <w:tc>
          <w:tcPr>
            <w:tcW w:w="150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24/05/2015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85</w:t>
            </w:r>
          </w:p>
        </w:tc>
        <w:tc>
          <w:tcPr>
            <w:tcW w:w="278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04/108H.5/C6.3.2/731/15-15-01-2</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MARÍA DE JESÚS RAMÍREZ OSIO</w:t>
            </w:r>
          </w:p>
        </w:tc>
        <w:tc>
          <w:tcPr>
            <w:tcW w:w="150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01/05/2015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67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86</w:t>
            </w:r>
          </w:p>
        </w:tc>
        <w:tc>
          <w:tcPr>
            <w:tcW w:w="278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04/108H.5/C6.3.2/812/15-15-01-5</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INSTRUMENTOS Y CONTROLES AVAZADOS DEL SURESTE, S.A.  DE C V.</w:t>
            </w:r>
          </w:p>
        </w:tc>
        <w:tc>
          <w:tcPr>
            <w:tcW w:w="150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03/06/2015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87</w:t>
            </w:r>
          </w:p>
        </w:tc>
        <w:tc>
          <w:tcPr>
            <w:tcW w:w="278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04/108H.5/C6.3.2/832/15-15-01-3</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RABINDRANATH ÁNGEL PEÑA ALONSO</w:t>
            </w:r>
          </w:p>
        </w:tc>
        <w:tc>
          <w:tcPr>
            <w:tcW w:w="150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INDETERMINADO</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06/06/2015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67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88</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04/108H.5/C6.3.2/961/15-15-01-3</w:t>
            </w:r>
          </w:p>
        </w:tc>
        <w:tc>
          <w:tcPr>
            <w:tcW w:w="210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GERTUDRIS LUNA VÁZQUEZ</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$15,062.00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30/06/2015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DESECHA POR EXTEMPORÁNEO</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89</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04/108H.5/C6.3.2/91/15-15-01-5</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TRANSPORTES Y SERVICIOS DE OAXACA</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$4,147,041.41</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30/06/2015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67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90</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04/108H.5/C6.3.2/95/15-01-2</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LONAS Y CARPAS DISTRIBUIDORA DE OAXACA,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$52,672.33</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03/07/2015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91</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04/108H.5/C6.3.2/830/15-01-4</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ÁLVARO MANUEL RIOS</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$31,643.00</w:t>
            </w:r>
          </w:p>
        </w:tc>
        <w:tc>
          <w:tcPr>
            <w:tcW w:w="146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92</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04/108H.5/C6.3.2/771-15-15-01-3</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ROBERTO AKIRA NAKAUAMA CONTRERAS</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$45,238.00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22/06/2015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93</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04/108H.5/C6.3.2/772-15-15-01-5</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ROBERTO AKIRA NAKAUAMA CONTRERAS</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$15,345.00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67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94</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04/108H.5/C6.3.2/510-15-15-01-5</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SI QUIERES AHORRAR EN FERRETERIA SERNA DEBES COMPRAR,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NO HAY DATOS</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95</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04/108H.5/C6.3.2/961/15-15-01-3</w:t>
            </w:r>
          </w:p>
        </w:tc>
        <w:tc>
          <w:tcPr>
            <w:tcW w:w="210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GERTUDRIS LUNA VÁZQUEZ</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$15,062.00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30/06/2015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96</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04/108H.5/C6.3.2/91/15-15-01-5</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TRANSPORTES Y SERVICIOS DE OAXACA</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$4,147,041.41</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30/06/2015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bl>
    <w:p w:rsidR="00CB0BAD" w:rsidRDefault="00CB0BAD"/>
    <w:tbl>
      <w:tblPr>
        <w:tblW w:w="9580" w:type="dxa"/>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tblPr>
      <w:tblGrid>
        <w:gridCol w:w="490"/>
        <w:gridCol w:w="2780"/>
        <w:gridCol w:w="2100"/>
        <w:gridCol w:w="1500"/>
        <w:gridCol w:w="1460"/>
        <w:gridCol w:w="1250"/>
      </w:tblGrid>
      <w:tr w:rsidR="00CB0BAD" w:rsidRPr="00CB0BAD" w:rsidTr="00CB0BAD">
        <w:trPr>
          <w:trHeight w:val="450"/>
        </w:trPr>
        <w:tc>
          <w:tcPr>
            <w:tcW w:w="490" w:type="dxa"/>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NÚM</w:t>
            </w:r>
          </w:p>
        </w:tc>
        <w:tc>
          <w:tcPr>
            <w:tcW w:w="2780" w:type="dxa"/>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EXPEDIENTE</w:t>
            </w:r>
          </w:p>
        </w:tc>
        <w:tc>
          <w:tcPr>
            <w:tcW w:w="2100" w:type="dxa"/>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ACTOR</w:t>
            </w:r>
          </w:p>
        </w:tc>
        <w:tc>
          <w:tcPr>
            <w:tcW w:w="1500" w:type="dxa"/>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MONTO</w:t>
            </w:r>
          </w:p>
        </w:tc>
        <w:tc>
          <w:tcPr>
            <w:tcW w:w="1460" w:type="dxa"/>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FECHA DE EMPLAZAMIENTO</w:t>
            </w:r>
          </w:p>
        </w:tc>
        <w:tc>
          <w:tcPr>
            <w:tcW w:w="1250" w:type="dxa"/>
            <w:shd w:val="clear" w:color="000000" w:fill="D9D9D9"/>
            <w:hideMark/>
          </w:tcPr>
          <w:p w:rsidR="00CB0BAD" w:rsidRPr="00CB0BAD" w:rsidRDefault="00CB0BAD" w:rsidP="00CB0BAD">
            <w:pPr>
              <w:jc w:val="center"/>
              <w:rPr>
                <w:rFonts w:ascii="Calibri" w:hAnsi="Calibri"/>
                <w:b/>
                <w:bCs/>
                <w:color w:val="000000"/>
                <w:sz w:val="16"/>
                <w:szCs w:val="16"/>
                <w:lang w:val="es-MX" w:eastAsia="es-MX"/>
              </w:rPr>
            </w:pPr>
            <w:r w:rsidRPr="00CB0BAD">
              <w:rPr>
                <w:rFonts w:ascii="Calibri" w:hAnsi="Calibri"/>
                <w:b/>
                <w:bCs/>
                <w:color w:val="000000"/>
                <w:sz w:val="16"/>
                <w:szCs w:val="16"/>
                <w:lang w:val="es-ES_tradnl" w:eastAsia="es-MX"/>
              </w:rPr>
              <w:t>SENTIDO DE LAS SENTENCIAS</w:t>
            </w:r>
          </w:p>
        </w:tc>
      </w:tr>
    </w:tbl>
    <w:p w:rsidR="00CB0BAD" w:rsidRDefault="00CB0BAD" w:rsidP="00CB0BAD"/>
    <w:tbl>
      <w:tblPr>
        <w:tblW w:w="9580" w:type="dxa"/>
        <w:tblInd w:w="51" w:type="dxa"/>
        <w:tblCellMar>
          <w:left w:w="70" w:type="dxa"/>
          <w:right w:w="70" w:type="dxa"/>
        </w:tblCellMar>
        <w:tblLook w:val="04A0"/>
      </w:tblPr>
      <w:tblGrid>
        <w:gridCol w:w="490"/>
        <w:gridCol w:w="2780"/>
        <w:gridCol w:w="2100"/>
        <w:gridCol w:w="1500"/>
        <w:gridCol w:w="1460"/>
        <w:gridCol w:w="1250"/>
      </w:tblGrid>
      <w:tr w:rsidR="00CB0BAD" w:rsidRPr="00CB0BAD" w:rsidTr="00CB0BAD">
        <w:trPr>
          <w:trHeight w:val="675"/>
        </w:trPr>
        <w:tc>
          <w:tcPr>
            <w:tcW w:w="490" w:type="dxa"/>
            <w:tcBorders>
              <w:top w:val="single" w:sz="4" w:space="0" w:color="000000"/>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97</w:t>
            </w:r>
          </w:p>
        </w:tc>
        <w:tc>
          <w:tcPr>
            <w:tcW w:w="278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 xml:space="preserve">04/108H.5/C6.3.2/95/15-01-2 </w:t>
            </w:r>
          </w:p>
        </w:tc>
        <w:tc>
          <w:tcPr>
            <w:tcW w:w="210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LONAS Y CARPAS DISTRIBUIDORA DE OAXACA, S.A. DE C.V.</w:t>
            </w:r>
          </w:p>
        </w:tc>
        <w:tc>
          <w:tcPr>
            <w:tcW w:w="150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$652,672.33</w:t>
            </w:r>
          </w:p>
        </w:tc>
        <w:tc>
          <w:tcPr>
            <w:tcW w:w="146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03/07/2015</w:t>
            </w:r>
          </w:p>
        </w:tc>
        <w:tc>
          <w:tcPr>
            <w:tcW w:w="1250" w:type="dxa"/>
            <w:tcBorders>
              <w:top w:val="single" w:sz="4" w:space="0" w:color="000000"/>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98</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04/108H.5/C6.3.2/830/15-01-4</w:t>
            </w:r>
          </w:p>
        </w:tc>
        <w:tc>
          <w:tcPr>
            <w:tcW w:w="210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ÁLVARO MANUEL RÍOS</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$31,643.00</w:t>
            </w:r>
          </w:p>
        </w:tc>
        <w:tc>
          <w:tcPr>
            <w:tcW w:w="1460" w:type="dxa"/>
            <w:tcBorders>
              <w:top w:val="nil"/>
              <w:left w:val="nil"/>
              <w:bottom w:val="single" w:sz="4" w:space="0" w:color="000000"/>
              <w:right w:val="single" w:sz="4" w:space="0" w:color="000000"/>
            </w:tcBorders>
            <w:shd w:val="clear" w:color="auto" w:fill="auto"/>
            <w:noWrap/>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99</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04/108H.5/C6.3.2/771-15-15-01-3</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ROBERTO AKIRA NAKAUAMA CONTRERAS</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$45,238.00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22/06/2015</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450"/>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100</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04/108H.5/C6.3.2/772-15-15-01-5</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ROBERTO AKIRA NAKAUAMA CONTRERAS</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$15,345.00</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r w:rsidR="00CB0BAD" w:rsidRPr="00CB0BAD" w:rsidTr="00CB0BAD">
        <w:trPr>
          <w:trHeight w:val="675"/>
        </w:trPr>
        <w:tc>
          <w:tcPr>
            <w:tcW w:w="490" w:type="dxa"/>
            <w:tcBorders>
              <w:top w:val="nil"/>
              <w:left w:val="single" w:sz="4" w:space="0" w:color="000000"/>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101</w:t>
            </w:r>
          </w:p>
        </w:tc>
        <w:tc>
          <w:tcPr>
            <w:tcW w:w="278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04/108H.5/C6.3.2/510-15-15-01-5</w:t>
            </w:r>
          </w:p>
        </w:tc>
        <w:tc>
          <w:tcPr>
            <w:tcW w:w="21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SI QUIERES AHORRAR EN FERRETERÍA SERNA DEBES COMPRAR, S.A DE C.V.</w:t>
            </w:r>
          </w:p>
        </w:tc>
        <w:tc>
          <w:tcPr>
            <w:tcW w:w="1500" w:type="dxa"/>
            <w:tcBorders>
              <w:top w:val="nil"/>
              <w:left w:val="nil"/>
              <w:bottom w:val="single" w:sz="4" w:space="0" w:color="000000"/>
              <w:right w:val="single" w:sz="4" w:space="0" w:color="000000"/>
            </w:tcBorders>
            <w:shd w:val="clear" w:color="auto" w:fill="auto"/>
            <w:hideMark/>
          </w:tcPr>
          <w:p w:rsidR="00CB0BAD" w:rsidRPr="00CB0BAD" w:rsidRDefault="00CB0BAD" w:rsidP="00CB0BAD">
            <w:pPr>
              <w:jc w:val="center"/>
              <w:rPr>
                <w:rFonts w:ascii="Calibri" w:hAnsi="Calibri"/>
                <w:color w:val="000000"/>
                <w:sz w:val="16"/>
                <w:szCs w:val="16"/>
                <w:lang w:val="es-MX" w:eastAsia="es-MX"/>
              </w:rPr>
            </w:pPr>
            <w:r w:rsidRPr="00CB0BAD">
              <w:rPr>
                <w:rFonts w:ascii="Calibri" w:hAnsi="Calibri"/>
                <w:color w:val="000000"/>
                <w:sz w:val="16"/>
                <w:szCs w:val="16"/>
                <w:lang w:val="es-ES_tradnl" w:eastAsia="es-MX"/>
              </w:rPr>
              <w:t>NO HAY DATOS</w:t>
            </w:r>
          </w:p>
        </w:tc>
        <w:tc>
          <w:tcPr>
            <w:tcW w:w="146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c>
          <w:tcPr>
            <w:tcW w:w="1250" w:type="dxa"/>
            <w:tcBorders>
              <w:top w:val="nil"/>
              <w:left w:val="nil"/>
              <w:bottom w:val="single" w:sz="4" w:space="0" w:color="000000"/>
              <w:right w:val="single" w:sz="4" w:space="0" w:color="000000"/>
            </w:tcBorders>
            <w:shd w:val="clear" w:color="auto" w:fill="auto"/>
            <w:hideMark/>
          </w:tcPr>
          <w:p w:rsidR="00CB0BAD" w:rsidRPr="00CB0BAD" w:rsidRDefault="00CB0BAD" w:rsidP="00CB0BAD">
            <w:pPr>
              <w:rPr>
                <w:rFonts w:ascii="Calibri" w:hAnsi="Calibri"/>
                <w:color w:val="000000"/>
                <w:sz w:val="16"/>
                <w:szCs w:val="16"/>
                <w:lang w:val="es-MX" w:eastAsia="es-MX"/>
              </w:rPr>
            </w:pPr>
            <w:r w:rsidRPr="00CB0BAD">
              <w:rPr>
                <w:rFonts w:ascii="Calibri" w:hAnsi="Calibri"/>
                <w:color w:val="000000"/>
                <w:sz w:val="16"/>
                <w:szCs w:val="16"/>
                <w:lang w:val="es-MX" w:eastAsia="es-MX"/>
              </w:rPr>
              <w:t> </w:t>
            </w:r>
          </w:p>
        </w:tc>
      </w:tr>
    </w:tbl>
    <w:p w:rsidR="00CB0BAD" w:rsidRDefault="00CB0BAD">
      <w:pPr>
        <w:rPr>
          <w:rFonts w:ascii="Arial" w:hAnsi="Arial" w:cs="Arial"/>
          <w:b/>
          <w:spacing w:val="20"/>
        </w:rPr>
      </w:pPr>
      <w:r>
        <w:rPr>
          <w:rFonts w:ascii="Arial" w:hAnsi="Arial" w:cs="Arial"/>
          <w:b/>
          <w:spacing w:val="20"/>
        </w:rPr>
        <w:br w:type="page"/>
      </w:r>
    </w:p>
    <w:p w:rsidR="002F685D" w:rsidRDefault="002F685D">
      <w:pPr>
        <w:rPr>
          <w:rFonts w:ascii="Arial" w:hAnsi="Arial" w:cs="Arial"/>
          <w:b/>
          <w:spacing w:val="20"/>
        </w:rPr>
      </w:pPr>
    </w:p>
    <w:p w:rsidR="00CB0BAD" w:rsidRDefault="00CB0BAD">
      <w:pPr>
        <w:rPr>
          <w:rFonts w:ascii="Arial" w:hAnsi="Arial" w:cs="Arial"/>
          <w:b/>
          <w:spacing w:val="20"/>
        </w:rPr>
      </w:pPr>
    </w:p>
    <w:tbl>
      <w:tblPr>
        <w:tblW w:w="10255" w:type="dxa"/>
        <w:tblInd w:w="-214" w:type="dxa"/>
        <w:tblLayout w:type="fixed"/>
        <w:tblCellMar>
          <w:left w:w="70" w:type="dxa"/>
          <w:right w:w="70" w:type="dxa"/>
        </w:tblCellMar>
        <w:tblLook w:val="04A0"/>
      </w:tblPr>
      <w:tblGrid>
        <w:gridCol w:w="426"/>
        <w:gridCol w:w="1324"/>
        <w:gridCol w:w="1418"/>
        <w:gridCol w:w="1417"/>
        <w:gridCol w:w="1125"/>
        <w:gridCol w:w="1143"/>
        <w:gridCol w:w="1134"/>
        <w:gridCol w:w="1276"/>
        <w:gridCol w:w="992"/>
      </w:tblGrid>
      <w:tr w:rsidR="00CB0BAD" w:rsidRPr="00CB0BAD" w:rsidTr="00CB0BAD">
        <w:trPr>
          <w:trHeight w:val="270"/>
        </w:trPr>
        <w:tc>
          <w:tcPr>
            <w:tcW w:w="10255" w:type="dxa"/>
            <w:gridSpan w:val="9"/>
            <w:tcBorders>
              <w:top w:val="nil"/>
              <w:left w:val="nil"/>
              <w:bottom w:val="nil"/>
            </w:tcBorders>
            <w:shd w:val="clear" w:color="000000" w:fill="FFFFFF"/>
            <w:hideMark/>
          </w:tcPr>
          <w:p w:rsidR="00CB0BAD" w:rsidRPr="00CB0BAD" w:rsidRDefault="00CB0BAD" w:rsidP="00CB0BAD">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 xml:space="preserve">DEPARTAMENTO DE PROCEDIMIENTOS ADMINISTRATIVOS </w:t>
            </w:r>
          </w:p>
        </w:tc>
      </w:tr>
      <w:tr w:rsidR="00CB0BAD" w:rsidRPr="00CB0BAD" w:rsidTr="00CB0BAD">
        <w:trPr>
          <w:trHeight w:val="270"/>
        </w:trPr>
        <w:tc>
          <w:tcPr>
            <w:tcW w:w="10255" w:type="dxa"/>
            <w:gridSpan w:val="9"/>
            <w:tcBorders>
              <w:top w:val="nil"/>
              <w:left w:val="nil"/>
              <w:bottom w:val="single" w:sz="4" w:space="0" w:color="auto"/>
            </w:tcBorders>
            <w:shd w:val="clear" w:color="000000" w:fill="FFFFFF"/>
            <w:hideMark/>
          </w:tcPr>
          <w:p w:rsidR="00CB0BAD" w:rsidRPr="00CB0BAD" w:rsidRDefault="00CB0BAD" w:rsidP="00CB0BAD">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 xml:space="preserve">JUICIOS DE NULIDAD </w:t>
            </w:r>
          </w:p>
        </w:tc>
      </w:tr>
      <w:tr w:rsidR="00CB0BAD" w:rsidRPr="00CB0BAD" w:rsidTr="00CB0BAD">
        <w:trPr>
          <w:trHeight w:val="540"/>
        </w:trPr>
        <w:tc>
          <w:tcPr>
            <w:tcW w:w="426" w:type="dxa"/>
            <w:tcBorders>
              <w:top w:val="nil"/>
              <w:left w:val="single" w:sz="4" w:space="0" w:color="auto"/>
              <w:bottom w:val="single" w:sz="4" w:space="0" w:color="auto"/>
              <w:right w:val="single" w:sz="4" w:space="0" w:color="auto"/>
            </w:tcBorders>
            <w:shd w:val="clear" w:color="000000" w:fill="F2F2F2"/>
            <w:hideMark/>
          </w:tcPr>
          <w:p w:rsidR="00CB0BAD" w:rsidRPr="00CB0BAD" w:rsidRDefault="00CB0BAD" w:rsidP="00CB0BAD">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N</w:t>
            </w:r>
            <w:r>
              <w:rPr>
                <w:rFonts w:asciiTheme="minorHAnsi" w:hAnsiTheme="minorHAnsi"/>
                <w:b/>
                <w:bCs/>
                <w:color w:val="000000"/>
                <w:sz w:val="16"/>
                <w:szCs w:val="16"/>
                <w:lang w:val="es-ES_tradnl" w:eastAsia="es-MX"/>
              </w:rPr>
              <w:t>.</w:t>
            </w:r>
          </w:p>
        </w:tc>
        <w:tc>
          <w:tcPr>
            <w:tcW w:w="1324" w:type="dxa"/>
            <w:tcBorders>
              <w:top w:val="nil"/>
              <w:left w:val="nil"/>
              <w:bottom w:val="single" w:sz="4" w:space="0" w:color="auto"/>
              <w:right w:val="single" w:sz="4" w:space="0" w:color="auto"/>
            </w:tcBorders>
            <w:shd w:val="clear" w:color="000000" w:fill="F2F2F2"/>
            <w:hideMark/>
          </w:tcPr>
          <w:p w:rsidR="00CB0BAD" w:rsidRPr="00CB0BAD" w:rsidRDefault="00CB0BAD" w:rsidP="00CB0BAD">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EXPEDIENTE</w:t>
            </w:r>
          </w:p>
        </w:tc>
        <w:tc>
          <w:tcPr>
            <w:tcW w:w="1418" w:type="dxa"/>
            <w:tcBorders>
              <w:top w:val="nil"/>
              <w:left w:val="nil"/>
              <w:bottom w:val="single" w:sz="4" w:space="0" w:color="auto"/>
              <w:right w:val="single" w:sz="4" w:space="0" w:color="auto"/>
            </w:tcBorders>
            <w:shd w:val="clear" w:color="000000" w:fill="F2F2F2"/>
            <w:hideMark/>
          </w:tcPr>
          <w:p w:rsidR="00CB0BAD" w:rsidRPr="00CB0BAD" w:rsidRDefault="00CB0BAD" w:rsidP="00CB0BAD">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REFERENCIA</w:t>
            </w:r>
          </w:p>
        </w:tc>
        <w:tc>
          <w:tcPr>
            <w:tcW w:w="1417" w:type="dxa"/>
            <w:tcBorders>
              <w:top w:val="nil"/>
              <w:left w:val="nil"/>
              <w:bottom w:val="single" w:sz="4" w:space="0" w:color="auto"/>
              <w:right w:val="single" w:sz="4" w:space="0" w:color="auto"/>
            </w:tcBorders>
            <w:shd w:val="clear" w:color="000000" w:fill="F2F2F2"/>
            <w:hideMark/>
          </w:tcPr>
          <w:p w:rsidR="00CB0BAD" w:rsidRPr="00CB0BAD" w:rsidRDefault="00CB0BAD" w:rsidP="00CB0BAD">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REQUERIMIENTO</w:t>
            </w:r>
          </w:p>
        </w:tc>
        <w:tc>
          <w:tcPr>
            <w:tcW w:w="1125" w:type="dxa"/>
            <w:tcBorders>
              <w:top w:val="nil"/>
              <w:left w:val="nil"/>
              <w:bottom w:val="single" w:sz="4" w:space="0" w:color="auto"/>
              <w:right w:val="single" w:sz="4" w:space="0" w:color="auto"/>
            </w:tcBorders>
            <w:shd w:val="clear" w:color="000000" w:fill="F2F2F2"/>
            <w:hideMark/>
          </w:tcPr>
          <w:p w:rsidR="00CB0BAD" w:rsidRPr="00CB0BAD" w:rsidRDefault="00CB0BAD" w:rsidP="00CB0BAD">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AFIANZADORA</w:t>
            </w:r>
          </w:p>
        </w:tc>
        <w:tc>
          <w:tcPr>
            <w:tcW w:w="1143" w:type="dxa"/>
            <w:tcBorders>
              <w:top w:val="nil"/>
              <w:left w:val="nil"/>
              <w:bottom w:val="single" w:sz="4" w:space="0" w:color="auto"/>
              <w:right w:val="single" w:sz="4" w:space="0" w:color="auto"/>
            </w:tcBorders>
            <w:shd w:val="clear" w:color="000000" w:fill="F2F2F2"/>
            <w:hideMark/>
          </w:tcPr>
          <w:p w:rsidR="00CB0BAD" w:rsidRPr="00CB0BAD" w:rsidRDefault="00CB0BAD" w:rsidP="00CB0BAD">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FIADO</w:t>
            </w:r>
          </w:p>
        </w:tc>
        <w:tc>
          <w:tcPr>
            <w:tcW w:w="1134" w:type="dxa"/>
            <w:tcBorders>
              <w:top w:val="nil"/>
              <w:left w:val="nil"/>
              <w:bottom w:val="single" w:sz="4" w:space="0" w:color="auto"/>
              <w:right w:val="single" w:sz="4" w:space="0" w:color="auto"/>
            </w:tcBorders>
            <w:shd w:val="clear" w:color="000000" w:fill="F2F2F2"/>
            <w:hideMark/>
          </w:tcPr>
          <w:p w:rsidR="00CB0BAD" w:rsidRPr="00CB0BAD" w:rsidRDefault="00CB0BAD" w:rsidP="00CB0BAD">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CONTRATO</w:t>
            </w:r>
          </w:p>
        </w:tc>
        <w:tc>
          <w:tcPr>
            <w:tcW w:w="1276" w:type="dxa"/>
            <w:tcBorders>
              <w:top w:val="nil"/>
              <w:left w:val="nil"/>
              <w:bottom w:val="single" w:sz="4" w:space="0" w:color="auto"/>
              <w:right w:val="single" w:sz="4" w:space="0" w:color="auto"/>
            </w:tcBorders>
            <w:shd w:val="clear" w:color="000000" w:fill="F2F2F2"/>
            <w:hideMark/>
          </w:tcPr>
          <w:p w:rsidR="00CB0BAD" w:rsidRPr="00CB0BAD" w:rsidRDefault="00CB0BAD" w:rsidP="00CB0BAD">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MONTO</w:t>
            </w:r>
          </w:p>
        </w:tc>
        <w:tc>
          <w:tcPr>
            <w:tcW w:w="992" w:type="dxa"/>
            <w:tcBorders>
              <w:top w:val="nil"/>
              <w:left w:val="nil"/>
              <w:bottom w:val="single" w:sz="4" w:space="0" w:color="auto"/>
              <w:right w:val="single" w:sz="4" w:space="0" w:color="auto"/>
            </w:tcBorders>
            <w:shd w:val="clear" w:color="000000" w:fill="F2F2F2"/>
            <w:hideMark/>
          </w:tcPr>
          <w:p w:rsidR="00CB0BAD" w:rsidRPr="00CB0BAD" w:rsidRDefault="00CB0BAD" w:rsidP="00CB0BAD">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ESTADO ACTUAL</w:t>
            </w:r>
          </w:p>
        </w:tc>
      </w:tr>
    </w:tbl>
    <w:p w:rsidR="004650BF" w:rsidRDefault="004650BF"/>
    <w:tbl>
      <w:tblPr>
        <w:tblW w:w="10255" w:type="dxa"/>
        <w:tblInd w:w="-214" w:type="dxa"/>
        <w:tblLayout w:type="fixed"/>
        <w:tblCellMar>
          <w:left w:w="70" w:type="dxa"/>
          <w:right w:w="70" w:type="dxa"/>
        </w:tblCellMar>
        <w:tblLook w:val="04A0"/>
      </w:tblPr>
      <w:tblGrid>
        <w:gridCol w:w="426"/>
        <w:gridCol w:w="1324"/>
        <w:gridCol w:w="1418"/>
        <w:gridCol w:w="1417"/>
        <w:gridCol w:w="1125"/>
        <w:gridCol w:w="1143"/>
        <w:gridCol w:w="1134"/>
        <w:gridCol w:w="1276"/>
        <w:gridCol w:w="992"/>
      </w:tblGrid>
      <w:tr w:rsidR="00CB0BAD" w:rsidRPr="00CB0BAD" w:rsidTr="004650BF">
        <w:trPr>
          <w:trHeight w:val="1080"/>
        </w:trPr>
        <w:tc>
          <w:tcPr>
            <w:tcW w:w="426" w:type="dxa"/>
            <w:tcBorders>
              <w:top w:val="single" w:sz="4" w:space="0" w:color="auto"/>
              <w:left w:val="single" w:sz="4" w:space="0" w:color="auto"/>
              <w:bottom w:val="single" w:sz="4" w:space="0" w:color="auto"/>
              <w:right w:val="single" w:sz="4" w:space="0" w:color="auto"/>
            </w:tcBorders>
            <w:shd w:val="clear" w:color="000000" w:fill="FFFFFF"/>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1</w:t>
            </w:r>
          </w:p>
        </w:tc>
        <w:tc>
          <w:tcPr>
            <w:tcW w:w="1324" w:type="dxa"/>
            <w:tcBorders>
              <w:top w:val="single" w:sz="4" w:space="0" w:color="auto"/>
              <w:left w:val="nil"/>
              <w:bottom w:val="single" w:sz="4" w:space="0" w:color="auto"/>
              <w:right w:val="single" w:sz="4" w:space="0" w:color="auto"/>
            </w:tcBorders>
            <w:shd w:val="clear" w:color="000000" w:fill="FFFFFF"/>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1787/13-15-01-8</w:t>
            </w:r>
          </w:p>
        </w:tc>
        <w:tc>
          <w:tcPr>
            <w:tcW w:w="1418" w:type="dxa"/>
            <w:tcBorders>
              <w:top w:val="single" w:sz="4" w:space="0" w:color="auto"/>
              <w:left w:val="nil"/>
              <w:bottom w:val="single" w:sz="4" w:space="0" w:color="auto"/>
              <w:right w:val="single" w:sz="4" w:space="0" w:color="auto"/>
            </w:tcBorders>
            <w:shd w:val="clear" w:color="000000" w:fill="FFFFFF"/>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 xml:space="preserve">04/108H.1/C6.5.1/012/13          </w:t>
            </w:r>
          </w:p>
        </w:tc>
        <w:tc>
          <w:tcPr>
            <w:tcW w:w="1417" w:type="dxa"/>
            <w:tcBorders>
              <w:top w:val="single" w:sz="4" w:space="0" w:color="auto"/>
              <w:left w:val="nil"/>
              <w:bottom w:val="single" w:sz="4" w:space="0" w:color="auto"/>
              <w:right w:val="single" w:sz="4" w:space="0" w:color="auto"/>
            </w:tcBorders>
            <w:shd w:val="clear" w:color="000000" w:fill="FFFFFF"/>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DAP/0552/2013</w:t>
            </w:r>
          </w:p>
        </w:tc>
        <w:tc>
          <w:tcPr>
            <w:tcW w:w="1125" w:type="dxa"/>
            <w:tcBorders>
              <w:top w:val="single" w:sz="4" w:space="0" w:color="auto"/>
              <w:left w:val="nil"/>
              <w:bottom w:val="single" w:sz="4" w:space="0" w:color="auto"/>
              <w:right w:val="single" w:sz="4" w:space="0" w:color="auto"/>
            </w:tcBorders>
            <w:shd w:val="clear" w:color="000000" w:fill="FFFFFF"/>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CHUBB DE MEXICO</w:t>
            </w:r>
          </w:p>
        </w:tc>
        <w:tc>
          <w:tcPr>
            <w:tcW w:w="1143" w:type="dxa"/>
            <w:tcBorders>
              <w:top w:val="single" w:sz="4" w:space="0" w:color="auto"/>
              <w:left w:val="nil"/>
              <w:bottom w:val="single" w:sz="4" w:space="0" w:color="auto"/>
              <w:right w:val="single" w:sz="4" w:space="0" w:color="auto"/>
            </w:tcBorders>
            <w:shd w:val="clear" w:color="000000" w:fill="FFFFFF"/>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CARLOS FRANCISCO RODRIGUEZ PEREZ</w:t>
            </w:r>
          </w:p>
        </w:tc>
        <w:tc>
          <w:tcPr>
            <w:tcW w:w="1134" w:type="dxa"/>
            <w:tcBorders>
              <w:top w:val="single" w:sz="4" w:space="0" w:color="auto"/>
              <w:left w:val="nil"/>
              <w:bottom w:val="single" w:sz="4" w:space="0" w:color="auto"/>
              <w:right w:val="single" w:sz="4" w:space="0" w:color="auto"/>
            </w:tcBorders>
            <w:shd w:val="clear" w:color="000000" w:fill="FFFFFF"/>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CAO-PIBAI-011-W-0-12</w:t>
            </w:r>
          </w:p>
        </w:tc>
        <w:tc>
          <w:tcPr>
            <w:tcW w:w="1276" w:type="dxa"/>
            <w:tcBorders>
              <w:top w:val="single" w:sz="4" w:space="0" w:color="auto"/>
              <w:left w:val="nil"/>
              <w:bottom w:val="single" w:sz="4" w:space="0" w:color="auto"/>
              <w:right w:val="single" w:sz="4" w:space="0" w:color="auto"/>
            </w:tcBorders>
            <w:shd w:val="clear" w:color="000000" w:fill="FFFFFF"/>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1,461,533.79   A  974,355.20     C</w:t>
            </w:r>
          </w:p>
        </w:tc>
        <w:tc>
          <w:tcPr>
            <w:tcW w:w="992" w:type="dxa"/>
            <w:tcBorders>
              <w:top w:val="single" w:sz="4" w:space="0" w:color="auto"/>
              <w:left w:val="nil"/>
              <w:bottom w:val="single" w:sz="4" w:space="0" w:color="auto"/>
              <w:right w:val="single" w:sz="4" w:space="0" w:color="auto"/>
            </w:tcBorders>
            <w:shd w:val="clear" w:color="000000" w:fill="FFFFFF"/>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EN REMATE</w:t>
            </w:r>
          </w:p>
        </w:tc>
      </w:tr>
      <w:tr w:rsidR="00CB0BAD" w:rsidRPr="00CB0BAD" w:rsidTr="00CB0BAD">
        <w:trPr>
          <w:trHeight w:val="270"/>
        </w:trPr>
        <w:tc>
          <w:tcPr>
            <w:tcW w:w="426" w:type="dxa"/>
            <w:vMerge w:val="restart"/>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2</w:t>
            </w:r>
          </w:p>
        </w:tc>
        <w:tc>
          <w:tcPr>
            <w:tcW w:w="1324" w:type="dxa"/>
            <w:vMerge w:val="restart"/>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494/14-15-01-6</w:t>
            </w:r>
          </w:p>
        </w:tc>
        <w:tc>
          <w:tcPr>
            <w:tcW w:w="1418"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 xml:space="preserve">04/108H.1/C6.5.1/005/13      </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DAP/0372/2013</w:t>
            </w:r>
          </w:p>
        </w:tc>
        <w:tc>
          <w:tcPr>
            <w:tcW w:w="1125" w:type="dxa"/>
            <w:vMerge w:val="restart"/>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FIANZAS DORAMA S.A.</w:t>
            </w:r>
          </w:p>
        </w:tc>
        <w:tc>
          <w:tcPr>
            <w:tcW w:w="1143" w:type="dxa"/>
            <w:vMerge w:val="restart"/>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OBRAS Y ACCIONES, S.C. DE R.L.</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11-T-CAO-H-276-W-0-11</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65,616.70     A  43,744.46     C</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EN REMATE</w:t>
            </w:r>
          </w:p>
        </w:tc>
      </w:tr>
      <w:tr w:rsidR="00CB0BAD" w:rsidRPr="00CB0BAD" w:rsidTr="00CB0BAD">
        <w:trPr>
          <w:trHeight w:val="270"/>
        </w:trPr>
        <w:tc>
          <w:tcPr>
            <w:tcW w:w="426" w:type="dxa"/>
            <w:vMerge/>
            <w:tcBorders>
              <w:top w:val="nil"/>
              <w:left w:val="single" w:sz="4" w:space="0" w:color="auto"/>
              <w:bottom w:val="single" w:sz="4" w:space="0" w:color="auto"/>
              <w:right w:val="single" w:sz="4" w:space="0" w:color="auto"/>
            </w:tcBorders>
            <w:vAlign w:val="center"/>
            <w:hideMark/>
          </w:tcPr>
          <w:p w:rsidR="00CB0BAD" w:rsidRPr="00CB0BAD" w:rsidRDefault="00CB0BAD" w:rsidP="00CB0BAD">
            <w:pPr>
              <w:rPr>
                <w:rFonts w:asciiTheme="minorHAnsi" w:hAnsiTheme="minorHAnsi"/>
                <w:color w:val="000000"/>
                <w:sz w:val="16"/>
                <w:szCs w:val="16"/>
                <w:lang w:val="es-MX" w:eastAsia="es-MX"/>
              </w:rPr>
            </w:pPr>
          </w:p>
        </w:tc>
        <w:tc>
          <w:tcPr>
            <w:tcW w:w="1324" w:type="dxa"/>
            <w:vMerge/>
            <w:tcBorders>
              <w:top w:val="nil"/>
              <w:left w:val="single" w:sz="4" w:space="0" w:color="auto"/>
              <w:bottom w:val="single" w:sz="4" w:space="0" w:color="auto"/>
              <w:right w:val="single" w:sz="4" w:space="0" w:color="auto"/>
            </w:tcBorders>
            <w:vAlign w:val="center"/>
            <w:hideMark/>
          </w:tcPr>
          <w:p w:rsidR="00CB0BAD" w:rsidRPr="00CB0BAD" w:rsidRDefault="00CB0BAD" w:rsidP="00CB0BAD">
            <w:pPr>
              <w:rPr>
                <w:rFonts w:asciiTheme="minorHAnsi" w:hAnsiTheme="minorHAnsi"/>
                <w:color w:val="000000"/>
                <w:sz w:val="16"/>
                <w:szCs w:val="16"/>
                <w:lang w:val="es-MX" w:eastAsia="es-MX"/>
              </w:rPr>
            </w:pPr>
          </w:p>
        </w:tc>
        <w:tc>
          <w:tcPr>
            <w:tcW w:w="1418"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21689/13-17-06-2</w:t>
            </w:r>
          </w:p>
        </w:tc>
        <w:tc>
          <w:tcPr>
            <w:tcW w:w="1417" w:type="dxa"/>
            <w:vMerge/>
            <w:tcBorders>
              <w:top w:val="nil"/>
              <w:left w:val="single" w:sz="4" w:space="0" w:color="auto"/>
              <w:bottom w:val="single" w:sz="4" w:space="0" w:color="auto"/>
              <w:right w:val="single" w:sz="4" w:space="0" w:color="auto"/>
            </w:tcBorders>
            <w:vAlign w:val="center"/>
            <w:hideMark/>
          </w:tcPr>
          <w:p w:rsidR="00CB0BAD" w:rsidRPr="00CB0BAD" w:rsidRDefault="00CB0BAD" w:rsidP="00CB0BAD">
            <w:pPr>
              <w:rPr>
                <w:rFonts w:asciiTheme="minorHAnsi" w:hAnsiTheme="minorHAnsi"/>
                <w:color w:val="000000"/>
                <w:sz w:val="16"/>
                <w:szCs w:val="16"/>
                <w:lang w:val="es-MX" w:eastAsia="es-MX"/>
              </w:rPr>
            </w:pPr>
          </w:p>
        </w:tc>
        <w:tc>
          <w:tcPr>
            <w:tcW w:w="1125" w:type="dxa"/>
            <w:vMerge/>
            <w:tcBorders>
              <w:top w:val="nil"/>
              <w:left w:val="single" w:sz="4" w:space="0" w:color="auto"/>
              <w:bottom w:val="single" w:sz="4" w:space="0" w:color="auto"/>
              <w:right w:val="single" w:sz="4" w:space="0" w:color="auto"/>
            </w:tcBorders>
            <w:vAlign w:val="center"/>
            <w:hideMark/>
          </w:tcPr>
          <w:p w:rsidR="00CB0BAD" w:rsidRPr="00CB0BAD" w:rsidRDefault="00CB0BAD" w:rsidP="00CB0BAD">
            <w:pPr>
              <w:rPr>
                <w:rFonts w:asciiTheme="minorHAnsi" w:hAnsiTheme="minorHAnsi"/>
                <w:color w:val="000000"/>
                <w:sz w:val="16"/>
                <w:szCs w:val="16"/>
                <w:lang w:val="es-MX" w:eastAsia="es-MX"/>
              </w:rPr>
            </w:pPr>
          </w:p>
        </w:tc>
        <w:tc>
          <w:tcPr>
            <w:tcW w:w="1143" w:type="dxa"/>
            <w:vMerge/>
            <w:tcBorders>
              <w:top w:val="nil"/>
              <w:left w:val="single" w:sz="4" w:space="0" w:color="auto"/>
              <w:bottom w:val="single" w:sz="4" w:space="0" w:color="auto"/>
              <w:right w:val="single" w:sz="4" w:space="0" w:color="auto"/>
            </w:tcBorders>
            <w:vAlign w:val="center"/>
            <w:hideMark/>
          </w:tcPr>
          <w:p w:rsidR="00CB0BAD" w:rsidRPr="00CB0BAD" w:rsidRDefault="00CB0BAD" w:rsidP="00CB0BAD">
            <w:pPr>
              <w:rPr>
                <w:rFonts w:asciiTheme="minorHAnsi" w:hAnsiTheme="minorHAnsi"/>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CB0BAD" w:rsidRPr="00CB0BAD" w:rsidRDefault="00CB0BAD" w:rsidP="00CB0BAD">
            <w:pPr>
              <w:rPr>
                <w:rFonts w:asciiTheme="minorHAnsi" w:hAnsiTheme="minorHAns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CB0BAD" w:rsidRPr="00CB0BAD" w:rsidRDefault="00CB0BAD" w:rsidP="00CB0BAD">
            <w:pPr>
              <w:rPr>
                <w:rFonts w:asciiTheme="minorHAnsi" w:hAnsiTheme="minorHAnsi"/>
                <w:color w:val="000000"/>
                <w:sz w:val="16"/>
                <w:szCs w:val="16"/>
                <w:lang w:val="es-MX" w:eastAsia="es-MX"/>
              </w:rPr>
            </w:pPr>
          </w:p>
        </w:tc>
        <w:tc>
          <w:tcPr>
            <w:tcW w:w="992" w:type="dxa"/>
            <w:vMerge/>
            <w:tcBorders>
              <w:top w:val="nil"/>
              <w:left w:val="single" w:sz="4" w:space="0" w:color="auto"/>
              <w:bottom w:val="single" w:sz="4" w:space="0" w:color="auto"/>
              <w:right w:val="single" w:sz="4" w:space="0" w:color="auto"/>
            </w:tcBorders>
            <w:vAlign w:val="center"/>
            <w:hideMark/>
          </w:tcPr>
          <w:p w:rsidR="00CB0BAD" w:rsidRPr="00CB0BAD" w:rsidRDefault="00CB0BAD" w:rsidP="00CB0BAD">
            <w:pPr>
              <w:rPr>
                <w:rFonts w:asciiTheme="minorHAnsi" w:hAnsiTheme="minorHAnsi"/>
                <w:color w:val="000000"/>
                <w:sz w:val="16"/>
                <w:szCs w:val="16"/>
                <w:lang w:val="es-MX" w:eastAsia="es-MX"/>
              </w:rPr>
            </w:pPr>
          </w:p>
        </w:tc>
      </w:tr>
      <w:tr w:rsidR="00CB0BAD" w:rsidRPr="00CB0BAD" w:rsidTr="00CB0BAD">
        <w:trPr>
          <w:trHeight w:val="1890"/>
        </w:trPr>
        <w:tc>
          <w:tcPr>
            <w:tcW w:w="426"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3</w:t>
            </w:r>
          </w:p>
        </w:tc>
        <w:tc>
          <w:tcPr>
            <w:tcW w:w="1324"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568/14-15-01-3</w:t>
            </w:r>
          </w:p>
        </w:tc>
        <w:tc>
          <w:tcPr>
            <w:tcW w:w="1418"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04/108H.1/C6.5.1/002/14</w:t>
            </w:r>
          </w:p>
        </w:tc>
        <w:tc>
          <w:tcPr>
            <w:tcW w:w="1417"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DAP/0109/2014</w:t>
            </w:r>
          </w:p>
        </w:tc>
        <w:tc>
          <w:tcPr>
            <w:tcW w:w="1125"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ASERTA, S.A. DE C.V.</w:t>
            </w:r>
          </w:p>
        </w:tc>
        <w:tc>
          <w:tcPr>
            <w:tcW w:w="1143"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SERVICIOS Y CONECCIONES PARA CARRETERAS DE OAXACA, S.A. DE C.V.</w:t>
            </w:r>
          </w:p>
        </w:tc>
        <w:tc>
          <w:tcPr>
            <w:tcW w:w="1134"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11-T-CAO-H-191-W-0-11</w:t>
            </w:r>
          </w:p>
        </w:tc>
        <w:tc>
          <w:tcPr>
            <w:tcW w:w="1276"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587,882.52    A</w:t>
            </w:r>
          </w:p>
        </w:tc>
        <w:tc>
          <w:tcPr>
            <w:tcW w:w="992"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EN REMATE</w:t>
            </w:r>
          </w:p>
        </w:tc>
      </w:tr>
      <w:tr w:rsidR="00CB0BAD" w:rsidRPr="00CB0BAD" w:rsidTr="00CB0BAD">
        <w:trPr>
          <w:trHeight w:val="270"/>
        </w:trPr>
        <w:tc>
          <w:tcPr>
            <w:tcW w:w="426" w:type="dxa"/>
            <w:vMerge w:val="restart"/>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4</w:t>
            </w:r>
          </w:p>
        </w:tc>
        <w:tc>
          <w:tcPr>
            <w:tcW w:w="1324" w:type="dxa"/>
            <w:vMerge w:val="restart"/>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606/14-15-01-7</w:t>
            </w:r>
          </w:p>
        </w:tc>
        <w:tc>
          <w:tcPr>
            <w:tcW w:w="1418"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 xml:space="preserve">04/108H.1/C6.5.1/004/13         </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DAP/0373/2013</w:t>
            </w:r>
          </w:p>
        </w:tc>
        <w:tc>
          <w:tcPr>
            <w:tcW w:w="1125" w:type="dxa"/>
            <w:vMerge w:val="restart"/>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FIANZAS DORAMA S.A.</w:t>
            </w:r>
          </w:p>
        </w:tc>
        <w:tc>
          <w:tcPr>
            <w:tcW w:w="1143" w:type="dxa"/>
            <w:vMerge w:val="restart"/>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OBRAS Y ACCIONES, S.C. DE R.L.</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11-T-CAO-H-268-W-0-11</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224,122.94    A    149,415.29    C</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EN REMATE</w:t>
            </w:r>
          </w:p>
        </w:tc>
      </w:tr>
      <w:tr w:rsidR="00CB0BAD" w:rsidRPr="00CB0BAD" w:rsidTr="00CB0BAD">
        <w:trPr>
          <w:trHeight w:val="270"/>
        </w:trPr>
        <w:tc>
          <w:tcPr>
            <w:tcW w:w="426" w:type="dxa"/>
            <w:vMerge/>
            <w:tcBorders>
              <w:top w:val="nil"/>
              <w:left w:val="single" w:sz="4" w:space="0" w:color="auto"/>
              <w:bottom w:val="single" w:sz="4" w:space="0" w:color="auto"/>
              <w:right w:val="single" w:sz="4" w:space="0" w:color="auto"/>
            </w:tcBorders>
            <w:vAlign w:val="center"/>
            <w:hideMark/>
          </w:tcPr>
          <w:p w:rsidR="00CB0BAD" w:rsidRPr="00CB0BAD" w:rsidRDefault="00CB0BAD" w:rsidP="00CB0BAD">
            <w:pPr>
              <w:rPr>
                <w:rFonts w:asciiTheme="minorHAnsi" w:hAnsiTheme="minorHAnsi"/>
                <w:color w:val="000000"/>
                <w:sz w:val="16"/>
                <w:szCs w:val="16"/>
                <w:lang w:val="es-MX" w:eastAsia="es-MX"/>
              </w:rPr>
            </w:pPr>
          </w:p>
        </w:tc>
        <w:tc>
          <w:tcPr>
            <w:tcW w:w="1324" w:type="dxa"/>
            <w:vMerge/>
            <w:tcBorders>
              <w:top w:val="nil"/>
              <w:left w:val="single" w:sz="4" w:space="0" w:color="auto"/>
              <w:bottom w:val="single" w:sz="4" w:space="0" w:color="auto"/>
              <w:right w:val="single" w:sz="4" w:space="0" w:color="auto"/>
            </w:tcBorders>
            <w:vAlign w:val="center"/>
            <w:hideMark/>
          </w:tcPr>
          <w:p w:rsidR="00CB0BAD" w:rsidRPr="00CB0BAD" w:rsidRDefault="00CB0BAD" w:rsidP="00CB0BAD">
            <w:pPr>
              <w:rPr>
                <w:rFonts w:asciiTheme="minorHAnsi" w:hAnsiTheme="minorHAnsi"/>
                <w:color w:val="000000"/>
                <w:sz w:val="16"/>
                <w:szCs w:val="16"/>
                <w:lang w:val="es-MX" w:eastAsia="es-MX"/>
              </w:rPr>
            </w:pPr>
          </w:p>
        </w:tc>
        <w:tc>
          <w:tcPr>
            <w:tcW w:w="1418"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 xml:space="preserve"> 22387/13-17-01-8</w:t>
            </w:r>
          </w:p>
        </w:tc>
        <w:tc>
          <w:tcPr>
            <w:tcW w:w="1417" w:type="dxa"/>
            <w:vMerge/>
            <w:tcBorders>
              <w:top w:val="nil"/>
              <w:left w:val="single" w:sz="4" w:space="0" w:color="auto"/>
              <w:bottom w:val="single" w:sz="4" w:space="0" w:color="auto"/>
              <w:right w:val="single" w:sz="4" w:space="0" w:color="auto"/>
            </w:tcBorders>
            <w:vAlign w:val="center"/>
            <w:hideMark/>
          </w:tcPr>
          <w:p w:rsidR="00CB0BAD" w:rsidRPr="00CB0BAD" w:rsidRDefault="00CB0BAD" w:rsidP="00CB0BAD">
            <w:pPr>
              <w:rPr>
                <w:rFonts w:asciiTheme="minorHAnsi" w:hAnsiTheme="minorHAnsi"/>
                <w:color w:val="000000"/>
                <w:sz w:val="16"/>
                <w:szCs w:val="16"/>
                <w:lang w:val="es-MX" w:eastAsia="es-MX"/>
              </w:rPr>
            </w:pPr>
          </w:p>
        </w:tc>
        <w:tc>
          <w:tcPr>
            <w:tcW w:w="1125" w:type="dxa"/>
            <w:vMerge/>
            <w:tcBorders>
              <w:top w:val="nil"/>
              <w:left w:val="single" w:sz="4" w:space="0" w:color="auto"/>
              <w:bottom w:val="single" w:sz="4" w:space="0" w:color="auto"/>
              <w:right w:val="single" w:sz="4" w:space="0" w:color="auto"/>
            </w:tcBorders>
            <w:vAlign w:val="center"/>
            <w:hideMark/>
          </w:tcPr>
          <w:p w:rsidR="00CB0BAD" w:rsidRPr="00CB0BAD" w:rsidRDefault="00CB0BAD" w:rsidP="00CB0BAD">
            <w:pPr>
              <w:rPr>
                <w:rFonts w:asciiTheme="minorHAnsi" w:hAnsiTheme="minorHAnsi"/>
                <w:color w:val="000000"/>
                <w:sz w:val="16"/>
                <w:szCs w:val="16"/>
                <w:lang w:val="es-MX" w:eastAsia="es-MX"/>
              </w:rPr>
            </w:pPr>
          </w:p>
        </w:tc>
        <w:tc>
          <w:tcPr>
            <w:tcW w:w="1143" w:type="dxa"/>
            <w:vMerge/>
            <w:tcBorders>
              <w:top w:val="nil"/>
              <w:left w:val="single" w:sz="4" w:space="0" w:color="auto"/>
              <w:bottom w:val="single" w:sz="4" w:space="0" w:color="auto"/>
              <w:right w:val="single" w:sz="4" w:space="0" w:color="auto"/>
            </w:tcBorders>
            <w:vAlign w:val="center"/>
            <w:hideMark/>
          </w:tcPr>
          <w:p w:rsidR="00CB0BAD" w:rsidRPr="00CB0BAD" w:rsidRDefault="00CB0BAD" w:rsidP="00CB0BAD">
            <w:pPr>
              <w:rPr>
                <w:rFonts w:asciiTheme="minorHAnsi" w:hAnsiTheme="minorHAnsi"/>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CB0BAD" w:rsidRPr="00CB0BAD" w:rsidRDefault="00CB0BAD" w:rsidP="00CB0BAD">
            <w:pPr>
              <w:rPr>
                <w:rFonts w:asciiTheme="minorHAnsi" w:hAnsiTheme="minorHAns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CB0BAD" w:rsidRPr="00CB0BAD" w:rsidRDefault="00CB0BAD" w:rsidP="00CB0BAD">
            <w:pPr>
              <w:rPr>
                <w:rFonts w:asciiTheme="minorHAnsi" w:hAnsiTheme="minorHAnsi"/>
                <w:color w:val="000000"/>
                <w:sz w:val="16"/>
                <w:szCs w:val="16"/>
                <w:lang w:val="es-MX" w:eastAsia="es-MX"/>
              </w:rPr>
            </w:pPr>
          </w:p>
        </w:tc>
        <w:tc>
          <w:tcPr>
            <w:tcW w:w="992" w:type="dxa"/>
            <w:vMerge/>
            <w:tcBorders>
              <w:top w:val="nil"/>
              <w:left w:val="single" w:sz="4" w:space="0" w:color="auto"/>
              <w:bottom w:val="single" w:sz="4" w:space="0" w:color="auto"/>
              <w:right w:val="single" w:sz="4" w:space="0" w:color="auto"/>
            </w:tcBorders>
            <w:vAlign w:val="center"/>
            <w:hideMark/>
          </w:tcPr>
          <w:p w:rsidR="00CB0BAD" w:rsidRPr="00CB0BAD" w:rsidRDefault="00CB0BAD" w:rsidP="00CB0BAD">
            <w:pPr>
              <w:rPr>
                <w:rFonts w:asciiTheme="minorHAnsi" w:hAnsiTheme="minorHAnsi"/>
                <w:color w:val="000000"/>
                <w:sz w:val="16"/>
                <w:szCs w:val="16"/>
                <w:lang w:val="es-MX" w:eastAsia="es-MX"/>
              </w:rPr>
            </w:pPr>
          </w:p>
        </w:tc>
      </w:tr>
      <w:tr w:rsidR="00CB0BAD" w:rsidRPr="00CB0BAD" w:rsidTr="00CB0BAD">
        <w:trPr>
          <w:trHeight w:val="795"/>
        </w:trPr>
        <w:tc>
          <w:tcPr>
            <w:tcW w:w="426" w:type="dxa"/>
            <w:vMerge w:val="restart"/>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5</w:t>
            </w:r>
          </w:p>
        </w:tc>
        <w:tc>
          <w:tcPr>
            <w:tcW w:w="1324" w:type="dxa"/>
            <w:vMerge w:val="restart"/>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732/14-15-01-9</w:t>
            </w:r>
          </w:p>
        </w:tc>
        <w:tc>
          <w:tcPr>
            <w:tcW w:w="1418"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 xml:space="preserve">04/108H.1/C6.5.1/011/12              </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DAP/0193/2012</w:t>
            </w:r>
          </w:p>
        </w:tc>
        <w:tc>
          <w:tcPr>
            <w:tcW w:w="1125" w:type="dxa"/>
            <w:vMerge w:val="restart"/>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PRIMERO FIANZAS, S.A. DE C.V.</w:t>
            </w:r>
          </w:p>
        </w:tc>
        <w:tc>
          <w:tcPr>
            <w:tcW w:w="1143" w:type="dxa"/>
            <w:vMerge w:val="restart"/>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CONSTRUCCIONES CONFER, S.A. DE C.V.</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9-T-CAO-H-235-W-0-9</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249,953.83     C</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CONCLUIDO EN NULIDAD</w:t>
            </w:r>
          </w:p>
        </w:tc>
      </w:tr>
      <w:tr w:rsidR="00CB0BAD" w:rsidRPr="00CB0BAD" w:rsidTr="00CB0BAD">
        <w:trPr>
          <w:trHeight w:val="270"/>
        </w:trPr>
        <w:tc>
          <w:tcPr>
            <w:tcW w:w="426" w:type="dxa"/>
            <w:vMerge/>
            <w:tcBorders>
              <w:top w:val="nil"/>
              <w:left w:val="single" w:sz="4" w:space="0" w:color="auto"/>
              <w:bottom w:val="single" w:sz="4" w:space="0" w:color="auto"/>
              <w:right w:val="single" w:sz="4" w:space="0" w:color="auto"/>
            </w:tcBorders>
            <w:vAlign w:val="center"/>
            <w:hideMark/>
          </w:tcPr>
          <w:p w:rsidR="00CB0BAD" w:rsidRPr="00CB0BAD" w:rsidRDefault="00CB0BAD" w:rsidP="00CB0BAD">
            <w:pPr>
              <w:rPr>
                <w:rFonts w:asciiTheme="minorHAnsi" w:hAnsiTheme="minorHAnsi"/>
                <w:color w:val="000000"/>
                <w:sz w:val="16"/>
                <w:szCs w:val="16"/>
                <w:lang w:val="es-MX" w:eastAsia="es-MX"/>
              </w:rPr>
            </w:pPr>
          </w:p>
        </w:tc>
        <w:tc>
          <w:tcPr>
            <w:tcW w:w="1324" w:type="dxa"/>
            <w:vMerge/>
            <w:tcBorders>
              <w:top w:val="nil"/>
              <w:left w:val="single" w:sz="4" w:space="0" w:color="auto"/>
              <w:bottom w:val="single" w:sz="4" w:space="0" w:color="auto"/>
              <w:right w:val="single" w:sz="4" w:space="0" w:color="auto"/>
            </w:tcBorders>
            <w:vAlign w:val="center"/>
            <w:hideMark/>
          </w:tcPr>
          <w:p w:rsidR="00CB0BAD" w:rsidRPr="00CB0BAD" w:rsidRDefault="00CB0BAD" w:rsidP="00CB0BAD">
            <w:pPr>
              <w:rPr>
                <w:rFonts w:asciiTheme="minorHAnsi" w:hAnsiTheme="minorHAnsi"/>
                <w:color w:val="000000"/>
                <w:sz w:val="16"/>
                <w:szCs w:val="16"/>
                <w:lang w:val="es-MX" w:eastAsia="es-MX"/>
              </w:rPr>
            </w:pPr>
          </w:p>
        </w:tc>
        <w:tc>
          <w:tcPr>
            <w:tcW w:w="1418"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 xml:space="preserve">   2 TOMOS</w:t>
            </w:r>
          </w:p>
        </w:tc>
        <w:tc>
          <w:tcPr>
            <w:tcW w:w="1417" w:type="dxa"/>
            <w:vMerge/>
            <w:tcBorders>
              <w:top w:val="nil"/>
              <w:left w:val="single" w:sz="4" w:space="0" w:color="auto"/>
              <w:bottom w:val="single" w:sz="4" w:space="0" w:color="auto"/>
              <w:right w:val="single" w:sz="4" w:space="0" w:color="auto"/>
            </w:tcBorders>
            <w:vAlign w:val="center"/>
            <w:hideMark/>
          </w:tcPr>
          <w:p w:rsidR="00CB0BAD" w:rsidRPr="00CB0BAD" w:rsidRDefault="00CB0BAD" w:rsidP="00CB0BAD">
            <w:pPr>
              <w:rPr>
                <w:rFonts w:asciiTheme="minorHAnsi" w:hAnsiTheme="minorHAnsi"/>
                <w:color w:val="000000"/>
                <w:sz w:val="16"/>
                <w:szCs w:val="16"/>
                <w:lang w:val="es-MX" w:eastAsia="es-MX"/>
              </w:rPr>
            </w:pPr>
          </w:p>
        </w:tc>
        <w:tc>
          <w:tcPr>
            <w:tcW w:w="1125" w:type="dxa"/>
            <w:vMerge/>
            <w:tcBorders>
              <w:top w:val="nil"/>
              <w:left w:val="single" w:sz="4" w:space="0" w:color="auto"/>
              <w:bottom w:val="single" w:sz="4" w:space="0" w:color="auto"/>
              <w:right w:val="single" w:sz="4" w:space="0" w:color="auto"/>
            </w:tcBorders>
            <w:vAlign w:val="center"/>
            <w:hideMark/>
          </w:tcPr>
          <w:p w:rsidR="00CB0BAD" w:rsidRPr="00CB0BAD" w:rsidRDefault="00CB0BAD" w:rsidP="00CB0BAD">
            <w:pPr>
              <w:rPr>
                <w:rFonts w:asciiTheme="minorHAnsi" w:hAnsiTheme="minorHAnsi"/>
                <w:color w:val="000000"/>
                <w:sz w:val="16"/>
                <w:szCs w:val="16"/>
                <w:lang w:val="es-MX" w:eastAsia="es-MX"/>
              </w:rPr>
            </w:pPr>
          </w:p>
        </w:tc>
        <w:tc>
          <w:tcPr>
            <w:tcW w:w="1143" w:type="dxa"/>
            <w:vMerge/>
            <w:tcBorders>
              <w:top w:val="nil"/>
              <w:left w:val="single" w:sz="4" w:space="0" w:color="auto"/>
              <w:bottom w:val="single" w:sz="4" w:space="0" w:color="auto"/>
              <w:right w:val="single" w:sz="4" w:space="0" w:color="auto"/>
            </w:tcBorders>
            <w:vAlign w:val="center"/>
            <w:hideMark/>
          </w:tcPr>
          <w:p w:rsidR="00CB0BAD" w:rsidRPr="00CB0BAD" w:rsidRDefault="00CB0BAD" w:rsidP="00CB0BAD">
            <w:pPr>
              <w:rPr>
                <w:rFonts w:asciiTheme="minorHAnsi" w:hAnsiTheme="minorHAnsi"/>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CB0BAD" w:rsidRPr="00CB0BAD" w:rsidRDefault="00CB0BAD" w:rsidP="00CB0BAD">
            <w:pPr>
              <w:rPr>
                <w:rFonts w:asciiTheme="minorHAnsi" w:hAnsiTheme="minorHAns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CB0BAD" w:rsidRPr="00CB0BAD" w:rsidRDefault="00CB0BAD" w:rsidP="00CB0BAD">
            <w:pPr>
              <w:rPr>
                <w:rFonts w:asciiTheme="minorHAnsi" w:hAnsiTheme="minorHAnsi"/>
                <w:color w:val="000000"/>
                <w:sz w:val="16"/>
                <w:szCs w:val="16"/>
                <w:lang w:val="es-MX" w:eastAsia="es-MX"/>
              </w:rPr>
            </w:pPr>
          </w:p>
        </w:tc>
        <w:tc>
          <w:tcPr>
            <w:tcW w:w="992" w:type="dxa"/>
            <w:vMerge/>
            <w:tcBorders>
              <w:top w:val="nil"/>
              <w:left w:val="single" w:sz="4" w:space="0" w:color="auto"/>
              <w:bottom w:val="single" w:sz="4" w:space="0" w:color="auto"/>
              <w:right w:val="single" w:sz="4" w:space="0" w:color="auto"/>
            </w:tcBorders>
            <w:vAlign w:val="center"/>
            <w:hideMark/>
          </w:tcPr>
          <w:p w:rsidR="00CB0BAD" w:rsidRPr="00CB0BAD" w:rsidRDefault="00CB0BAD" w:rsidP="00CB0BAD">
            <w:pPr>
              <w:rPr>
                <w:rFonts w:asciiTheme="minorHAnsi" w:hAnsiTheme="minorHAnsi"/>
                <w:color w:val="000000"/>
                <w:sz w:val="16"/>
                <w:szCs w:val="16"/>
                <w:lang w:val="es-MX" w:eastAsia="es-MX"/>
              </w:rPr>
            </w:pPr>
          </w:p>
        </w:tc>
      </w:tr>
      <w:tr w:rsidR="00CB0BAD" w:rsidRPr="00CB0BAD" w:rsidTr="004650BF">
        <w:trPr>
          <w:trHeight w:val="1233"/>
        </w:trPr>
        <w:tc>
          <w:tcPr>
            <w:tcW w:w="426"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6</w:t>
            </w:r>
          </w:p>
        </w:tc>
        <w:tc>
          <w:tcPr>
            <w:tcW w:w="1324"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979/14-15-01-2</w:t>
            </w:r>
          </w:p>
        </w:tc>
        <w:tc>
          <w:tcPr>
            <w:tcW w:w="1418"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04/108H.1/C6.5.1/009/13</w:t>
            </w:r>
          </w:p>
        </w:tc>
        <w:tc>
          <w:tcPr>
            <w:tcW w:w="1417"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DAP/0556/2013</w:t>
            </w:r>
          </w:p>
        </w:tc>
        <w:tc>
          <w:tcPr>
            <w:tcW w:w="1125"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SOFIMEX, S.A.</w:t>
            </w:r>
          </w:p>
        </w:tc>
        <w:tc>
          <w:tcPr>
            <w:tcW w:w="1143"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SERVICIOS Y CONECCIONES PARA CARRETERAS DE OAXACA, S.A. DE C.V.</w:t>
            </w:r>
          </w:p>
        </w:tc>
        <w:tc>
          <w:tcPr>
            <w:tcW w:w="1134"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11-T-CAO-H-060-W-0-11</w:t>
            </w:r>
          </w:p>
        </w:tc>
        <w:tc>
          <w:tcPr>
            <w:tcW w:w="1276"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3,596,368.61   A 2,133,126.10    C</w:t>
            </w:r>
          </w:p>
        </w:tc>
        <w:tc>
          <w:tcPr>
            <w:tcW w:w="992"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EN REMATE</w:t>
            </w:r>
          </w:p>
        </w:tc>
      </w:tr>
      <w:tr w:rsidR="00CB0BAD" w:rsidRPr="00CB0BAD" w:rsidTr="004650BF">
        <w:trPr>
          <w:trHeight w:val="1265"/>
        </w:trPr>
        <w:tc>
          <w:tcPr>
            <w:tcW w:w="426"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7</w:t>
            </w:r>
          </w:p>
        </w:tc>
        <w:tc>
          <w:tcPr>
            <w:tcW w:w="1324"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980/14-15-01-3</w:t>
            </w:r>
          </w:p>
        </w:tc>
        <w:tc>
          <w:tcPr>
            <w:tcW w:w="1418"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04/108H.1/C6.5.1/011/13</w:t>
            </w:r>
          </w:p>
        </w:tc>
        <w:tc>
          <w:tcPr>
            <w:tcW w:w="1417"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DAP/0557/2013</w:t>
            </w:r>
          </w:p>
        </w:tc>
        <w:tc>
          <w:tcPr>
            <w:tcW w:w="1125"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SOFIMEX, S.A.</w:t>
            </w:r>
          </w:p>
        </w:tc>
        <w:tc>
          <w:tcPr>
            <w:tcW w:w="1143"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SERVICIOS Y CONECCIONES PARA CARRETERAS DE OAXACA, S.A. DE C.V.</w:t>
            </w:r>
          </w:p>
        </w:tc>
        <w:tc>
          <w:tcPr>
            <w:tcW w:w="1134"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11-T-CAO-H-054-W-0-11</w:t>
            </w:r>
          </w:p>
        </w:tc>
        <w:tc>
          <w:tcPr>
            <w:tcW w:w="1276"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2,475,724.40    A  1,650,482.93    C</w:t>
            </w:r>
          </w:p>
        </w:tc>
        <w:tc>
          <w:tcPr>
            <w:tcW w:w="992"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EN REMATE</w:t>
            </w:r>
          </w:p>
        </w:tc>
      </w:tr>
    </w:tbl>
    <w:p w:rsidR="004650BF" w:rsidRDefault="004650BF"/>
    <w:p w:rsidR="004650BF" w:rsidRDefault="004650BF"/>
    <w:p w:rsidR="004650BF" w:rsidRDefault="004650BF"/>
    <w:p w:rsidR="004650BF" w:rsidRDefault="004650BF"/>
    <w:p w:rsidR="004650BF" w:rsidRDefault="004650BF"/>
    <w:p w:rsidR="004650BF" w:rsidRDefault="004650BF"/>
    <w:tbl>
      <w:tblPr>
        <w:tblW w:w="1025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26"/>
        <w:gridCol w:w="1324"/>
        <w:gridCol w:w="1418"/>
        <w:gridCol w:w="1417"/>
        <w:gridCol w:w="1125"/>
        <w:gridCol w:w="1143"/>
        <w:gridCol w:w="1134"/>
        <w:gridCol w:w="1276"/>
        <w:gridCol w:w="992"/>
      </w:tblGrid>
      <w:tr w:rsidR="004650BF" w:rsidRPr="00CB0BAD" w:rsidTr="004650BF">
        <w:trPr>
          <w:trHeight w:val="540"/>
        </w:trPr>
        <w:tc>
          <w:tcPr>
            <w:tcW w:w="426" w:type="dxa"/>
            <w:shd w:val="clear" w:color="000000" w:fill="F2F2F2"/>
            <w:hideMark/>
          </w:tcPr>
          <w:p w:rsidR="004650BF" w:rsidRPr="00CB0BAD" w:rsidRDefault="004650BF" w:rsidP="008F5A9C">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N</w:t>
            </w:r>
            <w:r>
              <w:rPr>
                <w:rFonts w:asciiTheme="minorHAnsi" w:hAnsiTheme="minorHAnsi"/>
                <w:b/>
                <w:bCs/>
                <w:color w:val="000000"/>
                <w:sz w:val="16"/>
                <w:szCs w:val="16"/>
                <w:lang w:val="es-ES_tradnl" w:eastAsia="es-MX"/>
              </w:rPr>
              <w:t>.</w:t>
            </w:r>
          </w:p>
        </w:tc>
        <w:tc>
          <w:tcPr>
            <w:tcW w:w="1324" w:type="dxa"/>
            <w:shd w:val="clear" w:color="000000" w:fill="F2F2F2"/>
            <w:hideMark/>
          </w:tcPr>
          <w:p w:rsidR="004650BF" w:rsidRPr="00CB0BAD" w:rsidRDefault="004650BF" w:rsidP="008F5A9C">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EXPEDIENTE</w:t>
            </w:r>
          </w:p>
        </w:tc>
        <w:tc>
          <w:tcPr>
            <w:tcW w:w="1418" w:type="dxa"/>
            <w:shd w:val="clear" w:color="000000" w:fill="F2F2F2"/>
            <w:hideMark/>
          </w:tcPr>
          <w:p w:rsidR="004650BF" w:rsidRPr="00CB0BAD" w:rsidRDefault="004650BF" w:rsidP="008F5A9C">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REFERENCIA</w:t>
            </w:r>
          </w:p>
        </w:tc>
        <w:tc>
          <w:tcPr>
            <w:tcW w:w="1417" w:type="dxa"/>
            <w:shd w:val="clear" w:color="000000" w:fill="F2F2F2"/>
            <w:hideMark/>
          </w:tcPr>
          <w:p w:rsidR="004650BF" w:rsidRPr="00CB0BAD" w:rsidRDefault="004650BF" w:rsidP="008F5A9C">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REQUERIMIENTO</w:t>
            </w:r>
          </w:p>
        </w:tc>
        <w:tc>
          <w:tcPr>
            <w:tcW w:w="1125" w:type="dxa"/>
            <w:shd w:val="clear" w:color="000000" w:fill="F2F2F2"/>
            <w:hideMark/>
          </w:tcPr>
          <w:p w:rsidR="004650BF" w:rsidRPr="00CB0BAD" w:rsidRDefault="004650BF" w:rsidP="008F5A9C">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AFIANZADORA</w:t>
            </w:r>
          </w:p>
        </w:tc>
        <w:tc>
          <w:tcPr>
            <w:tcW w:w="1143" w:type="dxa"/>
            <w:shd w:val="clear" w:color="000000" w:fill="F2F2F2"/>
            <w:hideMark/>
          </w:tcPr>
          <w:p w:rsidR="004650BF" w:rsidRPr="00CB0BAD" w:rsidRDefault="004650BF" w:rsidP="008F5A9C">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FIADO</w:t>
            </w:r>
          </w:p>
        </w:tc>
        <w:tc>
          <w:tcPr>
            <w:tcW w:w="1134" w:type="dxa"/>
            <w:shd w:val="clear" w:color="000000" w:fill="F2F2F2"/>
            <w:hideMark/>
          </w:tcPr>
          <w:p w:rsidR="004650BF" w:rsidRPr="00CB0BAD" w:rsidRDefault="004650BF" w:rsidP="008F5A9C">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CONTRATO</w:t>
            </w:r>
          </w:p>
        </w:tc>
        <w:tc>
          <w:tcPr>
            <w:tcW w:w="1276" w:type="dxa"/>
            <w:shd w:val="clear" w:color="000000" w:fill="F2F2F2"/>
            <w:hideMark/>
          </w:tcPr>
          <w:p w:rsidR="004650BF" w:rsidRPr="00CB0BAD" w:rsidRDefault="004650BF" w:rsidP="008F5A9C">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MONTO</w:t>
            </w:r>
          </w:p>
        </w:tc>
        <w:tc>
          <w:tcPr>
            <w:tcW w:w="992" w:type="dxa"/>
            <w:shd w:val="clear" w:color="000000" w:fill="F2F2F2"/>
            <w:hideMark/>
          </w:tcPr>
          <w:p w:rsidR="004650BF" w:rsidRPr="00CB0BAD" w:rsidRDefault="004650BF" w:rsidP="008F5A9C">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ESTADO ACTUAL</w:t>
            </w:r>
          </w:p>
        </w:tc>
      </w:tr>
    </w:tbl>
    <w:p w:rsidR="004650BF" w:rsidRDefault="004650BF" w:rsidP="004650BF"/>
    <w:tbl>
      <w:tblPr>
        <w:tblW w:w="10255" w:type="dxa"/>
        <w:tblInd w:w="-214" w:type="dxa"/>
        <w:tblLayout w:type="fixed"/>
        <w:tblCellMar>
          <w:left w:w="70" w:type="dxa"/>
          <w:right w:w="70" w:type="dxa"/>
        </w:tblCellMar>
        <w:tblLook w:val="04A0"/>
      </w:tblPr>
      <w:tblGrid>
        <w:gridCol w:w="426"/>
        <w:gridCol w:w="1324"/>
        <w:gridCol w:w="1418"/>
        <w:gridCol w:w="1417"/>
        <w:gridCol w:w="1125"/>
        <w:gridCol w:w="1143"/>
        <w:gridCol w:w="1134"/>
        <w:gridCol w:w="1276"/>
        <w:gridCol w:w="992"/>
      </w:tblGrid>
      <w:tr w:rsidR="00CB0BAD" w:rsidRPr="00CB0BAD" w:rsidTr="004650BF">
        <w:trPr>
          <w:trHeight w:val="2224"/>
        </w:trPr>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8</w:t>
            </w:r>
          </w:p>
        </w:tc>
        <w:tc>
          <w:tcPr>
            <w:tcW w:w="1324"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32046/14-17-06-1</w:t>
            </w:r>
          </w:p>
        </w:tc>
        <w:tc>
          <w:tcPr>
            <w:tcW w:w="1418"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04/108H.1/C6.5.1/012/14</w:t>
            </w:r>
          </w:p>
        </w:tc>
        <w:tc>
          <w:tcPr>
            <w:tcW w:w="1417"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DAP/0526/2014</w:t>
            </w:r>
          </w:p>
        </w:tc>
        <w:tc>
          <w:tcPr>
            <w:tcW w:w="1125"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MAPFRE FIANZAS S.A.</w:t>
            </w:r>
          </w:p>
        </w:tc>
        <w:tc>
          <w:tcPr>
            <w:tcW w:w="1143"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URBANIZACIONES TOG, S.A. DE C.V.</w:t>
            </w:r>
          </w:p>
        </w:tc>
        <w:tc>
          <w:tcPr>
            <w:tcW w:w="1134"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CAO-FD-O71-W-0-12</w:t>
            </w:r>
          </w:p>
        </w:tc>
        <w:tc>
          <w:tcPr>
            <w:tcW w:w="1276"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1,482,525.88    A 580,625.35      C</w:t>
            </w:r>
          </w:p>
        </w:tc>
        <w:tc>
          <w:tcPr>
            <w:tcW w:w="992"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SE PRESENTO INCIDENTE DE INCOMPETENCIA POR RAZÓN DE TERRITORIO PENDIENTE DE RESOLUCIÓN</w:t>
            </w:r>
          </w:p>
        </w:tc>
      </w:tr>
      <w:tr w:rsidR="00CB0BAD" w:rsidRPr="00CB0BAD" w:rsidTr="00CB0BAD">
        <w:trPr>
          <w:trHeight w:val="1080"/>
        </w:trPr>
        <w:tc>
          <w:tcPr>
            <w:tcW w:w="426"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9</w:t>
            </w:r>
          </w:p>
        </w:tc>
        <w:tc>
          <w:tcPr>
            <w:tcW w:w="1324"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580/15-15-01-2/14/15323-12-01-01-01-OT</w:t>
            </w:r>
          </w:p>
        </w:tc>
        <w:tc>
          <w:tcPr>
            <w:tcW w:w="1418"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04/108H.1/C6.5.1/009/14</w:t>
            </w:r>
          </w:p>
        </w:tc>
        <w:tc>
          <w:tcPr>
            <w:tcW w:w="1417"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DAP/0256/2014</w:t>
            </w:r>
          </w:p>
        </w:tc>
        <w:tc>
          <w:tcPr>
            <w:tcW w:w="1125"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ASERTA, S.A. DE C.V.</w:t>
            </w:r>
          </w:p>
        </w:tc>
        <w:tc>
          <w:tcPr>
            <w:tcW w:w="1143"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FEDERICO IRAN CABRERA VERDE</w:t>
            </w:r>
          </w:p>
        </w:tc>
        <w:tc>
          <w:tcPr>
            <w:tcW w:w="1134"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11-T-CAO-H-318-W-0-11</w:t>
            </w:r>
          </w:p>
        </w:tc>
        <w:tc>
          <w:tcPr>
            <w:tcW w:w="1276"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392,722.75     A    261,815.03     C</w:t>
            </w:r>
          </w:p>
        </w:tc>
        <w:tc>
          <w:tcPr>
            <w:tcW w:w="992"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PENDIENTE DE RESOLUCIÓN SALA</w:t>
            </w:r>
          </w:p>
        </w:tc>
      </w:tr>
      <w:tr w:rsidR="00CB0BAD" w:rsidRPr="00CB0BAD" w:rsidTr="004650BF">
        <w:trPr>
          <w:trHeight w:val="2299"/>
        </w:trPr>
        <w:tc>
          <w:tcPr>
            <w:tcW w:w="426"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10</w:t>
            </w:r>
          </w:p>
        </w:tc>
        <w:tc>
          <w:tcPr>
            <w:tcW w:w="1324"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32045/14-17-07-8</w:t>
            </w:r>
          </w:p>
        </w:tc>
        <w:tc>
          <w:tcPr>
            <w:tcW w:w="1418"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04/108H.1/C6.5.1/011/14</w:t>
            </w:r>
          </w:p>
        </w:tc>
        <w:tc>
          <w:tcPr>
            <w:tcW w:w="1417"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DAP/0482/2014</w:t>
            </w:r>
          </w:p>
        </w:tc>
        <w:tc>
          <w:tcPr>
            <w:tcW w:w="1125"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MAPFRE FIANZAS S.A.</w:t>
            </w:r>
          </w:p>
        </w:tc>
        <w:tc>
          <w:tcPr>
            <w:tcW w:w="1143"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URBANIZACIONES TOG, S.A. DE C.V.</w:t>
            </w:r>
          </w:p>
        </w:tc>
        <w:tc>
          <w:tcPr>
            <w:tcW w:w="1134"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CAO-FD-O70-W-0-12</w:t>
            </w:r>
          </w:p>
        </w:tc>
        <w:tc>
          <w:tcPr>
            <w:tcW w:w="1276"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1,489,175.94    A 583,371.94      C</w:t>
            </w:r>
          </w:p>
        </w:tc>
        <w:tc>
          <w:tcPr>
            <w:tcW w:w="992"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SE PRESENTO INCIDENTE DE INCOMPETENCIA POR RAZÓN DE TERRITORIO PENDIENTE DE RESOLUCIÓN</w:t>
            </w:r>
          </w:p>
        </w:tc>
      </w:tr>
      <w:tr w:rsidR="00CB0BAD" w:rsidRPr="00CB0BAD" w:rsidTr="00CB0BAD">
        <w:trPr>
          <w:trHeight w:val="810"/>
        </w:trPr>
        <w:tc>
          <w:tcPr>
            <w:tcW w:w="426"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11</w:t>
            </w:r>
          </w:p>
        </w:tc>
        <w:tc>
          <w:tcPr>
            <w:tcW w:w="1324"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47/15-15-01-1</w:t>
            </w:r>
          </w:p>
        </w:tc>
        <w:tc>
          <w:tcPr>
            <w:tcW w:w="1418" w:type="dxa"/>
            <w:tcBorders>
              <w:top w:val="nil"/>
              <w:left w:val="nil"/>
              <w:bottom w:val="single" w:sz="4" w:space="0" w:color="auto"/>
              <w:right w:val="single" w:sz="4" w:space="0" w:color="auto"/>
            </w:tcBorders>
            <w:shd w:val="clear" w:color="auto" w:fill="auto"/>
            <w:hideMark/>
          </w:tcPr>
          <w:p w:rsidR="00CB0BAD" w:rsidRPr="00CB0BAD" w:rsidRDefault="00CB0BAD" w:rsidP="00CB0BAD">
            <w:pPr>
              <w:rPr>
                <w:rFonts w:asciiTheme="minorHAnsi" w:hAnsiTheme="minorHAnsi"/>
                <w:color w:val="000000"/>
                <w:sz w:val="16"/>
                <w:szCs w:val="16"/>
                <w:lang w:val="es-MX" w:eastAsia="es-MX"/>
              </w:rPr>
            </w:pPr>
            <w:r w:rsidRPr="00CB0BAD">
              <w:rPr>
                <w:rFonts w:asciiTheme="minorHAnsi" w:hAnsiTheme="minorHAns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DAP/0511/2014</w:t>
            </w:r>
          </w:p>
        </w:tc>
        <w:tc>
          <w:tcPr>
            <w:tcW w:w="1125"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FIANZAS ATLAS, S.A.</w:t>
            </w:r>
          </w:p>
        </w:tc>
        <w:tc>
          <w:tcPr>
            <w:tcW w:w="1143"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BABLE PROYECTOS, S.A. DE C.V.</w:t>
            </w:r>
          </w:p>
        </w:tc>
        <w:tc>
          <w:tcPr>
            <w:tcW w:w="1134"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SA/SUBPRMS/DRM/007/2003</w:t>
            </w:r>
          </w:p>
        </w:tc>
        <w:tc>
          <w:tcPr>
            <w:tcW w:w="1276"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797,758.08 V. O.</w:t>
            </w:r>
          </w:p>
        </w:tc>
        <w:tc>
          <w:tcPr>
            <w:tcW w:w="992"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EN AMPARO</w:t>
            </w:r>
          </w:p>
        </w:tc>
      </w:tr>
      <w:tr w:rsidR="00CB0BAD" w:rsidRPr="00CB0BAD" w:rsidTr="00CB0BAD">
        <w:trPr>
          <w:trHeight w:val="1080"/>
        </w:trPr>
        <w:tc>
          <w:tcPr>
            <w:tcW w:w="426"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12</w:t>
            </w:r>
          </w:p>
        </w:tc>
        <w:tc>
          <w:tcPr>
            <w:tcW w:w="1324"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683/15-15-01-7</w:t>
            </w:r>
          </w:p>
        </w:tc>
        <w:tc>
          <w:tcPr>
            <w:tcW w:w="1418"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04/108H.1/C6.5.1/027/14</w:t>
            </w:r>
          </w:p>
        </w:tc>
        <w:tc>
          <w:tcPr>
            <w:tcW w:w="1417"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DPA/0314/2015</w:t>
            </w:r>
          </w:p>
        </w:tc>
        <w:tc>
          <w:tcPr>
            <w:tcW w:w="1125"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FIANZAS MONTERREY, S.A.</w:t>
            </w:r>
          </w:p>
        </w:tc>
        <w:tc>
          <w:tcPr>
            <w:tcW w:w="1143"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DEMON INGENIERIA, S.A. DE C.V.</w:t>
            </w:r>
          </w:p>
        </w:tc>
        <w:tc>
          <w:tcPr>
            <w:tcW w:w="1134"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CAO-FR150-Y-0-12 DE FECHA 14/0912</w:t>
            </w:r>
          </w:p>
        </w:tc>
        <w:tc>
          <w:tcPr>
            <w:tcW w:w="1276"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$312,000.00    A 208,000.00      C</w:t>
            </w:r>
          </w:p>
        </w:tc>
        <w:tc>
          <w:tcPr>
            <w:tcW w:w="992"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PENDIENTE DE RESOLUCIÓN SALA</w:t>
            </w:r>
          </w:p>
        </w:tc>
      </w:tr>
      <w:tr w:rsidR="00CB0BAD" w:rsidRPr="00CB0BAD" w:rsidTr="00CB0BAD">
        <w:trPr>
          <w:trHeight w:val="2160"/>
        </w:trPr>
        <w:tc>
          <w:tcPr>
            <w:tcW w:w="426"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13</w:t>
            </w:r>
          </w:p>
        </w:tc>
        <w:tc>
          <w:tcPr>
            <w:tcW w:w="1324"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706/15-15-01-7</w:t>
            </w:r>
          </w:p>
        </w:tc>
        <w:tc>
          <w:tcPr>
            <w:tcW w:w="1418"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04/108H.4/C6.5.1/001/15 (ANTES 04/108H.1/C6.5.1/001/15 )</w:t>
            </w:r>
          </w:p>
        </w:tc>
        <w:tc>
          <w:tcPr>
            <w:tcW w:w="1417"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DPA/0841/2015</w:t>
            </w:r>
          </w:p>
        </w:tc>
        <w:tc>
          <w:tcPr>
            <w:tcW w:w="1125"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SOFIMEX, S.A.</w:t>
            </w:r>
          </w:p>
        </w:tc>
        <w:tc>
          <w:tcPr>
            <w:tcW w:w="1143"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BABLE PROYECTOS, S.A. DE C.V.</w:t>
            </w:r>
          </w:p>
        </w:tc>
        <w:tc>
          <w:tcPr>
            <w:tcW w:w="1134"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CEVI/AD/CONAVI/001/2012</w:t>
            </w:r>
          </w:p>
        </w:tc>
        <w:tc>
          <w:tcPr>
            <w:tcW w:w="1276"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$6'300,000.00   A  1'344,000.00     C</w:t>
            </w:r>
          </w:p>
        </w:tc>
        <w:tc>
          <w:tcPr>
            <w:tcW w:w="992"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PENDIENTE DE CONTESTAR DEMANDA INTERPUESTA POR LA EMPRESA BABLE</w:t>
            </w:r>
          </w:p>
        </w:tc>
      </w:tr>
    </w:tbl>
    <w:p w:rsidR="004650BF" w:rsidRDefault="004650BF"/>
    <w:p w:rsidR="004650BF" w:rsidRDefault="004650BF"/>
    <w:p w:rsidR="004650BF" w:rsidRDefault="004650BF"/>
    <w:tbl>
      <w:tblPr>
        <w:tblW w:w="1025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26"/>
        <w:gridCol w:w="1324"/>
        <w:gridCol w:w="1418"/>
        <w:gridCol w:w="1417"/>
        <w:gridCol w:w="1125"/>
        <w:gridCol w:w="1143"/>
        <w:gridCol w:w="1134"/>
        <w:gridCol w:w="1276"/>
        <w:gridCol w:w="992"/>
      </w:tblGrid>
      <w:tr w:rsidR="004650BF" w:rsidRPr="00CB0BAD" w:rsidTr="004650BF">
        <w:trPr>
          <w:trHeight w:val="540"/>
        </w:trPr>
        <w:tc>
          <w:tcPr>
            <w:tcW w:w="426" w:type="dxa"/>
            <w:shd w:val="clear" w:color="000000" w:fill="F2F2F2"/>
            <w:hideMark/>
          </w:tcPr>
          <w:p w:rsidR="004650BF" w:rsidRPr="00CB0BAD" w:rsidRDefault="004650BF" w:rsidP="008F5A9C">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N</w:t>
            </w:r>
            <w:r>
              <w:rPr>
                <w:rFonts w:asciiTheme="minorHAnsi" w:hAnsiTheme="minorHAnsi"/>
                <w:b/>
                <w:bCs/>
                <w:color w:val="000000"/>
                <w:sz w:val="16"/>
                <w:szCs w:val="16"/>
                <w:lang w:val="es-ES_tradnl" w:eastAsia="es-MX"/>
              </w:rPr>
              <w:t>.</w:t>
            </w:r>
          </w:p>
        </w:tc>
        <w:tc>
          <w:tcPr>
            <w:tcW w:w="1324" w:type="dxa"/>
            <w:shd w:val="clear" w:color="000000" w:fill="F2F2F2"/>
            <w:hideMark/>
          </w:tcPr>
          <w:p w:rsidR="004650BF" w:rsidRPr="00CB0BAD" w:rsidRDefault="004650BF" w:rsidP="008F5A9C">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EXPEDIENTE</w:t>
            </w:r>
          </w:p>
        </w:tc>
        <w:tc>
          <w:tcPr>
            <w:tcW w:w="1418" w:type="dxa"/>
            <w:shd w:val="clear" w:color="000000" w:fill="F2F2F2"/>
            <w:hideMark/>
          </w:tcPr>
          <w:p w:rsidR="004650BF" w:rsidRPr="00CB0BAD" w:rsidRDefault="004650BF" w:rsidP="008F5A9C">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REFERENCIA</w:t>
            </w:r>
          </w:p>
        </w:tc>
        <w:tc>
          <w:tcPr>
            <w:tcW w:w="1417" w:type="dxa"/>
            <w:shd w:val="clear" w:color="000000" w:fill="F2F2F2"/>
            <w:hideMark/>
          </w:tcPr>
          <w:p w:rsidR="004650BF" w:rsidRPr="00CB0BAD" w:rsidRDefault="004650BF" w:rsidP="008F5A9C">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REQUERIMIENTO</w:t>
            </w:r>
          </w:p>
        </w:tc>
        <w:tc>
          <w:tcPr>
            <w:tcW w:w="1125" w:type="dxa"/>
            <w:shd w:val="clear" w:color="000000" w:fill="F2F2F2"/>
            <w:hideMark/>
          </w:tcPr>
          <w:p w:rsidR="004650BF" w:rsidRPr="00CB0BAD" w:rsidRDefault="004650BF" w:rsidP="008F5A9C">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AFIANZADORA</w:t>
            </w:r>
          </w:p>
        </w:tc>
        <w:tc>
          <w:tcPr>
            <w:tcW w:w="1143" w:type="dxa"/>
            <w:shd w:val="clear" w:color="000000" w:fill="F2F2F2"/>
            <w:hideMark/>
          </w:tcPr>
          <w:p w:rsidR="004650BF" w:rsidRPr="00CB0BAD" w:rsidRDefault="004650BF" w:rsidP="008F5A9C">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FIADO</w:t>
            </w:r>
          </w:p>
        </w:tc>
        <w:tc>
          <w:tcPr>
            <w:tcW w:w="1134" w:type="dxa"/>
            <w:shd w:val="clear" w:color="000000" w:fill="F2F2F2"/>
            <w:hideMark/>
          </w:tcPr>
          <w:p w:rsidR="004650BF" w:rsidRPr="00CB0BAD" w:rsidRDefault="004650BF" w:rsidP="008F5A9C">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CONTRATO</w:t>
            </w:r>
          </w:p>
        </w:tc>
        <w:tc>
          <w:tcPr>
            <w:tcW w:w="1276" w:type="dxa"/>
            <w:shd w:val="clear" w:color="000000" w:fill="F2F2F2"/>
            <w:hideMark/>
          </w:tcPr>
          <w:p w:rsidR="004650BF" w:rsidRPr="00CB0BAD" w:rsidRDefault="004650BF" w:rsidP="008F5A9C">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MONTO</w:t>
            </w:r>
          </w:p>
        </w:tc>
        <w:tc>
          <w:tcPr>
            <w:tcW w:w="992" w:type="dxa"/>
            <w:shd w:val="clear" w:color="000000" w:fill="F2F2F2"/>
            <w:hideMark/>
          </w:tcPr>
          <w:p w:rsidR="004650BF" w:rsidRPr="00CB0BAD" w:rsidRDefault="004650BF" w:rsidP="008F5A9C">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ESTADO ACTUAL</w:t>
            </w:r>
          </w:p>
        </w:tc>
      </w:tr>
    </w:tbl>
    <w:p w:rsidR="004650BF" w:rsidRDefault="004650BF" w:rsidP="004650BF"/>
    <w:tbl>
      <w:tblPr>
        <w:tblW w:w="10255" w:type="dxa"/>
        <w:tblInd w:w="-214" w:type="dxa"/>
        <w:tblLayout w:type="fixed"/>
        <w:tblCellMar>
          <w:left w:w="70" w:type="dxa"/>
          <w:right w:w="70" w:type="dxa"/>
        </w:tblCellMar>
        <w:tblLook w:val="04A0"/>
      </w:tblPr>
      <w:tblGrid>
        <w:gridCol w:w="426"/>
        <w:gridCol w:w="1324"/>
        <w:gridCol w:w="1418"/>
        <w:gridCol w:w="1417"/>
        <w:gridCol w:w="1125"/>
        <w:gridCol w:w="1143"/>
        <w:gridCol w:w="1134"/>
        <w:gridCol w:w="1276"/>
        <w:gridCol w:w="992"/>
      </w:tblGrid>
      <w:tr w:rsidR="00CB0BAD" w:rsidRPr="00CB0BAD" w:rsidTr="004650BF">
        <w:trPr>
          <w:trHeight w:val="1080"/>
        </w:trPr>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14</w:t>
            </w:r>
          </w:p>
        </w:tc>
        <w:tc>
          <w:tcPr>
            <w:tcW w:w="1324"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773/15-15-01-2</w:t>
            </w:r>
          </w:p>
        </w:tc>
        <w:tc>
          <w:tcPr>
            <w:tcW w:w="1418"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04/108H.4/C6.5.1/001/15 (ANTES 04/108H.1/C6.5.1/001/15 )</w:t>
            </w:r>
          </w:p>
        </w:tc>
        <w:tc>
          <w:tcPr>
            <w:tcW w:w="1417"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DPA/0841/2015</w:t>
            </w:r>
          </w:p>
        </w:tc>
        <w:tc>
          <w:tcPr>
            <w:tcW w:w="1125"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SOFIMEX, S.A.</w:t>
            </w:r>
          </w:p>
        </w:tc>
        <w:tc>
          <w:tcPr>
            <w:tcW w:w="1143"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BABLE PROYECTOS, S.A. DE C.V.</w:t>
            </w:r>
          </w:p>
        </w:tc>
        <w:tc>
          <w:tcPr>
            <w:tcW w:w="1134"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CEVI/AD/CONAVI/001/2012</w:t>
            </w:r>
          </w:p>
        </w:tc>
        <w:tc>
          <w:tcPr>
            <w:tcW w:w="1276"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$6'300,000.00   A  1'344,000.00     C</w:t>
            </w:r>
          </w:p>
        </w:tc>
        <w:tc>
          <w:tcPr>
            <w:tcW w:w="992"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PENDIENTE DE CONTESTAR DEMANDA</w:t>
            </w:r>
          </w:p>
        </w:tc>
      </w:tr>
      <w:tr w:rsidR="00CB0BAD" w:rsidRPr="00CB0BAD" w:rsidTr="00CB0BAD">
        <w:trPr>
          <w:trHeight w:val="1350"/>
        </w:trPr>
        <w:tc>
          <w:tcPr>
            <w:tcW w:w="426"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15</w:t>
            </w:r>
          </w:p>
        </w:tc>
        <w:tc>
          <w:tcPr>
            <w:tcW w:w="1324"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661/15-15-01-2,</w:t>
            </w:r>
          </w:p>
        </w:tc>
        <w:tc>
          <w:tcPr>
            <w:tcW w:w="1418"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04/108H.4/C6.5.1/002/15 (ANTES 04/108H.1/C6.5.1/002/15 )</w:t>
            </w:r>
          </w:p>
        </w:tc>
        <w:tc>
          <w:tcPr>
            <w:tcW w:w="1417"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DPA/1007/2015</w:t>
            </w:r>
          </w:p>
        </w:tc>
        <w:tc>
          <w:tcPr>
            <w:tcW w:w="1125"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ACE FIANZAS MONTERREY</w:t>
            </w:r>
          </w:p>
        </w:tc>
        <w:tc>
          <w:tcPr>
            <w:tcW w:w="1143"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CONSTRUCCIONES CESD, S.A. DE C.V.</w:t>
            </w:r>
          </w:p>
        </w:tc>
        <w:tc>
          <w:tcPr>
            <w:tcW w:w="1134"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CEVI/AD/COP/FONDO REGIONAL(FONREG) 0004/2013</w:t>
            </w:r>
          </w:p>
        </w:tc>
        <w:tc>
          <w:tcPr>
            <w:tcW w:w="1276"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$1'587,418.11 A $529,139.37 C</w:t>
            </w:r>
          </w:p>
        </w:tc>
        <w:tc>
          <w:tcPr>
            <w:tcW w:w="992"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PENDIENTE DE RESOLUCIÓN SALA</w:t>
            </w:r>
          </w:p>
        </w:tc>
      </w:tr>
      <w:tr w:rsidR="00CB0BAD" w:rsidRPr="00CB0BAD" w:rsidTr="00CB0BAD">
        <w:trPr>
          <w:trHeight w:val="1350"/>
        </w:trPr>
        <w:tc>
          <w:tcPr>
            <w:tcW w:w="426"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16</w:t>
            </w:r>
          </w:p>
        </w:tc>
        <w:tc>
          <w:tcPr>
            <w:tcW w:w="1324"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916/15-15-01-4</w:t>
            </w:r>
          </w:p>
        </w:tc>
        <w:tc>
          <w:tcPr>
            <w:tcW w:w="1418"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04/108H.4/C6.5.1/003/15 (ANTES 04/108H.1/C6.5.1/003/15 )</w:t>
            </w:r>
          </w:p>
        </w:tc>
        <w:tc>
          <w:tcPr>
            <w:tcW w:w="1417"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DPA/2093/2015</w:t>
            </w:r>
          </w:p>
        </w:tc>
        <w:tc>
          <w:tcPr>
            <w:tcW w:w="1125"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ACE FIANZAS MONTERREY</w:t>
            </w:r>
          </w:p>
        </w:tc>
        <w:tc>
          <w:tcPr>
            <w:tcW w:w="1143"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CONSTRUCCIONES CESD, S.A. DE C.V.</w:t>
            </w:r>
          </w:p>
        </w:tc>
        <w:tc>
          <w:tcPr>
            <w:tcW w:w="1134"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CEVI/LPN/COP/FONDEN2011(CONVENIOSEDESOL)0001/2014</w:t>
            </w:r>
          </w:p>
        </w:tc>
        <w:tc>
          <w:tcPr>
            <w:tcW w:w="1276"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2,783,481.32  A   927,827.11     C</w:t>
            </w:r>
          </w:p>
        </w:tc>
        <w:tc>
          <w:tcPr>
            <w:tcW w:w="992"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PENDIENTE DE CONTESTAR DEMANDA</w:t>
            </w:r>
          </w:p>
        </w:tc>
      </w:tr>
      <w:tr w:rsidR="00CB0BAD" w:rsidRPr="00CB0BAD" w:rsidTr="004650BF">
        <w:trPr>
          <w:trHeight w:val="2958"/>
        </w:trPr>
        <w:tc>
          <w:tcPr>
            <w:tcW w:w="426"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17</w:t>
            </w:r>
          </w:p>
        </w:tc>
        <w:tc>
          <w:tcPr>
            <w:tcW w:w="1324"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947/15-15-01-9</w:t>
            </w:r>
          </w:p>
        </w:tc>
        <w:tc>
          <w:tcPr>
            <w:tcW w:w="1418"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04/108H.4/C6.5.1/008/15 (ANTES 04/108H.1/C6.5.1/008/15 )</w:t>
            </w:r>
          </w:p>
        </w:tc>
        <w:tc>
          <w:tcPr>
            <w:tcW w:w="1417"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DPA/1947/2015</w:t>
            </w:r>
          </w:p>
        </w:tc>
        <w:tc>
          <w:tcPr>
            <w:tcW w:w="1125"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ACE FIANZAS MONTERREY, S.A.</w:t>
            </w:r>
          </w:p>
        </w:tc>
        <w:tc>
          <w:tcPr>
            <w:tcW w:w="1143"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COPTORDI, S.A. DE C.V.,</w:t>
            </w:r>
          </w:p>
        </w:tc>
        <w:tc>
          <w:tcPr>
            <w:tcW w:w="1134"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CAO-FR-096-W-0-12</w:t>
            </w:r>
          </w:p>
        </w:tc>
        <w:tc>
          <w:tcPr>
            <w:tcW w:w="1276"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861,805.00 A</w:t>
            </w:r>
          </w:p>
        </w:tc>
        <w:tc>
          <w:tcPr>
            <w:tcW w:w="992"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SE CONTESTO INFORME EN  INCIDENTE DE SUSPENSIÓN           TAMBIÉN SE CONTESTARON INFORME PREVIO Y JUSTIFICADO EN JUICIO DE AMPARO</w:t>
            </w:r>
          </w:p>
        </w:tc>
      </w:tr>
      <w:tr w:rsidR="00CB0BAD" w:rsidRPr="00CB0BAD" w:rsidTr="00CB0BAD">
        <w:trPr>
          <w:trHeight w:val="1890"/>
        </w:trPr>
        <w:tc>
          <w:tcPr>
            <w:tcW w:w="426"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18</w:t>
            </w:r>
          </w:p>
        </w:tc>
        <w:tc>
          <w:tcPr>
            <w:tcW w:w="1324" w:type="dxa"/>
            <w:tcBorders>
              <w:top w:val="nil"/>
              <w:left w:val="nil"/>
              <w:bottom w:val="single" w:sz="4" w:space="0" w:color="auto"/>
              <w:right w:val="single" w:sz="4" w:space="0" w:color="auto"/>
            </w:tcBorders>
            <w:shd w:val="clear" w:color="auto" w:fill="auto"/>
            <w:hideMark/>
          </w:tcPr>
          <w:p w:rsidR="00CB0BAD" w:rsidRPr="00CB0BAD" w:rsidRDefault="00CB0BAD" w:rsidP="00CB0BAD">
            <w:pPr>
              <w:rPr>
                <w:rFonts w:asciiTheme="minorHAnsi" w:hAnsiTheme="minorHAnsi"/>
                <w:color w:val="000000"/>
                <w:sz w:val="16"/>
                <w:szCs w:val="16"/>
                <w:lang w:val="es-MX" w:eastAsia="es-MX"/>
              </w:rPr>
            </w:pPr>
            <w:r w:rsidRPr="00CB0BAD">
              <w:rPr>
                <w:rFonts w:asciiTheme="minorHAnsi" w:hAnsiTheme="minorHAnsi"/>
                <w:color w:val="000000"/>
                <w:sz w:val="16"/>
                <w:szCs w:val="16"/>
                <w:lang w:val="es-MX" w:eastAsia="es-MX"/>
              </w:rPr>
              <w:t> </w:t>
            </w:r>
          </w:p>
        </w:tc>
        <w:tc>
          <w:tcPr>
            <w:tcW w:w="1418"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04/108H.4/C6.5.1/009/15 (ANTES 04/108H.1/C6.5.1/009/15 )</w:t>
            </w:r>
          </w:p>
        </w:tc>
        <w:tc>
          <w:tcPr>
            <w:tcW w:w="1417"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DPA/1548/2015</w:t>
            </w:r>
          </w:p>
        </w:tc>
        <w:tc>
          <w:tcPr>
            <w:tcW w:w="1125"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CESCE FIANZAS</w:t>
            </w:r>
          </w:p>
        </w:tc>
        <w:tc>
          <w:tcPr>
            <w:tcW w:w="1143"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INNOVACIONES TÉCNICAS EN CIMENTACIÓN, S.A. DE C.V.</w:t>
            </w:r>
          </w:p>
        </w:tc>
        <w:tc>
          <w:tcPr>
            <w:tcW w:w="1134"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J03 SL 03 08 0101/2012</w:t>
            </w:r>
          </w:p>
        </w:tc>
        <w:tc>
          <w:tcPr>
            <w:tcW w:w="1276"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18,078,933.81  A  3,334,182.23   C</w:t>
            </w:r>
          </w:p>
        </w:tc>
        <w:tc>
          <w:tcPr>
            <w:tcW w:w="992"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EN REMATE</w:t>
            </w:r>
          </w:p>
        </w:tc>
      </w:tr>
    </w:tbl>
    <w:p w:rsidR="004650BF" w:rsidRDefault="004650BF"/>
    <w:p w:rsidR="004650BF" w:rsidRDefault="004650BF"/>
    <w:p w:rsidR="004650BF" w:rsidRDefault="004650BF"/>
    <w:p w:rsidR="004650BF" w:rsidRDefault="004650BF"/>
    <w:p w:rsidR="004650BF" w:rsidRDefault="004650BF"/>
    <w:p w:rsidR="004650BF" w:rsidRDefault="004650BF"/>
    <w:p w:rsidR="004650BF" w:rsidRDefault="004650BF"/>
    <w:tbl>
      <w:tblPr>
        <w:tblW w:w="1025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26"/>
        <w:gridCol w:w="1324"/>
        <w:gridCol w:w="1418"/>
        <w:gridCol w:w="1417"/>
        <w:gridCol w:w="1125"/>
        <w:gridCol w:w="1143"/>
        <w:gridCol w:w="1134"/>
        <w:gridCol w:w="1276"/>
        <w:gridCol w:w="992"/>
      </w:tblGrid>
      <w:tr w:rsidR="004650BF" w:rsidRPr="00CB0BAD" w:rsidTr="004650BF">
        <w:trPr>
          <w:trHeight w:val="540"/>
        </w:trPr>
        <w:tc>
          <w:tcPr>
            <w:tcW w:w="426" w:type="dxa"/>
            <w:shd w:val="clear" w:color="000000" w:fill="F2F2F2"/>
            <w:hideMark/>
          </w:tcPr>
          <w:p w:rsidR="004650BF" w:rsidRPr="00CB0BAD" w:rsidRDefault="004650BF" w:rsidP="008F5A9C">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N</w:t>
            </w:r>
            <w:r>
              <w:rPr>
                <w:rFonts w:asciiTheme="minorHAnsi" w:hAnsiTheme="minorHAnsi"/>
                <w:b/>
                <w:bCs/>
                <w:color w:val="000000"/>
                <w:sz w:val="16"/>
                <w:szCs w:val="16"/>
                <w:lang w:val="es-ES_tradnl" w:eastAsia="es-MX"/>
              </w:rPr>
              <w:t>.</w:t>
            </w:r>
          </w:p>
        </w:tc>
        <w:tc>
          <w:tcPr>
            <w:tcW w:w="1324" w:type="dxa"/>
            <w:shd w:val="clear" w:color="000000" w:fill="F2F2F2"/>
            <w:hideMark/>
          </w:tcPr>
          <w:p w:rsidR="004650BF" w:rsidRPr="00CB0BAD" w:rsidRDefault="004650BF" w:rsidP="008F5A9C">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EXPEDIENTE</w:t>
            </w:r>
          </w:p>
        </w:tc>
        <w:tc>
          <w:tcPr>
            <w:tcW w:w="1418" w:type="dxa"/>
            <w:shd w:val="clear" w:color="000000" w:fill="F2F2F2"/>
            <w:hideMark/>
          </w:tcPr>
          <w:p w:rsidR="004650BF" w:rsidRPr="00CB0BAD" w:rsidRDefault="004650BF" w:rsidP="008F5A9C">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REFERENCIA</w:t>
            </w:r>
          </w:p>
        </w:tc>
        <w:tc>
          <w:tcPr>
            <w:tcW w:w="1417" w:type="dxa"/>
            <w:shd w:val="clear" w:color="000000" w:fill="F2F2F2"/>
            <w:hideMark/>
          </w:tcPr>
          <w:p w:rsidR="004650BF" w:rsidRPr="00CB0BAD" w:rsidRDefault="004650BF" w:rsidP="008F5A9C">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REQUERIMIENTO</w:t>
            </w:r>
          </w:p>
        </w:tc>
        <w:tc>
          <w:tcPr>
            <w:tcW w:w="1125" w:type="dxa"/>
            <w:shd w:val="clear" w:color="000000" w:fill="F2F2F2"/>
            <w:hideMark/>
          </w:tcPr>
          <w:p w:rsidR="004650BF" w:rsidRPr="00CB0BAD" w:rsidRDefault="004650BF" w:rsidP="008F5A9C">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AFIANZADORA</w:t>
            </w:r>
          </w:p>
        </w:tc>
        <w:tc>
          <w:tcPr>
            <w:tcW w:w="1143" w:type="dxa"/>
            <w:shd w:val="clear" w:color="000000" w:fill="F2F2F2"/>
            <w:hideMark/>
          </w:tcPr>
          <w:p w:rsidR="004650BF" w:rsidRPr="00CB0BAD" w:rsidRDefault="004650BF" w:rsidP="008F5A9C">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FIADO</w:t>
            </w:r>
          </w:p>
        </w:tc>
        <w:tc>
          <w:tcPr>
            <w:tcW w:w="1134" w:type="dxa"/>
            <w:shd w:val="clear" w:color="000000" w:fill="F2F2F2"/>
            <w:hideMark/>
          </w:tcPr>
          <w:p w:rsidR="004650BF" w:rsidRPr="00CB0BAD" w:rsidRDefault="004650BF" w:rsidP="008F5A9C">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CONTRATO</w:t>
            </w:r>
          </w:p>
        </w:tc>
        <w:tc>
          <w:tcPr>
            <w:tcW w:w="1276" w:type="dxa"/>
            <w:shd w:val="clear" w:color="000000" w:fill="F2F2F2"/>
            <w:hideMark/>
          </w:tcPr>
          <w:p w:rsidR="004650BF" w:rsidRPr="00CB0BAD" w:rsidRDefault="004650BF" w:rsidP="008F5A9C">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MONTO</w:t>
            </w:r>
          </w:p>
        </w:tc>
        <w:tc>
          <w:tcPr>
            <w:tcW w:w="992" w:type="dxa"/>
            <w:shd w:val="clear" w:color="000000" w:fill="F2F2F2"/>
            <w:hideMark/>
          </w:tcPr>
          <w:p w:rsidR="004650BF" w:rsidRPr="00CB0BAD" w:rsidRDefault="004650BF" w:rsidP="008F5A9C">
            <w:pPr>
              <w:jc w:val="center"/>
              <w:rPr>
                <w:rFonts w:asciiTheme="minorHAnsi" w:hAnsiTheme="minorHAnsi"/>
                <w:b/>
                <w:bCs/>
                <w:color w:val="000000"/>
                <w:sz w:val="16"/>
                <w:szCs w:val="16"/>
                <w:lang w:val="es-MX" w:eastAsia="es-MX"/>
              </w:rPr>
            </w:pPr>
            <w:r w:rsidRPr="00CB0BAD">
              <w:rPr>
                <w:rFonts w:asciiTheme="minorHAnsi" w:hAnsiTheme="minorHAnsi"/>
                <w:b/>
                <w:bCs/>
                <w:color w:val="000000"/>
                <w:sz w:val="16"/>
                <w:szCs w:val="16"/>
                <w:lang w:val="es-ES_tradnl" w:eastAsia="es-MX"/>
              </w:rPr>
              <w:t>ESTADO ACTUAL</w:t>
            </w:r>
          </w:p>
        </w:tc>
      </w:tr>
    </w:tbl>
    <w:p w:rsidR="004650BF" w:rsidRDefault="004650BF" w:rsidP="004650BF"/>
    <w:tbl>
      <w:tblPr>
        <w:tblW w:w="10255" w:type="dxa"/>
        <w:tblInd w:w="-214" w:type="dxa"/>
        <w:tblLayout w:type="fixed"/>
        <w:tblCellMar>
          <w:left w:w="70" w:type="dxa"/>
          <w:right w:w="70" w:type="dxa"/>
        </w:tblCellMar>
        <w:tblLook w:val="04A0"/>
      </w:tblPr>
      <w:tblGrid>
        <w:gridCol w:w="426"/>
        <w:gridCol w:w="1324"/>
        <w:gridCol w:w="1418"/>
        <w:gridCol w:w="1417"/>
        <w:gridCol w:w="1125"/>
        <w:gridCol w:w="1143"/>
        <w:gridCol w:w="1134"/>
        <w:gridCol w:w="1276"/>
        <w:gridCol w:w="992"/>
      </w:tblGrid>
      <w:tr w:rsidR="00CB0BAD" w:rsidRPr="00CB0BAD" w:rsidTr="004650BF">
        <w:trPr>
          <w:trHeight w:val="1890"/>
        </w:trPr>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19</w:t>
            </w:r>
          </w:p>
        </w:tc>
        <w:tc>
          <w:tcPr>
            <w:tcW w:w="1324"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642/15-15-01-5</w:t>
            </w:r>
          </w:p>
        </w:tc>
        <w:tc>
          <w:tcPr>
            <w:tcW w:w="1418"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04/108H.4/C6.5.1/009/15 (ANTES 04/108H.1/C6.5.1/009/15 )</w:t>
            </w:r>
          </w:p>
        </w:tc>
        <w:tc>
          <w:tcPr>
            <w:tcW w:w="1417"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DPA/1702/2015</w:t>
            </w:r>
          </w:p>
        </w:tc>
        <w:tc>
          <w:tcPr>
            <w:tcW w:w="1125"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SOFIMEX</w:t>
            </w:r>
          </w:p>
        </w:tc>
        <w:tc>
          <w:tcPr>
            <w:tcW w:w="1143"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INNOVACIONES TÉCNICAS EN CIMENTACIÓN, S.A. DE C.V.</w:t>
            </w:r>
          </w:p>
        </w:tc>
        <w:tc>
          <w:tcPr>
            <w:tcW w:w="1134"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J03 SL 03 08 0101/2012</w:t>
            </w:r>
          </w:p>
        </w:tc>
        <w:tc>
          <w:tcPr>
            <w:tcW w:w="1276"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$8,785.723.20 C</w:t>
            </w:r>
          </w:p>
        </w:tc>
        <w:tc>
          <w:tcPr>
            <w:tcW w:w="992" w:type="dxa"/>
            <w:tcBorders>
              <w:top w:val="single" w:sz="4" w:space="0" w:color="auto"/>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PENDIENTE DE CONTESTAR DEMANDA</w:t>
            </w:r>
          </w:p>
        </w:tc>
      </w:tr>
      <w:tr w:rsidR="00CB0BAD" w:rsidRPr="00CB0BAD" w:rsidTr="00CB0BAD">
        <w:trPr>
          <w:trHeight w:val="1620"/>
        </w:trPr>
        <w:tc>
          <w:tcPr>
            <w:tcW w:w="426"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20</w:t>
            </w:r>
          </w:p>
        </w:tc>
        <w:tc>
          <w:tcPr>
            <w:tcW w:w="1324"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PRAL 948/2'15  J. TERCERO DTO</w:t>
            </w:r>
          </w:p>
        </w:tc>
        <w:tc>
          <w:tcPr>
            <w:tcW w:w="1418"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04/108H.4/C6.5.1/011/15 (ANTES 04/108H.1/C6.5.1/011/15 )</w:t>
            </w:r>
          </w:p>
        </w:tc>
        <w:tc>
          <w:tcPr>
            <w:tcW w:w="1417"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DPA/2200/2015</w:t>
            </w:r>
          </w:p>
        </w:tc>
        <w:tc>
          <w:tcPr>
            <w:tcW w:w="1125"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DORAMA, S.A.</w:t>
            </w:r>
          </w:p>
        </w:tc>
        <w:tc>
          <w:tcPr>
            <w:tcW w:w="1143"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SAUL JOSE LUIS GARCIA CRUZ</w:t>
            </w:r>
          </w:p>
        </w:tc>
        <w:tc>
          <w:tcPr>
            <w:tcW w:w="1134"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SEDESOH/AD/006/2013</w:t>
            </w:r>
          </w:p>
        </w:tc>
        <w:tc>
          <w:tcPr>
            <w:tcW w:w="1276"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614,215.50  A $161,129.20  C</w:t>
            </w:r>
          </w:p>
        </w:tc>
        <w:tc>
          <w:tcPr>
            <w:tcW w:w="992"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EN AMPARO             PENDIENTE DE RENDIR INFORME JUSTIFICADO</w:t>
            </w:r>
          </w:p>
        </w:tc>
      </w:tr>
      <w:tr w:rsidR="00CB0BAD" w:rsidRPr="00CB0BAD" w:rsidTr="00CB0BAD">
        <w:trPr>
          <w:trHeight w:val="1890"/>
        </w:trPr>
        <w:tc>
          <w:tcPr>
            <w:tcW w:w="426"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21</w:t>
            </w:r>
          </w:p>
        </w:tc>
        <w:tc>
          <w:tcPr>
            <w:tcW w:w="1324"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891/15-15-01-9</w:t>
            </w:r>
          </w:p>
        </w:tc>
        <w:tc>
          <w:tcPr>
            <w:tcW w:w="1418"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04/108H.4/C6.5.3/012/15 (ANTES 04/108H.1/C6.5.1/012/15 )</w:t>
            </w:r>
          </w:p>
        </w:tc>
        <w:tc>
          <w:tcPr>
            <w:tcW w:w="1417"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DPA/2317/2015</w:t>
            </w:r>
          </w:p>
        </w:tc>
        <w:tc>
          <w:tcPr>
            <w:tcW w:w="1125"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ACE FIANZAS MONTERREY</w:t>
            </w:r>
          </w:p>
        </w:tc>
        <w:tc>
          <w:tcPr>
            <w:tcW w:w="1143"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ALEUTIANA CONSTRUCCIONES S.A. DE C.V.</w:t>
            </w:r>
          </w:p>
        </w:tc>
        <w:tc>
          <w:tcPr>
            <w:tcW w:w="1134"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CAO-FD-111-W-0-13</w:t>
            </w:r>
          </w:p>
        </w:tc>
        <w:tc>
          <w:tcPr>
            <w:tcW w:w="1276"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620,960.73 C 1'753,372.76 A</w:t>
            </w:r>
          </w:p>
        </w:tc>
        <w:tc>
          <w:tcPr>
            <w:tcW w:w="992"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SE CONTESTO INFORME EN  INCIDENTE DE SUSPENSIÓN</w:t>
            </w:r>
          </w:p>
        </w:tc>
      </w:tr>
      <w:tr w:rsidR="00CB0BAD" w:rsidRPr="00CB0BAD" w:rsidTr="00CB0BAD">
        <w:trPr>
          <w:trHeight w:val="1080"/>
        </w:trPr>
        <w:tc>
          <w:tcPr>
            <w:tcW w:w="426"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22</w:t>
            </w:r>
          </w:p>
        </w:tc>
        <w:tc>
          <w:tcPr>
            <w:tcW w:w="1324" w:type="dxa"/>
            <w:tcBorders>
              <w:top w:val="nil"/>
              <w:left w:val="nil"/>
              <w:bottom w:val="single" w:sz="4" w:space="0" w:color="auto"/>
              <w:right w:val="single" w:sz="4" w:space="0" w:color="auto"/>
            </w:tcBorders>
            <w:shd w:val="clear" w:color="auto" w:fill="auto"/>
            <w:hideMark/>
          </w:tcPr>
          <w:p w:rsidR="00CB0BAD" w:rsidRPr="00CB0BAD" w:rsidRDefault="00CB0BAD" w:rsidP="00CB0BAD">
            <w:pPr>
              <w:rPr>
                <w:rFonts w:asciiTheme="minorHAnsi" w:hAnsiTheme="minorHAnsi"/>
                <w:color w:val="000000"/>
                <w:sz w:val="16"/>
                <w:szCs w:val="16"/>
                <w:lang w:val="es-MX" w:eastAsia="es-MX"/>
              </w:rPr>
            </w:pPr>
            <w:r w:rsidRPr="00CB0BAD">
              <w:rPr>
                <w:rFonts w:asciiTheme="minorHAnsi" w:hAnsiTheme="minorHAnsi"/>
                <w:color w:val="000000"/>
                <w:sz w:val="16"/>
                <w:szCs w:val="16"/>
                <w:lang w:val="es-MX" w:eastAsia="es-MX"/>
              </w:rPr>
              <w:t> </w:t>
            </w:r>
          </w:p>
        </w:tc>
        <w:tc>
          <w:tcPr>
            <w:tcW w:w="1418"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04/108H.4/C6.5.1/013/15</w:t>
            </w:r>
          </w:p>
        </w:tc>
        <w:tc>
          <w:tcPr>
            <w:tcW w:w="1417"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DPA/2712/2015</w:t>
            </w:r>
          </w:p>
        </w:tc>
        <w:tc>
          <w:tcPr>
            <w:tcW w:w="1125"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ACE FIANZAS MONTERREY</w:t>
            </w:r>
          </w:p>
        </w:tc>
        <w:tc>
          <w:tcPr>
            <w:tcW w:w="1143"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CONSTRUCIONES CESD, S.A. DE C.V.</w:t>
            </w:r>
          </w:p>
        </w:tc>
        <w:tc>
          <w:tcPr>
            <w:tcW w:w="1134"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CAO-PNE-006-W-0-14</w:t>
            </w:r>
          </w:p>
        </w:tc>
        <w:tc>
          <w:tcPr>
            <w:tcW w:w="1276"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1'169,761.66 A 779,841.11   C</w:t>
            </w:r>
          </w:p>
        </w:tc>
        <w:tc>
          <w:tcPr>
            <w:tcW w:w="992"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EN ESPERA DE PAGO O INCONFORMIDAD</w:t>
            </w:r>
          </w:p>
        </w:tc>
      </w:tr>
      <w:tr w:rsidR="00CB0BAD" w:rsidRPr="00CB0BAD" w:rsidTr="00CB0BAD">
        <w:trPr>
          <w:trHeight w:val="2430"/>
        </w:trPr>
        <w:tc>
          <w:tcPr>
            <w:tcW w:w="426" w:type="dxa"/>
            <w:tcBorders>
              <w:top w:val="nil"/>
              <w:left w:val="single" w:sz="4" w:space="0" w:color="auto"/>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23</w:t>
            </w:r>
          </w:p>
        </w:tc>
        <w:tc>
          <w:tcPr>
            <w:tcW w:w="1324"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11913/15-17-06-12</w:t>
            </w:r>
          </w:p>
        </w:tc>
        <w:tc>
          <w:tcPr>
            <w:tcW w:w="1418" w:type="dxa"/>
            <w:tcBorders>
              <w:top w:val="nil"/>
              <w:left w:val="nil"/>
              <w:bottom w:val="single" w:sz="4" w:space="0" w:color="auto"/>
              <w:right w:val="single" w:sz="4" w:space="0" w:color="auto"/>
            </w:tcBorders>
            <w:shd w:val="clear" w:color="auto" w:fill="auto"/>
            <w:hideMark/>
          </w:tcPr>
          <w:p w:rsidR="00CB0BAD" w:rsidRPr="00CB0BAD" w:rsidRDefault="00CB0BAD" w:rsidP="00CB0BAD">
            <w:pPr>
              <w:rPr>
                <w:rFonts w:asciiTheme="minorHAnsi" w:hAnsiTheme="minorHAnsi"/>
                <w:color w:val="000000"/>
                <w:sz w:val="16"/>
                <w:szCs w:val="16"/>
                <w:lang w:val="es-MX" w:eastAsia="es-MX"/>
              </w:rPr>
            </w:pPr>
            <w:r w:rsidRPr="00CB0BAD">
              <w:rPr>
                <w:rFonts w:asciiTheme="minorHAnsi" w:hAnsiTheme="minorHAns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DPA/0873/2015</w:t>
            </w:r>
          </w:p>
        </w:tc>
        <w:tc>
          <w:tcPr>
            <w:tcW w:w="1125"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MAPFRE FIANZAS S.A.</w:t>
            </w:r>
          </w:p>
        </w:tc>
        <w:tc>
          <w:tcPr>
            <w:tcW w:w="1143"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EDIFICACIONES Y PROYECTOS JALCOMULCO, S.A.</w:t>
            </w:r>
          </w:p>
        </w:tc>
        <w:tc>
          <w:tcPr>
            <w:tcW w:w="1134" w:type="dxa"/>
            <w:tcBorders>
              <w:top w:val="nil"/>
              <w:left w:val="nil"/>
              <w:bottom w:val="single" w:sz="4" w:space="0" w:color="auto"/>
              <w:right w:val="single" w:sz="4" w:space="0" w:color="auto"/>
            </w:tcBorders>
            <w:shd w:val="clear" w:color="auto" w:fill="auto"/>
            <w:hideMark/>
          </w:tcPr>
          <w:p w:rsidR="00CB0BAD" w:rsidRPr="00CB0BAD" w:rsidRDefault="00CB0BAD" w:rsidP="00CB0BAD">
            <w:pPr>
              <w:rPr>
                <w:rFonts w:asciiTheme="minorHAnsi" w:hAnsiTheme="minorHAnsi"/>
                <w:color w:val="000000"/>
                <w:sz w:val="16"/>
                <w:szCs w:val="16"/>
                <w:lang w:val="es-MX" w:eastAsia="es-MX"/>
              </w:rPr>
            </w:pPr>
            <w:r w:rsidRPr="00CB0BAD">
              <w:rPr>
                <w:rFonts w:asciiTheme="minorHAnsi" w:hAnsiTheme="minorHAns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hideMark/>
          </w:tcPr>
          <w:p w:rsidR="00CB0BAD" w:rsidRPr="00CB0BAD" w:rsidRDefault="00CB0BAD" w:rsidP="00CB0BAD">
            <w:pPr>
              <w:rPr>
                <w:rFonts w:asciiTheme="minorHAnsi" w:hAnsiTheme="minorHAnsi"/>
                <w:color w:val="000000"/>
                <w:sz w:val="16"/>
                <w:szCs w:val="16"/>
                <w:lang w:val="es-MX" w:eastAsia="es-MX"/>
              </w:rPr>
            </w:pPr>
            <w:r w:rsidRPr="00CB0BAD">
              <w:rPr>
                <w:rFonts w:asciiTheme="minorHAnsi" w:hAnsiTheme="minorHAns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hideMark/>
          </w:tcPr>
          <w:p w:rsidR="00CB0BAD" w:rsidRPr="00CB0BAD" w:rsidRDefault="00CB0BAD" w:rsidP="00CB0BAD">
            <w:pPr>
              <w:jc w:val="center"/>
              <w:rPr>
                <w:rFonts w:asciiTheme="minorHAnsi" w:hAnsiTheme="minorHAnsi"/>
                <w:color w:val="000000"/>
                <w:sz w:val="16"/>
                <w:szCs w:val="16"/>
                <w:lang w:val="es-MX" w:eastAsia="es-MX"/>
              </w:rPr>
            </w:pPr>
            <w:r w:rsidRPr="00CB0BAD">
              <w:rPr>
                <w:rFonts w:asciiTheme="minorHAnsi" w:hAnsiTheme="minorHAnsi"/>
                <w:color w:val="000000"/>
                <w:sz w:val="16"/>
                <w:szCs w:val="16"/>
                <w:lang w:val="es-ES_tradnl" w:eastAsia="es-MX"/>
              </w:rPr>
              <w:t>PENDIENTE DE CONTESTAR DEMANDA E INTERPONER INCIDENTE DE SUSPENSIÓN</w:t>
            </w:r>
          </w:p>
        </w:tc>
      </w:tr>
    </w:tbl>
    <w:p w:rsidR="00CB0BAD" w:rsidRDefault="00CB0BAD">
      <w:pPr>
        <w:rPr>
          <w:rFonts w:ascii="Arial" w:hAnsi="Arial" w:cs="Arial"/>
          <w:b/>
          <w:spacing w:val="20"/>
        </w:rPr>
      </w:pPr>
    </w:p>
    <w:p w:rsidR="00CB0BAD" w:rsidRDefault="00CB0BAD">
      <w:pPr>
        <w:rPr>
          <w:rFonts w:ascii="Arial" w:hAnsi="Arial" w:cs="Arial"/>
          <w:b/>
          <w:spacing w:val="20"/>
        </w:rPr>
      </w:pPr>
    </w:p>
    <w:p w:rsidR="00CB0BAD" w:rsidRDefault="00CB0BAD">
      <w:pPr>
        <w:rPr>
          <w:rFonts w:ascii="Arial" w:hAnsi="Arial" w:cs="Arial"/>
          <w:b/>
          <w:spacing w:val="20"/>
        </w:rPr>
      </w:pPr>
    </w:p>
    <w:p w:rsidR="00CB0BAD" w:rsidRDefault="00CB0BAD">
      <w:pPr>
        <w:rPr>
          <w:rFonts w:ascii="Arial" w:hAnsi="Arial" w:cs="Arial"/>
          <w:b/>
          <w:spacing w:val="20"/>
        </w:rPr>
      </w:pPr>
    </w:p>
    <w:p w:rsidR="004650BF" w:rsidRDefault="004650BF">
      <w:pPr>
        <w:rPr>
          <w:rFonts w:ascii="Arial" w:hAnsi="Arial" w:cs="Arial"/>
          <w:b/>
          <w:spacing w:val="20"/>
        </w:rPr>
      </w:pPr>
    </w:p>
    <w:tbl>
      <w:tblPr>
        <w:tblW w:w="9517" w:type="dxa"/>
        <w:tblInd w:w="51" w:type="dxa"/>
        <w:tblCellMar>
          <w:left w:w="70" w:type="dxa"/>
          <w:right w:w="70" w:type="dxa"/>
        </w:tblCellMar>
        <w:tblLook w:val="04A0"/>
      </w:tblPr>
      <w:tblGrid>
        <w:gridCol w:w="499"/>
        <w:gridCol w:w="1788"/>
        <w:gridCol w:w="1276"/>
        <w:gridCol w:w="1418"/>
        <w:gridCol w:w="1701"/>
        <w:gridCol w:w="1417"/>
        <w:gridCol w:w="1418"/>
      </w:tblGrid>
      <w:tr w:rsidR="004650BF" w:rsidRPr="004650BF" w:rsidTr="004650BF">
        <w:trPr>
          <w:trHeight w:val="533"/>
        </w:trPr>
        <w:tc>
          <w:tcPr>
            <w:tcW w:w="9517" w:type="dxa"/>
            <w:gridSpan w:val="7"/>
            <w:tcBorders>
              <w:top w:val="nil"/>
              <w:left w:val="nil"/>
              <w:bottom w:val="nil"/>
              <w:right w:val="nil"/>
            </w:tcBorders>
            <w:shd w:val="clear" w:color="auto" w:fill="auto"/>
            <w:vAlign w:val="bottom"/>
            <w:hideMark/>
          </w:tcPr>
          <w:p w:rsidR="004650BF" w:rsidRPr="004650BF" w:rsidRDefault="004650BF" w:rsidP="004650BF">
            <w:pPr>
              <w:jc w:val="center"/>
              <w:rPr>
                <w:rFonts w:asciiTheme="minorHAnsi" w:hAnsiTheme="minorHAnsi"/>
                <w:b/>
                <w:bCs/>
                <w:color w:val="000000"/>
                <w:sz w:val="16"/>
                <w:szCs w:val="16"/>
                <w:lang w:val="es-MX" w:eastAsia="es-MX"/>
              </w:rPr>
            </w:pPr>
            <w:r w:rsidRPr="004650BF">
              <w:rPr>
                <w:rFonts w:asciiTheme="minorHAnsi" w:hAnsiTheme="minorHAnsi"/>
                <w:b/>
                <w:bCs/>
                <w:color w:val="000000"/>
                <w:sz w:val="16"/>
                <w:szCs w:val="16"/>
                <w:lang w:val="es-ES_tradnl" w:eastAsia="en-US"/>
              </w:rPr>
              <w:lastRenderedPageBreak/>
              <w:t>DEPARTAMENTO DE PROCEDIMIENTOS ADMINISTRATIVOS</w:t>
            </w:r>
          </w:p>
        </w:tc>
      </w:tr>
      <w:tr w:rsidR="004650BF" w:rsidRPr="004650BF" w:rsidTr="004650BF">
        <w:trPr>
          <w:trHeight w:val="272"/>
        </w:trPr>
        <w:tc>
          <w:tcPr>
            <w:tcW w:w="9517" w:type="dxa"/>
            <w:gridSpan w:val="7"/>
            <w:tcBorders>
              <w:top w:val="nil"/>
              <w:left w:val="nil"/>
              <w:bottom w:val="single" w:sz="4" w:space="0" w:color="auto"/>
              <w:right w:val="nil"/>
            </w:tcBorders>
            <w:shd w:val="clear" w:color="auto" w:fill="auto"/>
            <w:vAlign w:val="bottom"/>
            <w:hideMark/>
          </w:tcPr>
          <w:p w:rsidR="004650BF" w:rsidRPr="004650BF" w:rsidRDefault="004650BF" w:rsidP="004650BF">
            <w:pPr>
              <w:jc w:val="center"/>
              <w:rPr>
                <w:rFonts w:asciiTheme="minorHAnsi" w:hAnsiTheme="minorHAnsi"/>
                <w:b/>
                <w:bCs/>
                <w:color w:val="000000"/>
                <w:sz w:val="16"/>
                <w:szCs w:val="16"/>
                <w:lang w:val="es-MX" w:eastAsia="es-MX"/>
              </w:rPr>
            </w:pPr>
            <w:r w:rsidRPr="004650BF">
              <w:rPr>
                <w:rFonts w:asciiTheme="minorHAnsi" w:hAnsiTheme="minorHAnsi"/>
                <w:b/>
                <w:bCs/>
                <w:color w:val="000000"/>
                <w:sz w:val="16"/>
                <w:szCs w:val="16"/>
                <w:lang w:val="es-ES_tradnl" w:eastAsia="en-US"/>
              </w:rPr>
              <w:t>JUICIO LABORALES EN LA JUNTA DE ARBITRAJE PARA LOS EMPLEADOS AL SERVICIO DE LOS PODERES DEL ESTADO</w:t>
            </w:r>
          </w:p>
        </w:tc>
      </w:tr>
      <w:tr w:rsidR="004650BF" w:rsidRPr="004650BF" w:rsidTr="004650BF">
        <w:trPr>
          <w:trHeight w:val="381"/>
        </w:trPr>
        <w:tc>
          <w:tcPr>
            <w:tcW w:w="499" w:type="dxa"/>
            <w:tcBorders>
              <w:top w:val="nil"/>
              <w:left w:val="single" w:sz="4" w:space="0" w:color="auto"/>
              <w:bottom w:val="single" w:sz="4" w:space="0" w:color="auto"/>
              <w:right w:val="single" w:sz="4" w:space="0" w:color="auto"/>
            </w:tcBorders>
            <w:shd w:val="clear" w:color="000000" w:fill="F2F2F2"/>
            <w:vAlign w:val="bottom"/>
            <w:hideMark/>
          </w:tcPr>
          <w:p w:rsidR="004650BF" w:rsidRPr="004650BF" w:rsidRDefault="004650BF" w:rsidP="004650BF">
            <w:pPr>
              <w:jc w:val="center"/>
              <w:rPr>
                <w:rFonts w:asciiTheme="minorHAnsi" w:hAnsiTheme="minorHAnsi"/>
                <w:b/>
                <w:bCs/>
                <w:color w:val="000000"/>
                <w:sz w:val="16"/>
                <w:szCs w:val="16"/>
                <w:lang w:val="es-MX" w:eastAsia="es-MX"/>
              </w:rPr>
            </w:pPr>
            <w:r w:rsidRPr="004650BF">
              <w:rPr>
                <w:rFonts w:asciiTheme="minorHAnsi" w:hAnsiTheme="minorHAnsi"/>
                <w:b/>
                <w:bCs/>
                <w:color w:val="000000"/>
                <w:sz w:val="16"/>
                <w:szCs w:val="16"/>
                <w:lang w:val="es-ES_tradnl" w:eastAsia="en-US"/>
              </w:rPr>
              <w:t>NÚM</w:t>
            </w:r>
          </w:p>
        </w:tc>
        <w:tc>
          <w:tcPr>
            <w:tcW w:w="1788" w:type="dxa"/>
            <w:tcBorders>
              <w:top w:val="nil"/>
              <w:left w:val="nil"/>
              <w:bottom w:val="single" w:sz="4" w:space="0" w:color="auto"/>
              <w:right w:val="single" w:sz="4" w:space="0" w:color="auto"/>
            </w:tcBorders>
            <w:shd w:val="clear" w:color="000000" w:fill="F2F2F2"/>
            <w:vAlign w:val="bottom"/>
            <w:hideMark/>
          </w:tcPr>
          <w:p w:rsidR="004650BF" w:rsidRPr="004650BF" w:rsidRDefault="004650BF" w:rsidP="004650BF">
            <w:pPr>
              <w:jc w:val="center"/>
              <w:rPr>
                <w:rFonts w:asciiTheme="minorHAnsi" w:hAnsiTheme="minorHAnsi"/>
                <w:b/>
                <w:bCs/>
                <w:color w:val="000000"/>
                <w:sz w:val="16"/>
                <w:szCs w:val="16"/>
                <w:lang w:val="es-MX" w:eastAsia="es-MX"/>
              </w:rPr>
            </w:pPr>
            <w:r w:rsidRPr="004650BF">
              <w:rPr>
                <w:rFonts w:asciiTheme="minorHAnsi" w:hAnsiTheme="minorHAnsi"/>
                <w:b/>
                <w:bCs/>
                <w:color w:val="000000"/>
                <w:sz w:val="16"/>
                <w:szCs w:val="16"/>
                <w:lang w:val="es-ES_tradnl" w:eastAsia="en-US"/>
              </w:rPr>
              <w:t>ACTOR</w:t>
            </w:r>
          </w:p>
        </w:tc>
        <w:tc>
          <w:tcPr>
            <w:tcW w:w="1276" w:type="dxa"/>
            <w:tcBorders>
              <w:top w:val="nil"/>
              <w:left w:val="nil"/>
              <w:bottom w:val="single" w:sz="4" w:space="0" w:color="auto"/>
              <w:right w:val="single" w:sz="4" w:space="0" w:color="auto"/>
            </w:tcBorders>
            <w:shd w:val="clear" w:color="000000" w:fill="F2F2F2"/>
            <w:vAlign w:val="bottom"/>
            <w:hideMark/>
          </w:tcPr>
          <w:p w:rsidR="004650BF" w:rsidRPr="004650BF" w:rsidRDefault="004650BF" w:rsidP="004650BF">
            <w:pPr>
              <w:jc w:val="center"/>
              <w:rPr>
                <w:rFonts w:asciiTheme="minorHAnsi" w:hAnsiTheme="minorHAnsi"/>
                <w:b/>
                <w:bCs/>
                <w:color w:val="000000"/>
                <w:sz w:val="16"/>
                <w:szCs w:val="16"/>
                <w:lang w:val="es-MX" w:eastAsia="es-MX"/>
              </w:rPr>
            </w:pPr>
            <w:r w:rsidRPr="004650BF">
              <w:rPr>
                <w:rFonts w:asciiTheme="minorHAnsi" w:hAnsiTheme="minorHAnsi"/>
                <w:b/>
                <w:bCs/>
                <w:color w:val="000000"/>
                <w:sz w:val="16"/>
                <w:szCs w:val="16"/>
                <w:lang w:val="es-ES_tradnl" w:eastAsia="en-US"/>
              </w:rPr>
              <w:t>EXPEDIENTE</w:t>
            </w:r>
          </w:p>
        </w:tc>
        <w:tc>
          <w:tcPr>
            <w:tcW w:w="1418" w:type="dxa"/>
            <w:tcBorders>
              <w:top w:val="nil"/>
              <w:left w:val="nil"/>
              <w:bottom w:val="single" w:sz="4" w:space="0" w:color="auto"/>
              <w:right w:val="single" w:sz="4" w:space="0" w:color="auto"/>
            </w:tcBorders>
            <w:shd w:val="clear" w:color="000000" w:fill="F2F2F2"/>
            <w:vAlign w:val="bottom"/>
            <w:hideMark/>
          </w:tcPr>
          <w:p w:rsidR="004650BF" w:rsidRPr="004650BF" w:rsidRDefault="004650BF" w:rsidP="004650BF">
            <w:pPr>
              <w:jc w:val="center"/>
              <w:rPr>
                <w:rFonts w:asciiTheme="minorHAnsi" w:hAnsiTheme="minorHAnsi"/>
                <w:b/>
                <w:bCs/>
                <w:color w:val="000000"/>
                <w:sz w:val="16"/>
                <w:szCs w:val="16"/>
                <w:lang w:val="es-MX" w:eastAsia="es-MX"/>
              </w:rPr>
            </w:pPr>
            <w:r w:rsidRPr="004650BF">
              <w:rPr>
                <w:rFonts w:asciiTheme="minorHAnsi" w:hAnsiTheme="minorHAnsi"/>
                <w:b/>
                <w:bCs/>
                <w:color w:val="000000"/>
                <w:sz w:val="16"/>
                <w:szCs w:val="16"/>
                <w:lang w:val="es-ES_tradnl" w:eastAsia="en-US"/>
              </w:rPr>
              <w:t>FECHA DE INICIO</w:t>
            </w:r>
          </w:p>
        </w:tc>
        <w:tc>
          <w:tcPr>
            <w:tcW w:w="1701" w:type="dxa"/>
            <w:tcBorders>
              <w:top w:val="nil"/>
              <w:left w:val="nil"/>
              <w:bottom w:val="single" w:sz="4" w:space="0" w:color="auto"/>
              <w:right w:val="single" w:sz="4" w:space="0" w:color="auto"/>
            </w:tcBorders>
            <w:shd w:val="clear" w:color="000000" w:fill="F2F2F2"/>
            <w:vAlign w:val="bottom"/>
            <w:hideMark/>
          </w:tcPr>
          <w:p w:rsidR="004650BF" w:rsidRPr="004650BF" w:rsidRDefault="004650BF" w:rsidP="004650BF">
            <w:pPr>
              <w:jc w:val="center"/>
              <w:rPr>
                <w:rFonts w:asciiTheme="minorHAnsi" w:hAnsiTheme="minorHAnsi"/>
                <w:b/>
                <w:bCs/>
                <w:color w:val="000000"/>
                <w:sz w:val="16"/>
                <w:szCs w:val="16"/>
                <w:lang w:val="es-MX" w:eastAsia="es-MX"/>
              </w:rPr>
            </w:pPr>
            <w:r w:rsidRPr="004650BF">
              <w:rPr>
                <w:rFonts w:asciiTheme="minorHAnsi" w:hAnsiTheme="minorHAnsi"/>
                <w:b/>
                <w:bCs/>
                <w:color w:val="000000"/>
                <w:sz w:val="16"/>
                <w:szCs w:val="16"/>
                <w:lang w:val="es-ES_tradnl" w:eastAsia="en-US"/>
              </w:rPr>
              <w:t>MONTO DEMANDADO</w:t>
            </w:r>
          </w:p>
        </w:tc>
        <w:tc>
          <w:tcPr>
            <w:tcW w:w="1417" w:type="dxa"/>
            <w:tcBorders>
              <w:top w:val="nil"/>
              <w:left w:val="nil"/>
              <w:bottom w:val="single" w:sz="4" w:space="0" w:color="auto"/>
              <w:right w:val="single" w:sz="4" w:space="0" w:color="auto"/>
            </w:tcBorders>
            <w:shd w:val="clear" w:color="000000" w:fill="F2F2F2"/>
            <w:vAlign w:val="bottom"/>
            <w:hideMark/>
          </w:tcPr>
          <w:p w:rsidR="004650BF" w:rsidRPr="004650BF" w:rsidRDefault="004650BF" w:rsidP="004650BF">
            <w:pPr>
              <w:jc w:val="center"/>
              <w:rPr>
                <w:rFonts w:asciiTheme="minorHAnsi" w:hAnsiTheme="minorHAnsi"/>
                <w:b/>
                <w:bCs/>
                <w:color w:val="000000"/>
                <w:sz w:val="16"/>
                <w:szCs w:val="16"/>
                <w:lang w:val="es-MX" w:eastAsia="es-MX"/>
              </w:rPr>
            </w:pPr>
            <w:r w:rsidRPr="004650BF">
              <w:rPr>
                <w:rFonts w:asciiTheme="minorHAnsi" w:hAnsiTheme="minorHAnsi"/>
                <w:b/>
                <w:bCs/>
                <w:color w:val="000000"/>
                <w:sz w:val="16"/>
                <w:szCs w:val="16"/>
                <w:lang w:val="es-ES_tradnl" w:eastAsia="en-US"/>
              </w:rPr>
              <w:t>OBSERVACIONES</w:t>
            </w:r>
          </w:p>
        </w:tc>
        <w:tc>
          <w:tcPr>
            <w:tcW w:w="1418" w:type="dxa"/>
            <w:tcBorders>
              <w:top w:val="nil"/>
              <w:left w:val="nil"/>
              <w:bottom w:val="single" w:sz="4" w:space="0" w:color="auto"/>
              <w:right w:val="single" w:sz="4" w:space="0" w:color="auto"/>
            </w:tcBorders>
            <w:shd w:val="clear" w:color="000000" w:fill="F2F2F2"/>
            <w:vAlign w:val="bottom"/>
            <w:hideMark/>
          </w:tcPr>
          <w:p w:rsidR="004650BF" w:rsidRPr="004650BF" w:rsidRDefault="004650BF" w:rsidP="004650BF">
            <w:pPr>
              <w:jc w:val="center"/>
              <w:rPr>
                <w:rFonts w:asciiTheme="minorHAnsi" w:hAnsiTheme="minorHAnsi"/>
                <w:b/>
                <w:bCs/>
                <w:color w:val="000000"/>
                <w:sz w:val="16"/>
                <w:szCs w:val="16"/>
                <w:lang w:val="es-MX" w:eastAsia="es-MX"/>
              </w:rPr>
            </w:pPr>
            <w:r w:rsidRPr="004650BF">
              <w:rPr>
                <w:rFonts w:asciiTheme="minorHAnsi" w:hAnsiTheme="minorHAnsi"/>
                <w:b/>
                <w:bCs/>
                <w:color w:val="000000"/>
                <w:sz w:val="16"/>
                <w:szCs w:val="16"/>
                <w:lang w:val="es-ES_tradnl" w:eastAsia="en-US"/>
              </w:rPr>
              <w:t>CONCLUSIÓN O ESTADO PROCESAL</w:t>
            </w:r>
          </w:p>
        </w:tc>
      </w:tr>
    </w:tbl>
    <w:p w:rsidR="004650BF" w:rsidRDefault="004650BF"/>
    <w:tbl>
      <w:tblPr>
        <w:tblW w:w="9517" w:type="dxa"/>
        <w:tblInd w:w="51" w:type="dxa"/>
        <w:tblCellMar>
          <w:left w:w="70" w:type="dxa"/>
          <w:right w:w="70" w:type="dxa"/>
        </w:tblCellMar>
        <w:tblLook w:val="04A0"/>
      </w:tblPr>
      <w:tblGrid>
        <w:gridCol w:w="499"/>
        <w:gridCol w:w="1788"/>
        <w:gridCol w:w="1276"/>
        <w:gridCol w:w="1418"/>
        <w:gridCol w:w="1701"/>
        <w:gridCol w:w="1417"/>
        <w:gridCol w:w="1418"/>
      </w:tblGrid>
      <w:tr w:rsidR="004650BF" w:rsidRPr="004650BF" w:rsidTr="004650BF">
        <w:trPr>
          <w:trHeight w:val="1305"/>
        </w:trPr>
        <w:tc>
          <w:tcPr>
            <w:tcW w:w="4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1</w:t>
            </w:r>
          </w:p>
        </w:tc>
        <w:tc>
          <w:tcPr>
            <w:tcW w:w="1788" w:type="dxa"/>
            <w:tcBorders>
              <w:top w:val="single" w:sz="4" w:space="0" w:color="auto"/>
              <w:left w:val="nil"/>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 MARÍA DE LOS ÁNGELES BAUTISTA SANTANA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14/2010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02/03/2010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$316,953.35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SE FORMULARON LOS ALEGATOS.</w:t>
            </w:r>
          </w:p>
        </w:tc>
      </w:tr>
      <w:tr w:rsidR="004650BF" w:rsidRPr="004650BF" w:rsidTr="004650BF">
        <w:trPr>
          <w:trHeight w:val="1780"/>
        </w:trPr>
        <w:tc>
          <w:tcPr>
            <w:tcW w:w="499"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2</w:t>
            </w:r>
          </w:p>
        </w:tc>
        <w:tc>
          <w:tcPr>
            <w:tcW w:w="178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FRANCISCO RODOLFO CISNEROS MÁRQUEZ.</w:t>
            </w:r>
            <w:r>
              <w:rPr>
                <w:rFonts w:asciiTheme="minorHAnsi" w:hAnsiTheme="minorHAnsi"/>
                <w:color w:val="000000"/>
                <w:sz w:val="16"/>
                <w:szCs w:val="16"/>
                <w:lang w:val="es-ES_tradnl" w:eastAsia="en-US"/>
              </w:rPr>
              <w:t xml:space="preserve"> </w:t>
            </w:r>
          </w:p>
        </w:tc>
        <w:tc>
          <w:tcPr>
            <w:tcW w:w="1276"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18/2010</w:t>
            </w:r>
          </w:p>
        </w:tc>
        <w:tc>
          <w:tcPr>
            <w:tcW w:w="1418"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02/06/2010</w:t>
            </w: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$8,526.45</w:t>
            </w:r>
          </w:p>
        </w:tc>
        <w:tc>
          <w:tcPr>
            <w:tcW w:w="1417"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 </w:t>
            </w:r>
          </w:p>
        </w:tc>
        <w:tc>
          <w:tcPr>
            <w:tcW w:w="1418"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SE EXHIBIERON LAS CANTIDADES A LAS QUE FUIMOS CONDENADOS DANDO CUMPLIMIENTO CON EL LAUDO /2015 DEL 10 DE JUNIO DE 2015.</w:t>
            </w:r>
          </w:p>
        </w:tc>
      </w:tr>
      <w:tr w:rsidR="004650BF" w:rsidRPr="004650BF" w:rsidTr="004650BF">
        <w:trPr>
          <w:trHeight w:val="195"/>
        </w:trPr>
        <w:tc>
          <w:tcPr>
            <w:tcW w:w="499"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788"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701"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r>
      <w:tr w:rsidR="004650BF" w:rsidRPr="004650BF" w:rsidTr="004650BF">
        <w:trPr>
          <w:trHeight w:val="930"/>
        </w:trPr>
        <w:tc>
          <w:tcPr>
            <w:tcW w:w="499"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3</w:t>
            </w:r>
          </w:p>
        </w:tc>
        <w:tc>
          <w:tcPr>
            <w:tcW w:w="1788"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HORACIO BENJAMÍN SÁNCHEZ DÍAZ</w:t>
            </w:r>
          </w:p>
        </w:tc>
        <w:tc>
          <w:tcPr>
            <w:tcW w:w="1276"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28/2010</w:t>
            </w:r>
          </w:p>
        </w:tc>
        <w:tc>
          <w:tcPr>
            <w:tcW w:w="1418"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31/03/2011</w:t>
            </w: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SE DESCONOCE</w:t>
            </w:r>
          </w:p>
        </w:tc>
        <w:tc>
          <w:tcPr>
            <w:tcW w:w="1417"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NO ES TRABAJADOR DE ESTA SECRETARÍA DE FINANZAS, ES DE COPLADE</w:t>
            </w:r>
          </w:p>
        </w:tc>
        <w:tc>
          <w:tcPr>
            <w:tcW w:w="1418"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SE ENCUENTRA PENDIENTE DE CALIFICACIÓN DE PRUEBAS.</w:t>
            </w:r>
          </w:p>
        </w:tc>
      </w:tr>
      <w:tr w:rsidR="004650BF" w:rsidRPr="004650BF" w:rsidTr="004650BF">
        <w:trPr>
          <w:trHeight w:val="269"/>
        </w:trPr>
        <w:tc>
          <w:tcPr>
            <w:tcW w:w="499"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788"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701"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r>
      <w:tr w:rsidR="004650BF" w:rsidRPr="004650BF" w:rsidTr="004650BF">
        <w:trPr>
          <w:trHeight w:val="1118"/>
        </w:trPr>
        <w:tc>
          <w:tcPr>
            <w:tcW w:w="499"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4</w:t>
            </w:r>
          </w:p>
        </w:tc>
        <w:tc>
          <w:tcPr>
            <w:tcW w:w="1788" w:type="dxa"/>
            <w:tcBorders>
              <w:top w:val="single" w:sz="4" w:space="0" w:color="auto"/>
              <w:left w:val="nil"/>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 </w:t>
            </w:r>
          </w:p>
        </w:tc>
        <w:tc>
          <w:tcPr>
            <w:tcW w:w="1276"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52/2010</w:t>
            </w:r>
          </w:p>
        </w:tc>
        <w:tc>
          <w:tcPr>
            <w:tcW w:w="1418"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23/06/2010</w:t>
            </w: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$144,000.00</w:t>
            </w:r>
          </w:p>
        </w:tc>
        <w:tc>
          <w:tcPr>
            <w:tcW w:w="1417"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TENÍA CONTRATO DE PRESTACIÓN DE SERVICIOS Y PAGO POR HONORARIOS</w:t>
            </w:r>
          </w:p>
        </w:tc>
        <w:tc>
          <w:tcPr>
            <w:tcW w:w="1418"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SE TUVO POR DESISTIDA DE LA ACCIÓN A LA ACTORA POR NO HABER PROMOVIDO</w:t>
            </w:r>
          </w:p>
        </w:tc>
      </w:tr>
      <w:tr w:rsidR="004650BF" w:rsidRPr="004650BF" w:rsidTr="004650BF">
        <w:trPr>
          <w:trHeight w:val="330"/>
        </w:trPr>
        <w:tc>
          <w:tcPr>
            <w:tcW w:w="499"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788" w:type="dxa"/>
            <w:tcBorders>
              <w:left w:val="nil"/>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RITA CARBALLO RUIZ</w:t>
            </w:r>
          </w:p>
        </w:tc>
        <w:tc>
          <w:tcPr>
            <w:tcW w:w="1276"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701"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r>
      <w:tr w:rsidR="004650BF" w:rsidRPr="004650BF" w:rsidTr="004650BF">
        <w:trPr>
          <w:trHeight w:val="1068"/>
        </w:trPr>
        <w:tc>
          <w:tcPr>
            <w:tcW w:w="499"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5</w:t>
            </w:r>
          </w:p>
        </w:tc>
        <w:tc>
          <w:tcPr>
            <w:tcW w:w="1788"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RAFAEL RAMOS MATA</w:t>
            </w:r>
          </w:p>
        </w:tc>
        <w:tc>
          <w:tcPr>
            <w:tcW w:w="1276"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1244/2011</w:t>
            </w:r>
          </w:p>
        </w:tc>
        <w:tc>
          <w:tcPr>
            <w:tcW w:w="1418"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12/06/2012</w:t>
            </w: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 </w:t>
            </w:r>
          </w:p>
        </w:tc>
        <w:tc>
          <w:tcPr>
            <w:tcW w:w="1417"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NO ES TRABAJADOR DE ESTA SECRETARÍA DE FINANZAS ES DE CEA</w:t>
            </w:r>
          </w:p>
        </w:tc>
        <w:tc>
          <w:tcPr>
            <w:tcW w:w="1418"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SE DESISTIÓ DE LAS PRUEBAS, POR EL MOMENTO ESTÁ PENDIENTE DE DICTARSE EL LAUDO.</w:t>
            </w:r>
          </w:p>
        </w:tc>
      </w:tr>
      <w:tr w:rsidR="004650BF" w:rsidRPr="004650BF" w:rsidTr="004650BF">
        <w:trPr>
          <w:trHeight w:val="269"/>
        </w:trPr>
        <w:tc>
          <w:tcPr>
            <w:tcW w:w="499"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788"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701"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r>
      <w:tr w:rsidR="004650BF" w:rsidRPr="004650BF" w:rsidTr="004650BF">
        <w:trPr>
          <w:trHeight w:val="988"/>
        </w:trPr>
        <w:tc>
          <w:tcPr>
            <w:tcW w:w="499"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6</w:t>
            </w:r>
          </w:p>
        </w:tc>
        <w:tc>
          <w:tcPr>
            <w:tcW w:w="1788"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MARÍA DEL CARMEN GONZÁLEZ RAMÍREZ</w:t>
            </w:r>
          </w:p>
        </w:tc>
        <w:tc>
          <w:tcPr>
            <w:tcW w:w="1276"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1360/2011</w:t>
            </w:r>
          </w:p>
        </w:tc>
        <w:tc>
          <w:tcPr>
            <w:tcW w:w="1418"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12/06/2012</w:t>
            </w: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 </w:t>
            </w:r>
          </w:p>
        </w:tc>
        <w:tc>
          <w:tcPr>
            <w:tcW w:w="1417"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NO ES TRABAJADOR DE ESTA SECRETARÍA DE FINANZAS ES DE CEA</w:t>
            </w:r>
          </w:p>
        </w:tc>
        <w:tc>
          <w:tcPr>
            <w:tcW w:w="1418"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PENDIENTE LA AUDIENCIA DE PRUEBAS Y ALEGATOS.</w:t>
            </w:r>
          </w:p>
        </w:tc>
      </w:tr>
      <w:tr w:rsidR="004650BF" w:rsidRPr="004650BF" w:rsidTr="004650BF">
        <w:trPr>
          <w:trHeight w:val="269"/>
        </w:trPr>
        <w:tc>
          <w:tcPr>
            <w:tcW w:w="499"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788"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701"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r>
    </w:tbl>
    <w:p w:rsidR="004650BF" w:rsidRDefault="004650BF"/>
    <w:p w:rsidR="004650BF" w:rsidRDefault="004650BF"/>
    <w:p w:rsidR="004650BF" w:rsidRDefault="004650BF"/>
    <w:p w:rsidR="004650BF" w:rsidRDefault="004650BF"/>
    <w:p w:rsidR="004650BF" w:rsidRDefault="004650BF"/>
    <w:tbl>
      <w:tblPr>
        <w:tblW w:w="9517"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99"/>
        <w:gridCol w:w="1788"/>
        <w:gridCol w:w="1276"/>
        <w:gridCol w:w="1418"/>
        <w:gridCol w:w="1701"/>
        <w:gridCol w:w="1417"/>
        <w:gridCol w:w="1418"/>
      </w:tblGrid>
      <w:tr w:rsidR="004650BF" w:rsidRPr="004650BF" w:rsidTr="004650BF">
        <w:trPr>
          <w:trHeight w:val="381"/>
        </w:trPr>
        <w:tc>
          <w:tcPr>
            <w:tcW w:w="499" w:type="dxa"/>
            <w:shd w:val="clear" w:color="000000" w:fill="F2F2F2"/>
            <w:vAlign w:val="bottom"/>
            <w:hideMark/>
          </w:tcPr>
          <w:p w:rsidR="004650BF" w:rsidRPr="004650BF" w:rsidRDefault="004650BF" w:rsidP="008F5A9C">
            <w:pPr>
              <w:jc w:val="center"/>
              <w:rPr>
                <w:rFonts w:asciiTheme="minorHAnsi" w:hAnsiTheme="minorHAnsi"/>
                <w:b/>
                <w:bCs/>
                <w:color w:val="000000"/>
                <w:sz w:val="16"/>
                <w:szCs w:val="16"/>
                <w:lang w:val="es-MX" w:eastAsia="es-MX"/>
              </w:rPr>
            </w:pPr>
            <w:r w:rsidRPr="004650BF">
              <w:rPr>
                <w:rFonts w:asciiTheme="minorHAnsi" w:hAnsiTheme="minorHAnsi"/>
                <w:b/>
                <w:bCs/>
                <w:color w:val="000000"/>
                <w:sz w:val="16"/>
                <w:szCs w:val="16"/>
                <w:lang w:val="es-ES_tradnl" w:eastAsia="en-US"/>
              </w:rPr>
              <w:lastRenderedPageBreak/>
              <w:t>NÚM</w:t>
            </w:r>
          </w:p>
        </w:tc>
        <w:tc>
          <w:tcPr>
            <w:tcW w:w="1788" w:type="dxa"/>
            <w:shd w:val="clear" w:color="000000" w:fill="F2F2F2"/>
            <w:vAlign w:val="bottom"/>
            <w:hideMark/>
          </w:tcPr>
          <w:p w:rsidR="004650BF" w:rsidRPr="004650BF" w:rsidRDefault="004650BF" w:rsidP="008F5A9C">
            <w:pPr>
              <w:jc w:val="center"/>
              <w:rPr>
                <w:rFonts w:asciiTheme="minorHAnsi" w:hAnsiTheme="minorHAnsi"/>
                <w:b/>
                <w:bCs/>
                <w:color w:val="000000"/>
                <w:sz w:val="16"/>
                <w:szCs w:val="16"/>
                <w:lang w:val="es-MX" w:eastAsia="es-MX"/>
              </w:rPr>
            </w:pPr>
            <w:r w:rsidRPr="004650BF">
              <w:rPr>
                <w:rFonts w:asciiTheme="minorHAnsi" w:hAnsiTheme="minorHAnsi"/>
                <w:b/>
                <w:bCs/>
                <w:color w:val="000000"/>
                <w:sz w:val="16"/>
                <w:szCs w:val="16"/>
                <w:lang w:val="es-ES_tradnl" w:eastAsia="en-US"/>
              </w:rPr>
              <w:t>ACTOR</w:t>
            </w:r>
          </w:p>
        </w:tc>
        <w:tc>
          <w:tcPr>
            <w:tcW w:w="1276" w:type="dxa"/>
            <w:shd w:val="clear" w:color="000000" w:fill="F2F2F2"/>
            <w:vAlign w:val="bottom"/>
            <w:hideMark/>
          </w:tcPr>
          <w:p w:rsidR="004650BF" w:rsidRPr="004650BF" w:rsidRDefault="004650BF" w:rsidP="008F5A9C">
            <w:pPr>
              <w:jc w:val="center"/>
              <w:rPr>
                <w:rFonts w:asciiTheme="minorHAnsi" w:hAnsiTheme="minorHAnsi"/>
                <w:b/>
                <w:bCs/>
                <w:color w:val="000000"/>
                <w:sz w:val="16"/>
                <w:szCs w:val="16"/>
                <w:lang w:val="es-MX" w:eastAsia="es-MX"/>
              </w:rPr>
            </w:pPr>
            <w:r w:rsidRPr="004650BF">
              <w:rPr>
                <w:rFonts w:asciiTheme="minorHAnsi" w:hAnsiTheme="minorHAnsi"/>
                <w:b/>
                <w:bCs/>
                <w:color w:val="000000"/>
                <w:sz w:val="16"/>
                <w:szCs w:val="16"/>
                <w:lang w:val="es-ES_tradnl" w:eastAsia="en-US"/>
              </w:rPr>
              <w:t>EXPEDIENTE</w:t>
            </w:r>
          </w:p>
        </w:tc>
        <w:tc>
          <w:tcPr>
            <w:tcW w:w="1418" w:type="dxa"/>
            <w:shd w:val="clear" w:color="000000" w:fill="F2F2F2"/>
            <w:vAlign w:val="bottom"/>
            <w:hideMark/>
          </w:tcPr>
          <w:p w:rsidR="004650BF" w:rsidRPr="004650BF" w:rsidRDefault="004650BF" w:rsidP="008F5A9C">
            <w:pPr>
              <w:jc w:val="center"/>
              <w:rPr>
                <w:rFonts w:asciiTheme="minorHAnsi" w:hAnsiTheme="minorHAnsi"/>
                <w:b/>
                <w:bCs/>
                <w:color w:val="000000"/>
                <w:sz w:val="16"/>
                <w:szCs w:val="16"/>
                <w:lang w:val="es-MX" w:eastAsia="es-MX"/>
              </w:rPr>
            </w:pPr>
            <w:r w:rsidRPr="004650BF">
              <w:rPr>
                <w:rFonts w:asciiTheme="minorHAnsi" w:hAnsiTheme="minorHAnsi"/>
                <w:b/>
                <w:bCs/>
                <w:color w:val="000000"/>
                <w:sz w:val="16"/>
                <w:szCs w:val="16"/>
                <w:lang w:val="es-ES_tradnl" w:eastAsia="en-US"/>
              </w:rPr>
              <w:t>FECHA DE INICIO</w:t>
            </w:r>
          </w:p>
        </w:tc>
        <w:tc>
          <w:tcPr>
            <w:tcW w:w="1701" w:type="dxa"/>
            <w:shd w:val="clear" w:color="000000" w:fill="F2F2F2"/>
            <w:vAlign w:val="bottom"/>
            <w:hideMark/>
          </w:tcPr>
          <w:p w:rsidR="004650BF" w:rsidRPr="004650BF" w:rsidRDefault="004650BF" w:rsidP="008F5A9C">
            <w:pPr>
              <w:jc w:val="center"/>
              <w:rPr>
                <w:rFonts w:asciiTheme="minorHAnsi" w:hAnsiTheme="minorHAnsi"/>
                <w:b/>
                <w:bCs/>
                <w:color w:val="000000"/>
                <w:sz w:val="16"/>
                <w:szCs w:val="16"/>
                <w:lang w:val="es-MX" w:eastAsia="es-MX"/>
              </w:rPr>
            </w:pPr>
            <w:r w:rsidRPr="004650BF">
              <w:rPr>
                <w:rFonts w:asciiTheme="minorHAnsi" w:hAnsiTheme="minorHAnsi"/>
                <w:b/>
                <w:bCs/>
                <w:color w:val="000000"/>
                <w:sz w:val="16"/>
                <w:szCs w:val="16"/>
                <w:lang w:val="es-ES_tradnl" w:eastAsia="en-US"/>
              </w:rPr>
              <w:t>MONTO DEMANDADO</w:t>
            </w:r>
          </w:p>
        </w:tc>
        <w:tc>
          <w:tcPr>
            <w:tcW w:w="1417" w:type="dxa"/>
            <w:shd w:val="clear" w:color="000000" w:fill="F2F2F2"/>
            <w:vAlign w:val="bottom"/>
            <w:hideMark/>
          </w:tcPr>
          <w:p w:rsidR="004650BF" w:rsidRPr="004650BF" w:rsidRDefault="004650BF" w:rsidP="008F5A9C">
            <w:pPr>
              <w:jc w:val="center"/>
              <w:rPr>
                <w:rFonts w:asciiTheme="minorHAnsi" w:hAnsiTheme="minorHAnsi"/>
                <w:b/>
                <w:bCs/>
                <w:color w:val="000000"/>
                <w:sz w:val="16"/>
                <w:szCs w:val="16"/>
                <w:lang w:val="es-MX" w:eastAsia="es-MX"/>
              </w:rPr>
            </w:pPr>
            <w:r w:rsidRPr="004650BF">
              <w:rPr>
                <w:rFonts w:asciiTheme="minorHAnsi" w:hAnsiTheme="minorHAnsi"/>
                <w:b/>
                <w:bCs/>
                <w:color w:val="000000"/>
                <w:sz w:val="16"/>
                <w:szCs w:val="16"/>
                <w:lang w:val="es-ES_tradnl" w:eastAsia="en-US"/>
              </w:rPr>
              <w:t>OBSERVACIONES</w:t>
            </w:r>
          </w:p>
        </w:tc>
        <w:tc>
          <w:tcPr>
            <w:tcW w:w="1418" w:type="dxa"/>
            <w:shd w:val="clear" w:color="000000" w:fill="F2F2F2"/>
            <w:vAlign w:val="bottom"/>
            <w:hideMark/>
          </w:tcPr>
          <w:p w:rsidR="004650BF" w:rsidRPr="004650BF" w:rsidRDefault="004650BF" w:rsidP="008F5A9C">
            <w:pPr>
              <w:jc w:val="center"/>
              <w:rPr>
                <w:rFonts w:asciiTheme="minorHAnsi" w:hAnsiTheme="minorHAnsi"/>
                <w:b/>
                <w:bCs/>
                <w:color w:val="000000"/>
                <w:sz w:val="16"/>
                <w:szCs w:val="16"/>
                <w:lang w:val="es-MX" w:eastAsia="es-MX"/>
              </w:rPr>
            </w:pPr>
            <w:r w:rsidRPr="004650BF">
              <w:rPr>
                <w:rFonts w:asciiTheme="minorHAnsi" w:hAnsiTheme="minorHAnsi"/>
                <w:b/>
                <w:bCs/>
                <w:color w:val="000000"/>
                <w:sz w:val="16"/>
                <w:szCs w:val="16"/>
                <w:lang w:val="es-ES_tradnl" w:eastAsia="en-US"/>
              </w:rPr>
              <w:t>CONCLUSIÓN O ESTADO PROCESAL</w:t>
            </w:r>
          </w:p>
        </w:tc>
      </w:tr>
    </w:tbl>
    <w:p w:rsidR="004650BF" w:rsidRDefault="004650BF"/>
    <w:tbl>
      <w:tblPr>
        <w:tblW w:w="9517" w:type="dxa"/>
        <w:tblInd w:w="51" w:type="dxa"/>
        <w:tblCellMar>
          <w:left w:w="70" w:type="dxa"/>
          <w:right w:w="70" w:type="dxa"/>
        </w:tblCellMar>
        <w:tblLook w:val="04A0"/>
      </w:tblPr>
      <w:tblGrid>
        <w:gridCol w:w="499"/>
        <w:gridCol w:w="1788"/>
        <w:gridCol w:w="1276"/>
        <w:gridCol w:w="1418"/>
        <w:gridCol w:w="1701"/>
        <w:gridCol w:w="1417"/>
        <w:gridCol w:w="1418"/>
      </w:tblGrid>
      <w:tr w:rsidR="004650BF" w:rsidRPr="004650BF" w:rsidTr="004650BF">
        <w:trPr>
          <w:trHeight w:val="684"/>
        </w:trPr>
        <w:tc>
          <w:tcPr>
            <w:tcW w:w="49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7</w:t>
            </w:r>
          </w:p>
        </w:tc>
        <w:tc>
          <w:tcPr>
            <w:tcW w:w="178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JACOBO RAMÍREZ GARCÍA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114/2013</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22/10/2013</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$158,588.00</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TENÍA CONTRATO DE PRESTACIÓN DE SERVICIOS Y PAGO POR HONORARIOS</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s-MX"/>
              </w:rPr>
              <w:t>DISCERNIMIENTO DEL PERITO TERCERO EN DISCORDIA</w:t>
            </w:r>
          </w:p>
        </w:tc>
      </w:tr>
      <w:tr w:rsidR="004650BF" w:rsidRPr="004650BF" w:rsidTr="004650BF">
        <w:trPr>
          <w:trHeight w:val="269"/>
        </w:trPr>
        <w:tc>
          <w:tcPr>
            <w:tcW w:w="499" w:type="dxa"/>
            <w:vMerge/>
            <w:tcBorders>
              <w:top w:val="single" w:sz="4" w:space="0" w:color="auto"/>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r>
      <w:tr w:rsidR="004650BF" w:rsidRPr="004650BF" w:rsidTr="004650BF">
        <w:trPr>
          <w:trHeight w:val="1979"/>
        </w:trPr>
        <w:tc>
          <w:tcPr>
            <w:tcW w:w="499"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8</w:t>
            </w:r>
          </w:p>
        </w:tc>
        <w:tc>
          <w:tcPr>
            <w:tcW w:w="1788"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PEDRO GREGORIO JIMÉNEZ PÉREZ</w:t>
            </w:r>
          </w:p>
        </w:tc>
        <w:tc>
          <w:tcPr>
            <w:tcW w:w="1276"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125/2013</w:t>
            </w:r>
          </w:p>
        </w:tc>
        <w:tc>
          <w:tcPr>
            <w:tcW w:w="1418"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12/12/2013</w:t>
            </w: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 </w:t>
            </w:r>
          </w:p>
        </w:tc>
        <w:tc>
          <w:tcPr>
            <w:tcW w:w="1417"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TRABAJADOR DE BASE</w:t>
            </w:r>
          </w:p>
        </w:tc>
        <w:tc>
          <w:tcPr>
            <w:tcW w:w="1418"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s-MX"/>
              </w:rPr>
              <w:t>SE DICTO LAUDO EN DONDE SE ABSOLVIÓ A LA PARTE DEMANDADA ES DECIR A LA SECRETARÍA DE FINANZAS DE LAS PRESTACIONES RECLAMADAS POR EL ACTOR. PENDIENTE DE FIRMEZA</w:t>
            </w:r>
          </w:p>
        </w:tc>
      </w:tr>
      <w:tr w:rsidR="004650BF" w:rsidRPr="004650BF" w:rsidTr="004650BF">
        <w:trPr>
          <w:trHeight w:val="269"/>
        </w:trPr>
        <w:tc>
          <w:tcPr>
            <w:tcW w:w="499"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788"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701"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r>
      <w:tr w:rsidR="004650BF" w:rsidRPr="004650BF" w:rsidTr="004650BF">
        <w:trPr>
          <w:trHeight w:val="1547"/>
        </w:trPr>
        <w:tc>
          <w:tcPr>
            <w:tcW w:w="499"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9</w:t>
            </w:r>
          </w:p>
        </w:tc>
        <w:tc>
          <w:tcPr>
            <w:tcW w:w="1788"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JOEL GENARO RAMÍREZ CARRANZA</w:t>
            </w:r>
          </w:p>
        </w:tc>
        <w:tc>
          <w:tcPr>
            <w:tcW w:w="1276"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37/2009</w:t>
            </w:r>
          </w:p>
        </w:tc>
        <w:tc>
          <w:tcPr>
            <w:tcW w:w="1418"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28/01/2014</w:t>
            </w: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 </w:t>
            </w:r>
          </w:p>
        </w:tc>
        <w:tc>
          <w:tcPr>
            <w:tcW w:w="1417"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NO ES TRABAJADOR DE ESTA SECRETARÍA DE FINANZAS ES DE SEDESOH ANTERIORMENTE DE UNIDADES MÓVILES</w:t>
            </w:r>
          </w:p>
        </w:tc>
        <w:tc>
          <w:tcPr>
            <w:tcW w:w="1418"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s-MX"/>
              </w:rPr>
              <w:t>SE ENCUENTRA PENDIENTE QUE SE RINDA EL INFORME POR PARTE DE LA INSTITUCIÓN BANCARIA BANAMEX, PRUEBA OFRECIDA POR EL ACTOR</w:t>
            </w:r>
          </w:p>
        </w:tc>
      </w:tr>
      <w:tr w:rsidR="004650BF" w:rsidRPr="004650BF" w:rsidTr="004650BF">
        <w:trPr>
          <w:trHeight w:val="269"/>
        </w:trPr>
        <w:tc>
          <w:tcPr>
            <w:tcW w:w="499"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788"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701"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r>
      <w:tr w:rsidR="004650BF" w:rsidRPr="004650BF" w:rsidTr="004650BF">
        <w:trPr>
          <w:trHeight w:val="2224"/>
        </w:trPr>
        <w:tc>
          <w:tcPr>
            <w:tcW w:w="499"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10</w:t>
            </w:r>
          </w:p>
        </w:tc>
        <w:tc>
          <w:tcPr>
            <w:tcW w:w="1788"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MARÍA DE LOS ÁNGELES BAUTISTA SANTANA</w:t>
            </w:r>
          </w:p>
        </w:tc>
        <w:tc>
          <w:tcPr>
            <w:tcW w:w="1276"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156/2013</w:t>
            </w:r>
          </w:p>
        </w:tc>
        <w:tc>
          <w:tcPr>
            <w:tcW w:w="1418"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10/02/2014</w:t>
            </w:r>
          </w:p>
        </w:tc>
        <w:tc>
          <w:tcPr>
            <w:tcW w:w="1701" w:type="dxa"/>
            <w:tcBorders>
              <w:top w:val="single" w:sz="4" w:space="0" w:color="auto"/>
              <w:left w:val="nil"/>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PAGO DERIVADO DEL JUICIO 14/2010</w:t>
            </w:r>
          </w:p>
        </w:tc>
        <w:tc>
          <w:tcPr>
            <w:tcW w:w="1417"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 </w:t>
            </w:r>
          </w:p>
        </w:tc>
        <w:tc>
          <w:tcPr>
            <w:tcW w:w="1418"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s-MX"/>
              </w:rPr>
              <w:t>SE DICTÓ EL LAUDO EL 10 DE DICIEMBRE DE 2014, EN DONDE SE CONDENÓ AL PAGO $70,313.50, POR LO QUE SE PROMOVIÓ EL AMPARO DIRECTO EN CONTRA DE DICHA RESOLUCIÓN, ESTÁ PENDIENTE QUE EL COLEGIADO DETERMINE LA ADMISIÓN.</w:t>
            </w:r>
          </w:p>
        </w:tc>
      </w:tr>
      <w:tr w:rsidR="004650BF" w:rsidRPr="004650BF" w:rsidTr="004650BF">
        <w:trPr>
          <w:trHeight w:val="330"/>
        </w:trPr>
        <w:tc>
          <w:tcPr>
            <w:tcW w:w="499"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788"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701" w:type="dxa"/>
            <w:tcBorders>
              <w:left w:val="nil"/>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$70,313.50</w:t>
            </w:r>
          </w:p>
        </w:tc>
        <w:tc>
          <w:tcPr>
            <w:tcW w:w="1417"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r>
      <w:tr w:rsidR="004650BF" w:rsidRPr="004650BF" w:rsidTr="004650BF">
        <w:trPr>
          <w:trHeight w:val="1108"/>
        </w:trPr>
        <w:tc>
          <w:tcPr>
            <w:tcW w:w="499"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11</w:t>
            </w:r>
          </w:p>
        </w:tc>
        <w:tc>
          <w:tcPr>
            <w:tcW w:w="1788"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GASPAR SALAS MORALES</w:t>
            </w:r>
          </w:p>
        </w:tc>
        <w:tc>
          <w:tcPr>
            <w:tcW w:w="1276"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539/2014</w:t>
            </w:r>
          </w:p>
        </w:tc>
        <w:tc>
          <w:tcPr>
            <w:tcW w:w="1418"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s-MX"/>
              </w:rPr>
              <w:t>11/07/2014</w:t>
            </w: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$1,633,960.77</w:t>
            </w:r>
          </w:p>
        </w:tc>
        <w:tc>
          <w:tcPr>
            <w:tcW w:w="1417"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NO ES TRABAJADOR DE ESTA SECRETARÍA DE FINANZAS ES DEL CESSET</w:t>
            </w:r>
          </w:p>
        </w:tc>
        <w:tc>
          <w:tcPr>
            <w:tcW w:w="1418"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s-MX"/>
              </w:rPr>
              <w:t>ESTÁ PENDIENTE QUE SE DICTE EL AUTO DE CALIFICACIÓN DE PRUEBAS</w:t>
            </w:r>
          </w:p>
        </w:tc>
      </w:tr>
      <w:tr w:rsidR="004650BF" w:rsidRPr="004650BF" w:rsidTr="004650BF">
        <w:trPr>
          <w:trHeight w:val="269"/>
        </w:trPr>
        <w:tc>
          <w:tcPr>
            <w:tcW w:w="499"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788"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701"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r>
    </w:tbl>
    <w:p w:rsidR="004650BF" w:rsidRDefault="004650BF"/>
    <w:p w:rsidR="004650BF" w:rsidRDefault="004650BF"/>
    <w:p w:rsidR="004650BF" w:rsidRDefault="004650BF"/>
    <w:tbl>
      <w:tblPr>
        <w:tblW w:w="9517"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99"/>
        <w:gridCol w:w="1788"/>
        <w:gridCol w:w="1276"/>
        <w:gridCol w:w="1418"/>
        <w:gridCol w:w="1701"/>
        <w:gridCol w:w="1417"/>
        <w:gridCol w:w="1418"/>
      </w:tblGrid>
      <w:tr w:rsidR="004650BF" w:rsidRPr="004650BF" w:rsidTr="004650BF">
        <w:trPr>
          <w:trHeight w:val="381"/>
        </w:trPr>
        <w:tc>
          <w:tcPr>
            <w:tcW w:w="499" w:type="dxa"/>
            <w:shd w:val="clear" w:color="000000" w:fill="F2F2F2"/>
            <w:vAlign w:val="bottom"/>
            <w:hideMark/>
          </w:tcPr>
          <w:p w:rsidR="004650BF" w:rsidRPr="004650BF" w:rsidRDefault="004650BF" w:rsidP="008F5A9C">
            <w:pPr>
              <w:jc w:val="center"/>
              <w:rPr>
                <w:rFonts w:asciiTheme="minorHAnsi" w:hAnsiTheme="minorHAnsi"/>
                <w:b/>
                <w:bCs/>
                <w:color w:val="000000"/>
                <w:sz w:val="16"/>
                <w:szCs w:val="16"/>
                <w:lang w:val="es-MX" w:eastAsia="es-MX"/>
              </w:rPr>
            </w:pPr>
            <w:r w:rsidRPr="004650BF">
              <w:rPr>
                <w:rFonts w:asciiTheme="minorHAnsi" w:hAnsiTheme="minorHAnsi"/>
                <w:b/>
                <w:bCs/>
                <w:color w:val="000000"/>
                <w:sz w:val="16"/>
                <w:szCs w:val="16"/>
                <w:lang w:val="es-ES_tradnl" w:eastAsia="en-US"/>
              </w:rPr>
              <w:lastRenderedPageBreak/>
              <w:t>NÚM</w:t>
            </w:r>
          </w:p>
        </w:tc>
        <w:tc>
          <w:tcPr>
            <w:tcW w:w="1788" w:type="dxa"/>
            <w:shd w:val="clear" w:color="000000" w:fill="F2F2F2"/>
            <w:vAlign w:val="bottom"/>
            <w:hideMark/>
          </w:tcPr>
          <w:p w:rsidR="004650BF" w:rsidRPr="004650BF" w:rsidRDefault="004650BF" w:rsidP="008F5A9C">
            <w:pPr>
              <w:jc w:val="center"/>
              <w:rPr>
                <w:rFonts w:asciiTheme="minorHAnsi" w:hAnsiTheme="minorHAnsi"/>
                <w:b/>
                <w:bCs/>
                <w:color w:val="000000"/>
                <w:sz w:val="16"/>
                <w:szCs w:val="16"/>
                <w:lang w:val="es-MX" w:eastAsia="es-MX"/>
              </w:rPr>
            </w:pPr>
            <w:r w:rsidRPr="004650BF">
              <w:rPr>
                <w:rFonts w:asciiTheme="minorHAnsi" w:hAnsiTheme="minorHAnsi"/>
                <w:b/>
                <w:bCs/>
                <w:color w:val="000000"/>
                <w:sz w:val="16"/>
                <w:szCs w:val="16"/>
                <w:lang w:val="es-ES_tradnl" w:eastAsia="en-US"/>
              </w:rPr>
              <w:t>ACTOR</w:t>
            </w:r>
          </w:p>
        </w:tc>
        <w:tc>
          <w:tcPr>
            <w:tcW w:w="1276" w:type="dxa"/>
            <w:shd w:val="clear" w:color="000000" w:fill="F2F2F2"/>
            <w:vAlign w:val="bottom"/>
            <w:hideMark/>
          </w:tcPr>
          <w:p w:rsidR="004650BF" w:rsidRPr="004650BF" w:rsidRDefault="004650BF" w:rsidP="008F5A9C">
            <w:pPr>
              <w:jc w:val="center"/>
              <w:rPr>
                <w:rFonts w:asciiTheme="minorHAnsi" w:hAnsiTheme="minorHAnsi"/>
                <w:b/>
                <w:bCs/>
                <w:color w:val="000000"/>
                <w:sz w:val="16"/>
                <w:szCs w:val="16"/>
                <w:lang w:val="es-MX" w:eastAsia="es-MX"/>
              </w:rPr>
            </w:pPr>
            <w:r w:rsidRPr="004650BF">
              <w:rPr>
                <w:rFonts w:asciiTheme="minorHAnsi" w:hAnsiTheme="minorHAnsi"/>
                <w:b/>
                <w:bCs/>
                <w:color w:val="000000"/>
                <w:sz w:val="16"/>
                <w:szCs w:val="16"/>
                <w:lang w:val="es-ES_tradnl" w:eastAsia="en-US"/>
              </w:rPr>
              <w:t>EXPEDIENTE</w:t>
            </w:r>
          </w:p>
        </w:tc>
        <w:tc>
          <w:tcPr>
            <w:tcW w:w="1418" w:type="dxa"/>
            <w:shd w:val="clear" w:color="000000" w:fill="F2F2F2"/>
            <w:vAlign w:val="bottom"/>
            <w:hideMark/>
          </w:tcPr>
          <w:p w:rsidR="004650BF" w:rsidRPr="004650BF" w:rsidRDefault="004650BF" w:rsidP="008F5A9C">
            <w:pPr>
              <w:jc w:val="center"/>
              <w:rPr>
                <w:rFonts w:asciiTheme="minorHAnsi" w:hAnsiTheme="minorHAnsi"/>
                <w:b/>
                <w:bCs/>
                <w:color w:val="000000"/>
                <w:sz w:val="16"/>
                <w:szCs w:val="16"/>
                <w:lang w:val="es-MX" w:eastAsia="es-MX"/>
              </w:rPr>
            </w:pPr>
            <w:r w:rsidRPr="004650BF">
              <w:rPr>
                <w:rFonts w:asciiTheme="minorHAnsi" w:hAnsiTheme="minorHAnsi"/>
                <w:b/>
                <w:bCs/>
                <w:color w:val="000000"/>
                <w:sz w:val="16"/>
                <w:szCs w:val="16"/>
                <w:lang w:val="es-ES_tradnl" w:eastAsia="en-US"/>
              </w:rPr>
              <w:t>FECHA DE INICIO</w:t>
            </w:r>
          </w:p>
        </w:tc>
        <w:tc>
          <w:tcPr>
            <w:tcW w:w="1701" w:type="dxa"/>
            <w:shd w:val="clear" w:color="000000" w:fill="F2F2F2"/>
            <w:vAlign w:val="bottom"/>
            <w:hideMark/>
          </w:tcPr>
          <w:p w:rsidR="004650BF" w:rsidRPr="004650BF" w:rsidRDefault="004650BF" w:rsidP="008F5A9C">
            <w:pPr>
              <w:jc w:val="center"/>
              <w:rPr>
                <w:rFonts w:asciiTheme="minorHAnsi" w:hAnsiTheme="minorHAnsi"/>
                <w:b/>
                <w:bCs/>
                <w:color w:val="000000"/>
                <w:sz w:val="16"/>
                <w:szCs w:val="16"/>
                <w:lang w:val="es-MX" w:eastAsia="es-MX"/>
              </w:rPr>
            </w:pPr>
            <w:r w:rsidRPr="004650BF">
              <w:rPr>
                <w:rFonts w:asciiTheme="minorHAnsi" w:hAnsiTheme="minorHAnsi"/>
                <w:b/>
                <w:bCs/>
                <w:color w:val="000000"/>
                <w:sz w:val="16"/>
                <w:szCs w:val="16"/>
                <w:lang w:val="es-ES_tradnl" w:eastAsia="en-US"/>
              </w:rPr>
              <w:t>MONTO DEMANDADO</w:t>
            </w:r>
          </w:p>
        </w:tc>
        <w:tc>
          <w:tcPr>
            <w:tcW w:w="1417" w:type="dxa"/>
            <w:shd w:val="clear" w:color="000000" w:fill="F2F2F2"/>
            <w:vAlign w:val="bottom"/>
            <w:hideMark/>
          </w:tcPr>
          <w:p w:rsidR="004650BF" w:rsidRPr="004650BF" w:rsidRDefault="004650BF" w:rsidP="008F5A9C">
            <w:pPr>
              <w:jc w:val="center"/>
              <w:rPr>
                <w:rFonts w:asciiTheme="minorHAnsi" w:hAnsiTheme="minorHAnsi"/>
                <w:b/>
                <w:bCs/>
                <w:color w:val="000000"/>
                <w:sz w:val="16"/>
                <w:szCs w:val="16"/>
                <w:lang w:val="es-MX" w:eastAsia="es-MX"/>
              </w:rPr>
            </w:pPr>
            <w:r w:rsidRPr="004650BF">
              <w:rPr>
                <w:rFonts w:asciiTheme="minorHAnsi" w:hAnsiTheme="minorHAnsi"/>
                <w:b/>
                <w:bCs/>
                <w:color w:val="000000"/>
                <w:sz w:val="16"/>
                <w:szCs w:val="16"/>
                <w:lang w:val="es-ES_tradnl" w:eastAsia="en-US"/>
              </w:rPr>
              <w:t>OBSERVACIONES</w:t>
            </w:r>
          </w:p>
        </w:tc>
        <w:tc>
          <w:tcPr>
            <w:tcW w:w="1418" w:type="dxa"/>
            <w:shd w:val="clear" w:color="000000" w:fill="F2F2F2"/>
            <w:vAlign w:val="bottom"/>
            <w:hideMark/>
          </w:tcPr>
          <w:p w:rsidR="004650BF" w:rsidRPr="004650BF" w:rsidRDefault="004650BF" w:rsidP="008F5A9C">
            <w:pPr>
              <w:jc w:val="center"/>
              <w:rPr>
                <w:rFonts w:asciiTheme="minorHAnsi" w:hAnsiTheme="minorHAnsi"/>
                <w:b/>
                <w:bCs/>
                <w:color w:val="000000"/>
                <w:sz w:val="16"/>
                <w:szCs w:val="16"/>
                <w:lang w:val="es-MX" w:eastAsia="es-MX"/>
              </w:rPr>
            </w:pPr>
            <w:r w:rsidRPr="004650BF">
              <w:rPr>
                <w:rFonts w:asciiTheme="minorHAnsi" w:hAnsiTheme="minorHAnsi"/>
                <w:b/>
                <w:bCs/>
                <w:color w:val="000000"/>
                <w:sz w:val="16"/>
                <w:szCs w:val="16"/>
                <w:lang w:val="es-ES_tradnl" w:eastAsia="en-US"/>
              </w:rPr>
              <w:t>CONCLUSIÓN O ESTADO PROCESAL</w:t>
            </w:r>
          </w:p>
        </w:tc>
      </w:tr>
    </w:tbl>
    <w:p w:rsidR="004650BF" w:rsidRDefault="004650BF"/>
    <w:p w:rsidR="004650BF" w:rsidRDefault="004650BF"/>
    <w:tbl>
      <w:tblPr>
        <w:tblW w:w="9517" w:type="dxa"/>
        <w:tblInd w:w="51" w:type="dxa"/>
        <w:tblCellMar>
          <w:left w:w="70" w:type="dxa"/>
          <w:right w:w="70" w:type="dxa"/>
        </w:tblCellMar>
        <w:tblLook w:val="04A0"/>
      </w:tblPr>
      <w:tblGrid>
        <w:gridCol w:w="499"/>
        <w:gridCol w:w="1788"/>
        <w:gridCol w:w="1276"/>
        <w:gridCol w:w="1418"/>
        <w:gridCol w:w="1701"/>
        <w:gridCol w:w="1417"/>
        <w:gridCol w:w="1418"/>
      </w:tblGrid>
      <w:tr w:rsidR="004650BF" w:rsidRPr="004650BF" w:rsidTr="004650BF">
        <w:trPr>
          <w:trHeight w:val="1940"/>
        </w:trPr>
        <w:tc>
          <w:tcPr>
            <w:tcW w:w="49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12</w:t>
            </w:r>
          </w:p>
        </w:tc>
        <w:tc>
          <w:tcPr>
            <w:tcW w:w="178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ALFONSO HUGO VASCONCELOS CALDERÓN</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1284/2011</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s-MX"/>
              </w:rPr>
              <w:t>08/04/2014</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NO ES TRABAJADOR DE ESTA SECRETARÍA DE FINANZAS ES DE LA NOVA UNIVERSITAS</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s-MX"/>
              </w:rPr>
              <w:t>SE SEÑALÓ FECHA PARA QUE SE LLEVE A CABO LA AUDIENCIA DE CONCILIACIÓN, DEMANDA Y EXCEPCIONES PARA EL 13 DE JULIO DE 2015 A LAS 10 HORAS</w:t>
            </w:r>
          </w:p>
        </w:tc>
      </w:tr>
      <w:tr w:rsidR="004650BF" w:rsidRPr="004650BF" w:rsidTr="004650BF">
        <w:trPr>
          <w:trHeight w:val="269"/>
        </w:trPr>
        <w:tc>
          <w:tcPr>
            <w:tcW w:w="499" w:type="dxa"/>
            <w:vMerge/>
            <w:tcBorders>
              <w:top w:val="single" w:sz="4" w:space="0" w:color="auto"/>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r>
      <w:tr w:rsidR="004650BF" w:rsidRPr="004650BF" w:rsidTr="004650BF">
        <w:trPr>
          <w:trHeight w:val="1986"/>
        </w:trPr>
        <w:tc>
          <w:tcPr>
            <w:tcW w:w="499"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13</w:t>
            </w:r>
          </w:p>
        </w:tc>
        <w:tc>
          <w:tcPr>
            <w:tcW w:w="1788"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ANA ISABEL ARAGÓN ANAYA</w:t>
            </w:r>
          </w:p>
        </w:tc>
        <w:tc>
          <w:tcPr>
            <w:tcW w:w="1276"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143/2014</w:t>
            </w:r>
          </w:p>
        </w:tc>
        <w:tc>
          <w:tcPr>
            <w:tcW w:w="1418"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s-MX"/>
              </w:rPr>
              <w:t>12/09/2014</w:t>
            </w: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 </w:t>
            </w:r>
          </w:p>
        </w:tc>
        <w:tc>
          <w:tcPr>
            <w:tcW w:w="1417"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TENÍA CONTRATO DE CONFIANZA LE PERTENECÍA A LA SECRETARÍA DE CULTURA, POSTERIORMENTE LA COMISIONARON A ESTA SECRETARÍA.</w:t>
            </w:r>
          </w:p>
        </w:tc>
        <w:tc>
          <w:tcPr>
            <w:tcW w:w="1418"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s-MX"/>
              </w:rPr>
              <w:t>SE DESISTIÓ DE LA DEMANDA QUE TENIA PROMOVIDA EN NUESTRA CONTRA LA ACTORA MEDIANTE ACUERDO QUE NOS FUE NOTIFICADO EL 29 DE MAYO DE 2015</w:t>
            </w:r>
          </w:p>
        </w:tc>
      </w:tr>
      <w:tr w:rsidR="004650BF" w:rsidRPr="004650BF" w:rsidTr="004650BF">
        <w:trPr>
          <w:trHeight w:val="269"/>
        </w:trPr>
        <w:tc>
          <w:tcPr>
            <w:tcW w:w="499"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788"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701"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r>
      <w:tr w:rsidR="004650BF" w:rsidRPr="004650BF" w:rsidTr="004650BF">
        <w:trPr>
          <w:trHeight w:val="2117"/>
        </w:trPr>
        <w:tc>
          <w:tcPr>
            <w:tcW w:w="499"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14</w:t>
            </w:r>
          </w:p>
        </w:tc>
        <w:tc>
          <w:tcPr>
            <w:tcW w:w="1788"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RUBIEL RÍOS CRUZ</w:t>
            </w:r>
          </w:p>
        </w:tc>
        <w:tc>
          <w:tcPr>
            <w:tcW w:w="1276"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14/2015</w:t>
            </w:r>
          </w:p>
        </w:tc>
        <w:tc>
          <w:tcPr>
            <w:tcW w:w="1418"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s-MX"/>
              </w:rPr>
              <w:t>05/02/2015</w:t>
            </w: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$50,000.00</w:t>
            </w:r>
          </w:p>
        </w:tc>
        <w:tc>
          <w:tcPr>
            <w:tcW w:w="1417"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n-US"/>
              </w:rPr>
              <w:t>TENÍA CONTRATO DE CONFIANZA Y YA NO LE FUE RENOVADO, POR ESA RAZÓN DEMANDÓ; FENECIÓ SU CONTRATO</w:t>
            </w:r>
          </w:p>
        </w:tc>
        <w:tc>
          <w:tcPr>
            <w:tcW w:w="1418" w:type="dxa"/>
            <w:vMerge w:val="restart"/>
            <w:tcBorders>
              <w:top w:val="nil"/>
              <w:left w:val="single" w:sz="4" w:space="0" w:color="auto"/>
              <w:bottom w:val="single" w:sz="4" w:space="0" w:color="auto"/>
              <w:right w:val="single" w:sz="4" w:space="0" w:color="auto"/>
            </w:tcBorders>
            <w:shd w:val="clear" w:color="auto" w:fill="auto"/>
            <w:vAlign w:val="bottom"/>
            <w:hideMark/>
          </w:tcPr>
          <w:p w:rsidR="004650BF" w:rsidRPr="004650BF" w:rsidRDefault="004650BF" w:rsidP="004650BF">
            <w:pPr>
              <w:jc w:val="center"/>
              <w:rPr>
                <w:rFonts w:asciiTheme="minorHAnsi" w:hAnsiTheme="minorHAnsi"/>
                <w:color w:val="000000"/>
                <w:sz w:val="16"/>
                <w:szCs w:val="16"/>
                <w:lang w:val="es-MX" w:eastAsia="es-MX"/>
              </w:rPr>
            </w:pPr>
            <w:r w:rsidRPr="004650BF">
              <w:rPr>
                <w:rFonts w:asciiTheme="minorHAnsi" w:hAnsiTheme="minorHAnsi"/>
                <w:color w:val="000000"/>
                <w:sz w:val="16"/>
                <w:szCs w:val="16"/>
                <w:lang w:val="es-ES_tradnl" w:eastAsia="es-MX"/>
              </w:rPr>
              <w:t>SE SEÑALARON LAS ONCE HORAS DEL 10 DE JULIO DE 2015 PARA LA CONTINUACIÓN DEL DESAHOGO DE LA PRUEBA CONFESIONAL OFRECIDA POR LA PARTE DEMANDADA.</w:t>
            </w:r>
          </w:p>
        </w:tc>
      </w:tr>
      <w:tr w:rsidR="004650BF" w:rsidRPr="004650BF" w:rsidTr="004650BF">
        <w:trPr>
          <w:trHeight w:val="269"/>
        </w:trPr>
        <w:tc>
          <w:tcPr>
            <w:tcW w:w="499"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788"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701"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4650BF" w:rsidRPr="004650BF" w:rsidRDefault="004650BF" w:rsidP="004650BF">
            <w:pPr>
              <w:rPr>
                <w:rFonts w:asciiTheme="minorHAnsi" w:hAnsiTheme="minorHAnsi"/>
                <w:color w:val="000000"/>
                <w:sz w:val="16"/>
                <w:szCs w:val="16"/>
                <w:lang w:val="es-MX" w:eastAsia="es-MX"/>
              </w:rPr>
            </w:pPr>
          </w:p>
        </w:tc>
      </w:tr>
    </w:tbl>
    <w:p w:rsidR="004650BF" w:rsidRDefault="004650BF">
      <w:pPr>
        <w:rPr>
          <w:rFonts w:ascii="Arial" w:hAnsi="Arial" w:cs="Arial"/>
          <w:b/>
          <w:spacing w:val="20"/>
        </w:rPr>
      </w:pPr>
    </w:p>
    <w:p w:rsidR="004650BF" w:rsidRDefault="004650BF">
      <w:pPr>
        <w:rPr>
          <w:rFonts w:ascii="Arial" w:hAnsi="Arial" w:cs="Arial"/>
          <w:b/>
          <w:spacing w:val="20"/>
        </w:rPr>
      </w:pPr>
    </w:p>
    <w:p w:rsidR="00CB0BAD" w:rsidRDefault="00CB0BAD">
      <w:pPr>
        <w:rPr>
          <w:rFonts w:ascii="Arial" w:hAnsi="Arial" w:cs="Arial"/>
          <w:b/>
          <w:spacing w:val="20"/>
        </w:rPr>
      </w:pPr>
    </w:p>
    <w:p w:rsidR="004650BF" w:rsidRDefault="004650BF">
      <w:pPr>
        <w:rPr>
          <w:rFonts w:ascii="Arial" w:hAnsi="Arial" w:cs="Arial"/>
          <w:b/>
          <w:spacing w:val="20"/>
        </w:rPr>
      </w:pPr>
      <w:r>
        <w:rPr>
          <w:rFonts w:ascii="Arial" w:hAnsi="Arial" w:cs="Arial"/>
          <w:b/>
          <w:spacing w:val="20"/>
        </w:rPr>
        <w:br w:type="page"/>
      </w:r>
    </w:p>
    <w:p w:rsidR="00510583" w:rsidRDefault="001F7A50" w:rsidP="00510583">
      <w:pPr>
        <w:spacing w:line="22" w:lineRule="atLeast"/>
        <w:rPr>
          <w:rFonts w:ascii="Arial" w:hAnsi="Arial" w:cs="Arial"/>
          <w:b/>
          <w:spacing w:val="20"/>
        </w:rPr>
      </w:pPr>
      <w:r>
        <w:rPr>
          <w:rFonts w:ascii="Arial" w:hAnsi="Arial" w:cs="Arial"/>
          <w:b/>
          <w:spacing w:val="20"/>
        </w:rPr>
        <w:lastRenderedPageBreak/>
        <w:t>1</w:t>
      </w:r>
      <w:r w:rsidR="00F45683">
        <w:rPr>
          <w:rFonts w:ascii="Arial" w:hAnsi="Arial" w:cs="Arial"/>
          <w:b/>
          <w:spacing w:val="20"/>
        </w:rPr>
        <w:t>3</w:t>
      </w:r>
      <w:r w:rsidR="00510583">
        <w:rPr>
          <w:rFonts w:ascii="Arial" w:hAnsi="Arial" w:cs="Arial"/>
          <w:b/>
          <w:spacing w:val="20"/>
        </w:rPr>
        <w:t>.- PATRIMONIO</w:t>
      </w:r>
    </w:p>
    <w:p w:rsidR="006957F8" w:rsidRDefault="006957F8" w:rsidP="00510583">
      <w:pPr>
        <w:spacing w:line="22" w:lineRule="atLeast"/>
        <w:rPr>
          <w:rFonts w:ascii="Arial" w:hAnsi="Arial" w:cs="Arial"/>
          <w:b/>
          <w:spacing w:val="20"/>
        </w:rPr>
      </w:pPr>
    </w:p>
    <w:p w:rsidR="00104A70" w:rsidRDefault="001F7A50" w:rsidP="00510583">
      <w:pPr>
        <w:spacing w:line="22" w:lineRule="atLeast"/>
        <w:rPr>
          <w:rFonts w:ascii="Arial" w:hAnsi="Arial" w:cs="Arial"/>
          <w:b/>
          <w:spacing w:val="20"/>
        </w:rPr>
      </w:pPr>
      <w:r>
        <w:rPr>
          <w:rFonts w:ascii="Arial" w:hAnsi="Arial" w:cs="Arial"/>
          <w:b/>
          <w:spacing w:val="20"/>
        </w:rPr>
        <w:t>1</w:t>
      </w:r>
      <w:r w:rsidR="00F45683">
        <w:rPr>
          <w:rFonts w:ascii="Arial" w:hAnsi="Arial" w:cs="Arial"/>
          <w:b/>
          <w:spacing w:val="20"/>
        </w:rPr>
        <w:t>3</w:t>
      </w:r>
      <w:r w:rsidR="00104A70">
        <w:rPr>
          <w:rFonts w:ascii="Arial" w:hAnsi="Arial" w:cs="Arial"/>
          <w:b/>
          <w:spacing w:val="20"/>
        </w:rPr>
        <w:t>.1.- BIENES INMUEBLES</w:t>
      </w:r>
    </w:p>
    <w:p w:rsidR="00CB4280" w:rsidRDefault="00CB4280" w:rsidP="00510583">
      <w:pPr>
        <w:spacing w:line="22" w:lineRule="atLeast"/>
        <w:rPr>
          <w:rFonts w:ascii="Arial" w:hAnsi="Arial" w:cs="Arial"/>
          <w:b/>
          <w:spacing w:val="20"/>
        </w:rPr>
      </w:pPr>
    </w:p>
    <w:p w:rsidR="00CB4280" w:rsidRDefault="00CB4280" w:rsidP="00510583">
      <w:pPr>
        <w:spacing w:line="22" w:lineRule="atLeast"/>
        <w:rPr>
          <w:rFonts w:ascii="Arial" w:hAnsi="Arial" w:cs="Arial"/>
          <w:b/>
          <w:spacing w:val="20"/>
        </w:rPr>
      </w:pPr>
    </w:p>
    <w:p w:rsidR="006957F8" w:rsidRDefault="00CB4280">
      <w:pPr>
        <w:rPr>
          <w:rFonts w:ascii="Arial" w:hAnsi="Arial" w:cs="Arial"/>
          <w:b/>
          <w:spacing w:val="20"/>
        </w:rPr>
      </w:pPr>
      <w:r w:rsidRPr="00CB4280">
        <w:rPr>
          <w:noProof/>
          <w:lang w:val="es-MX" w:eastAsia="es-MX"/>
        </w:rPr>
        <w:drawing>
          <wp:inline distT="0" distB="0" distL="0" distR="0">
            <wp:extent cx="5509895" cy="4488815"/>
            <wp:effectExtent l="19050" t="0" r="0" b="0"/>
            <wp:docPr id="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srcRect/>
                    <a:stretch>
                      <a:fillRect/>
                    </a:stretch>
                  </pic:blipFill>
                  <pic:spPr bwMode="auto">
                    <a:xfrm>
                      <a:off x="0" y="0"/>
                      <a:ext cx="5509895" cy="4488815"/>
                    </a:xfrm>
                    <a:prstGeom prst="rect">
                      <a:avLst/>
                    </a:prstGeom>
                    <a:noFill/>
                    <a:ln w="9525">
                      <a:noFill/>
                      <a:miter lim="800000"/>
                      <a:headEnd/>
                      <a:tailEnd/>
                    </a:ln>
                  </pic:spPr>
                </pic:pic>
              </a:graphicData>
            </a:graphic>
          </wp:inline>
        </w:drawing>
      </w:r>
    </w:p>
    <w:p w:rsidR="006957F8" w:rsidRDefault="006957F8">
      <w:pPr>
        <w:rPr>
          <w:rFonts w:ascii="Arial" w:hAnsi="Arial" w:cs="Arial"/>
          <w:b/>
          <w:spacing w:val="20"/>
        </w:rPr>
      </w:pPr>
    </w:p>
    <w:p w:rsidR="006957F8" w:rsidRDefault="006957F8">
      <w:pPr>
        <w:rPr>
          <w:rFonts w:ascii="Arial" w:hAnsi="Arial" w:cs="Arial"/>
          <w:b/>
          <w:spacing w:val="20"/>
        </w:rPr>
      </w:pPr>
    </w:p>
    <w:p w:rsidR="00CB4280" w:rsidRDefault="00CB4280">
      <w:pPr>
        <w:rPr>
          <w:rFonts w:ascii="Arial" w:hAnsi="Arial" w:cs="Arial"/>
          <w:b/>
          <w:spacing w:val="20"/>
        </w:rPr>
      </w:pPr>
      <w:r>
        <w:rPr>
          <w:rFonts w:ascii="Arial" w:hAnsi="Arial" w:cs="Arial"/>
          <w:b/>
          <w:spacing w:val="20"/>
        </w:rPr>
        <w:br w:type="page"/>
      </w:r>
    </w:p>
    <w:p w:rsidR="00104A70" w:rsidRDefault="00104A70" w:rsidP="00104A70">
      <w:pPr>
        <w:spacing w:line="22" w:lineRule="atLeast"/>
        <w:rPr>
          <w:rFonts w:ascii="Arial" w:hAnsi="Arial" w:cs="Arial"/>
          <w:b/>
          <w:spacing w:val="20"/>
        </w:rPr>
      </w:pPr>
      <w:r>
        <w:rPr>
          <w:rFonts w:ascii="Arial" w:hAnsi="Arial" w:cs="Arial"/>
          <w:b/>
          <w:spacing w:val="20"/>
        </w:rPr>
        <w:lastRenderedPageBreak/>
        <w:t>1</w:t>
      </w:r>
      <w:r w:rsidR="00F45683">
        <w:rPr>
          <w:rFonts w:ascii="Arial" w:hAnsi="Arial" w:cs="Arial"/>
          <w:b/>
          <w:spacing w:val="20"/>
        </w:rPr>
        <w:t>3</w:t>
      </w:r>
      <w:r>
        <w:rPr>
          <w:rFonts w:ascii="Arial" w:hAnsi="Arial" w:cs="Arial"/>
          <w:b/>
          <w:spacing w:val="20"/>
        </w:rPr>
        <w:t xml:space="preserve">.2.- BIENES MUEBLES </w:t>
      </w:r>
    </w:p>
    <w:p w:rsidR="00CB4280" w:rsidRDefault="00CB4280" w:rsidP="00104A70">
      <w:pPr>
        <w:spacing w:line="22" w:lineRule="atLeast"/>
        <w:rPr>
          <w:rFonts w:ascii="Arial" w:hAnsi="Arial" w:cs="Arial"/>
          <w:b/>
          <w:spacing w:val="20"/>
        </w:rPr>
      </w:pPr>
    </w:p>
    <w:p w:rsidR="006957F8" w:rsidRDefault="00CB4280">
      <w:pPr>
        <w:rPr>
          <w:rFonts w:ascii="Arial" w:hAnsi="Arial" w:cs="Arial"/>
          <w:b/>
          <w:spacing w:val="20"/>
        </w:rPr>
      </w:pPr>
      <w:r w:rsidRPr="00CB4280">
        <w:rPr>
          <w:noProof/>
          <w:lang w:val="es-MX" w:eastAsia="es-MX"/>
        </w:rPr>
        <w:drawing>
          <wp:inline distT="0" distB="0" distL="0" distR="0">
            <wp:extent cx="5415280" cy="6044565"/>
            <wp:effectExtent l="19050" t="0" r="0" b="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a:stretch>
                      <a:fillRect/>
                    </a:stretch>
                  </pic:blipFill>
                  <pic:spPr bwMode="auto">
                    <a:xfrm>
                      <a:off x="0" y="0"/>
                      <a:ext cx="5415280" cy="6044565"/>
                    </a:xfrm>
                    <a:prstGeom prst="rect">
                      <a:avLst/>
                    </a:prstGeom>
                    <a:noFill/>
                    <a:ln w="9525">
                      <a:noFill/>
                      <a:miter lim="800000"/>
                      <a:headEnd/>
                      <a:tailEnd/>
                    </a:ln>
                  </pic:spPr>
                </pic:pic>
              </a:graphicData>
            </a:graphic>
          </wp:inline>
        </w:drawing>
      </w:r>
    </w:p>
    <w:p w:rsidR="006957F8" w:rsidRDefault="006957F8">
      <w:pPr>
        <w:rPr>
          <w:rFonts w:ascii="Arial" w:hAnsi="Arial" w:cs="Arial"/>
          <w:b/>
          <w:spacing w:val="20"/>
        </w:rPr>
      </w:pPr>
    </w:p>
    <w:p w:rsidR="006957F8" w:rsidRDefault="006957F8">
      <w:pPr>
        <w:rPr>
          <w:rFonts w:ascii="Arial" w:hAnsi="Arial" w:cs="Arial"/>
          <w:b/>
          <w:spacing w:val="20"/>
        </w:rPr>
      </w:pPr>
    </w:p>
    <w:p w:rsidR="006957F8" w:rsidRDefault="006957F8">
      <w:pPr>
        <w:rPr>
          <w:rFonts w:ascii="Arial" w:hAnsi="Arial" w:cs="Arial"/>
          <w:b/>
          <w:spacing w:val="20"/>
        </w:rPr>
      </w:pPr>
    </w:p>
    <w:p w:rsidR="006957F8" w:rsidRDefault="006957F8">
      <w:pPr>
        <w:rPr>
          <w:rFonts w:ascii="Arial" w:hAnsi="Arial" w:cs="Arial"/>
          <w:b/>
          <w:spacing w:val="20"/>
        </w:rPr>
      </w:pPr>
    </w:p>
    <w:sectPr w:rsidR="006957F8" w:rsidSect="00DF51A9">
      <w:headerReference w:type="even" r:id="rId45"/>
      <w:headerReference w:type="default" r:id="rId46"/>
      <w:footerReference w:type="even" r:id="rId47"/>
      <w:footerReference w:type="default" r:id="rId48"/>
      <w:pgSz w:w="12240" w:h="15840" w:code="1"/>
      <w:pgMar w:top="238" w:right="1608" w:bottom="567" w:left="1701" w:header="1985" w:footer="72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0CB9" w:rsidRDefault="00B70CB9" w:rsidP="00BF7222">
      <w:r>
        <w:separator/>
      </w:r>
    </w:p>
  </w:endnote>
  <w:endnote w:type="continuationSeparator" w:id="0">
    <w:p w:rsidR="00B70CB9" w:rsidRDefault="00B70CB9" w:rsidP="00BF72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auto"/>
    <w:pitch w:val="variable"/>
    <w:sig w:usb0="00000203" w:usb1="00000000" w:usb2="00000000" w:usb3="00000000" w:csb0="00000005" w:csb1="00000000"/>
  </w:font>
  <w:font w:name="Albertus Extra Bold">
    <w:altName w:val="Candara"/>
    <w:charset w:val="00"/>
    <w:family w:val="swiss"/>
    <w:pitch w:val="variable"/>
    <w:sig w:usb0="00000001"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FranklinGothic-Medium">
    <w:altName w:val="Franklin Gothic Medium"/>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anklinGothic-Demi">
    <w:altName w:val="Franklin Gothic Demi"/>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948" w:rsidRDefault="00890948" w:rsidP="00A446BA">
    <w:pPr>
      <w:pStyle w:val="Piedepgina"/>
      <w:jc w:val="right"/>
      <w:rPr>
        <w:noProof/>
        <w:sz w:val="16"/>
        <w:szCs w:val="16"/>
      </w:rPr>
    </w:pPr>
    <w:r>
      <w:rPr>
        <w:noProof/>
        <w:sz w:val="16"/>
        <w:szCs w:val="16"/>
        <w:lang w:val="es-MX" w:eastAsia="es-MX"/>
      </w:rPr>
      <w:drawing>
        <wp:inline distT="0" distB="0" distL="0" distR="0">
          <wp:extent cx="6115050" cy="1238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115050" cy="123825"/>
                  </a:xfrm>
                  <a:prstGeom prst="rect">
                    <a:avLst/>
                  </a:prstGeom>
                  <a:noFill/>
                  <a:ln w="9525">
                    <a:noFill/>
                    <a:miter lim="800000"/>
                    <a:headEnd/>
                    <a:tailEnd/>
                  </a:ln>
                </pic:spPr>
              </pic:pic>
            </a:graphicData>
          </a:graphic>
        </wp:inline>
      </w:drawing>
    </w:r>
  </w:p>
  <w:p w:rsidR="00890948" w:rsidRDefault="00A22CBC" w:rsidP="007B3D21">
    <w:pPr>
      <w:pStyle w:val="Piedepgina"/>
      <w:framePr w:wrap="around" w:vAnchor="text" w:hAnchor="page" w:x="5963" w:y="12"/>
      <w:rPr>
        <w:rStyle w:val="Nmerodepgina"/>
      </w:rPr>
    </w:pPr>
    <w:r>
      <w:rPr>
        <w:rStyle w:val="Nmerodepgina"/>
      </w:rPr>
      <w:fldChar w:fldCharType="begin"/>
    </w:r>
    <w:r w:rsidR="00890948">
      <w:rPr>
        <w:rStyle w:val="Nmerodepgina"/>
      </w:rPr>
      <w:instrText xml:space="preserve">PAGE  </w:instrText>
    </w:r>
    <w:r>
      <w:rPr>
        <w:rStyle w:val="Nmerodepgina"/>
      </w:rPr>
      <w:fldChar w:fldCharType="separate"/>
    </w:r>
    <w:r w:rsidR="00890948">
      <w:rPr>
        <w:rStyle w:val="Nmerodepgina"/>
        <w:noProof/>
      </w:rPr>
      <w:t>2</w:t>
    </w:r>
    <w:r>
      <w:rPr>
        <w:rStyle w:val="Nmerodepgina"/>
      </w:rPr>
      <w:fldChar w:fldCharType="end"/>
    </w:r>
  </w:p>
  <w:p w:rsidR="00890948" w:rsidRDefault="00890948" w:rsidP="00A446BA">
    <w:pPr>
      <w:pStyle w:val="Piedepgina"/>
      <w:jc w:val="right"/>
      <w:rPr>
        <w:noProof/>
        <w:sz w:val="16"/>
        <w:szCs w:val="16"/>
      </w:rPr>
    </w:pPr>
    <w:r w:rsidRPr="00F62BA2">
      <w:rPr>
        <w:noProof/>
        <w:sz w:val="16"/>
        <w:szCs w:val="16"/>
      </w:rPr>
      <w:t>Cuenta Pública del Estado</w:t>
    </w:r>
  </w:p>
  <w:p w:rsidR="00890948" w:rsidRDefault="00890948" w:rsidP="00A446BA">
    <w:pPr>
      <w:pStyle w:val="Piedepgina"/>
      <w:jc w:val="right"/>
    </w:pPr>
    <w:r w:rsidRPr="00F62BA2">
      <w:rPr>
        <w:noProof/>
        <w:sz w:val="16"/>
        <w:szCs w:val="16"/>
      </w:rPr>
      <w:t>Periodo noviembre-diciembre del ejercicio 2010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948" w:rsidRDefault="00890948" w:rsidP="007357EE">
    <w:pPr>
      <w:pStyle w:val="Piedepgina"/>
      <w:jc w:val="right"/>
      <w:rPr>
        <w:noProof/>
        <w:sz w:val="16"/>
        <w:szCs w:val="16"/>
      </w:rPr>
    </w:pPr>
    <w:r w:rsidRPr="00BC6A2E">
      <w:rPr>
        <w:noProof/>
        <w:sz w:val="16"/>
        <w:szCs w:val="16"/>
        <w:lang w:val="es-MX" w:eastAsia="es-MX"/>
      </w:rPr>
      <w:drawing>
        <wp:anchor distT="0" distB="0" distL="114300" distR="114300" simplePos="0" relativeHeight="251664896" behindDoc="0" locked="0" layoutInCell="1" allowOverlap="1">
          <wp:simplePos x="0" y="0"/>
          <wp:positionH relativeFrom="column">
            <wp:posOffset>-299085</wp:posOffset>
          </wp:positionH>
          <wp:positionV relativeFrom="paragraph">
            <wp:posOffset>33020</wp:posOffset>
          </wp:positionV>
          <wp:extent cx="1060450" cy="501650"/>
          <wp:effectExtent l="0" t="0" r="0" b="0"/>
          <wp:wrapThrough wrapText="bothSides">
            <wp:wrapPolygon edited="0">
              <wp:start x="15133" y="0"/>
              <wp:lineTo x="7760" y="0"/>
              <wp:lineTo x="5432" y="3281"/>
              <wp:lineTo x="5432" y="19686"/>
              <wp:lineTo x="16297" y="19686"/>
              <wp:lineTo x="16685" y="19686"/>
              <wp:lineTo x="16685" y="13124"/>
              <wp:lineTo x="17073" y="2461"/>
              <wp:lineTo x="16685" y="0"/>
              <wp:lineTo x="15133" y="0"/>
            </wp:wrapPolygon>
          </wp:wrapThrough>
          <wp:docPr id="247" name="Imagen 1"/>
          <wp:cNvGraphicFramePr/>
          <a:graphic xmlns:a="http://schemas.openxmlformats.org/drawingml/2006/main">
            <a:graphicData uri="http://schemas.openxmlformats.org/drawingml/2006/picture">
              <pic:pic xmlns:pic="http://schemas.openxmlformats.org/drawingml/2006/picture">
                <pic:nvPicPr>
                  <pic:cNvPr id="7" name="6 Imagen"/>
                  <pic:cNvPicPr/>
                </pic:nvPicPr>
                <pic:blipFill rotWithShape="1">
                  <a:blip r:embed="rId1">
                    <a:extLst>
                      <a:ext uri="{28A0092B-C50C-407E-A947-70E740481C1C}">
                        <a14:useLocalDpi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val="0"/>
                      </a:ext>
                    </a:extLst>
                  </a:blip>
                  <a:srcRect l="78632" b="12048"/>
                  <a:stretch/>
                </pic:blipFill>
                <pic:spPr bwMode="auto">
                  <a:xfrm>
                    <a:off x="0" y="0"/>
                    <a:ext cx="1060450" cy="501650"/>
                  </a:xfrm>
                  <a:prstGeom prst="rect">
                    <a:avLst/>
                  </a:prstGeom>
                  <a:noFill/>
                  <a:ln>
                    <a:noFill/>
                  </a:ln>
                  <a:extLst>
                    <a:ext uri="{53640926-AAD7-44D8-BBD7-CCE9431645EC}">
                      <a14:shadowObscured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a:ext>
                  </a:extLst>
                </pic:spPr>
              </pic:pic>
            </a:graphicData>
          </a:graphic>
        </wp:anchor>
      </w:drawing>
    </w:r>
    <w:r>
      <w:rPr>
        <w:noProof/>
        <w:sz w:val="16"/>
        <w:szCs w:val="16"/>
        <w:lang w:val="es-MX" w:eastAsia="es-MX"/>
      </w:rPr>
      <w:drawing>
        <wp:inline distT="0" distB="0" distL="0" distR="0">
          <wp:extent cx="5048250" cy="182841"/>
          <wp:effectExtent l="19050" t="0" r="0" b="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
                  <a:srcRect t="-97197" b="-68510"/>
                  <a:stretch>
                    <a:fillRect/>
                  </a:stretch>
                </pic:blipFill>
                <pic:spPr bwMode="auto">
                  <a:xfrm>
                    <a:off x="0" y="0"/>
                    <a:ext cx="5052872" cy="183008"/>
                  </a:xfrm>
                  <a:prstGeom prst="rect">
                    <a:avLst/>
                  </a:prstGeom>
                  <a:noFill/>
                  <a:ln w="9525">
                    <a:noFill/>
                    <a:miter lim="800000"/>
                    <a:headEnd/>
                    <a:tailEnd/>
                  </a:ln>
                </pic:spPr>
              </pic:pic>
            </a:graphicData>
          </a:graphic>
        </wp:inline>
      </w:drawing>
    </w:r>
  </w:p>
  <w:p w:rsidR="00890948" w:rsidRPr="00C826C1" w:rsidRDefault="00A22CBC" w:rsidP="00BC6A2E">
    <w:pPr>
      <w:pStyle w:val="Piedepgina"/>
      <w:ind w:right="-283"/>
      <w:jc w:val="right"/>
      <w:rPr>
        <w:rFonts w:ascii="Arial" w:hAnsi="Arial" w:cs="Arial"/>
        <w:noProof/>
        <w:sz w:val="16"/>
        <w:szCs w:val="16"/>
      </w:rPr>
    </w:pPr>
    <w:r w:rsidRPr="00A22CBC">
      <w:rPr>
        <w:rFonts w:ascii="Arial" w:hAnsi="Arial" w:cs="Arial"/>
        <w:noProof/>
        <w:sz w:val="16"/>
        <w:szCs w:val="16"/>
        <w:lang w:eastAsia="en-US"/>
      </w:rPr>
      <w:pict>
        <v:shapetype id="_x0000_t202" coordsize="21600,21600" o:spt="202" path="m,l,21600r21600,l21600,xe">
          <v:stroke joinstyle="miter"/>
          <v:path gradientshapeok="t" o:connecttype="rect"/>
        </v:shapetype>
        <v:shape id="_x0000_s72705" type="#_x0000_t202" style="position:absolute;left:0;text-align:left;margin-left:0;margin-top:0;width:38.35pt;height:21.75pt;z-index:251663872;mso-height-percent:200;mso-position-horizontal:center;mso-height-percent:200;mso-width-relative:margin;mso-height-relative:margin" filled="f" stroked="f">
          <v:textbox style="mso-next-textbox:#_x0000_s72705;mso-fit-shape-to-text:t">
            <w:txbxContent>
              <w:p w:rsidR="00890948" w:rsidRPr="00F9306E" w:rsidRDefault="00A22CBC">
                <w:pPr>
                  <w:rPr>
                    <w:sz w:val="20"/>
                    <w:szCs w:val="20"/>
                    <w:lang w:val="es-MX"/>
                  </w:rPr>
                </w:pPr>
                <w:r w:rsidRPr="00F9306E">
                  <w:rPr>
                    <w:sz w:val="20"/>
                    <w:szCs w:val="20"/>
                    <w:lang w:val="es-MX"/>
                  </w:rPr>
                  <w:fldChar w:fldCharType="begin"/>
                </w:r>
                <w:r w:rsidR="00890948" w:rsidRPr="00F9306E">
                  <w:rPr>
                    <w:sz w:val="20"/>
                    <w:szCs w:val="20"/>
                    <w:lang w:val="es-MX"/>
                  </w:rPr>
                  <w:instrText xml:space="preserve"> PAGE   \* MERGEFORMAT </w:instrText>
                </w:r>
                <w:r w:rsidRPr="00F9306E">
                  <w:rPr>
                    <w:sz w:val="20"/>
                    <w:szCs w:val="20"/>
                    <w:lang w:val="es-MX"/>
                  </w:rPr>
                  <w:fldChar w:fldCharType="separate"/>
                </w:r>
                <w:r w:rsidR="00E225C9">
                  <w:rPr>
                    <w:noProof/>
                    <w:sz w:val="20"/>
                    <w:szCs w:val="20"/>
                    <w:lang w:val="es-MX"/>
                  </w:rPr>
                  <w:t>1</w:t>
                </w:r>
                <w:r w:rsidRPr="00F9306E">
                  <w:rPr>
                    <w:sz w:val="20"/>
                    <w:szCs w:val="20"/>
                    <w:lang w:val="es-MX"/>
                  </w:rPr>
                  <w:fldChar w:fldCharType="end"/>
                </w:r>
              </w:p>
            </w:txbxContent>
          </v:textbox>
        </v:shape>
      </w:pict>
    </w:r>
    <w:r w:rsidR="00890948">
      <w:rPr>
        <w:rFonts w:ascii="Arial" w:hAnsi="Arial" w:cs="Arial"/>
        <w:noProof/>
        <w:sz w:val="16"/>
        <w:szCs w:val="16"/>
        <w:lang w:eastAsia="en-US"/>
      </w:rPr>
      <w:t xml:space="preserve">       2°</w:t>
    </w:r>
    <w:r w:rsidR="00890948" w:rsidRPr="00C826C1">
      <w:rPr>
        <w:rFonts w:ascii="Arial" w:hAnsi="Arial" w:cs="Arial"/>
        <w:noProof/>
        <w:sz w:val="16"/>
        <w:szCs w:val="16"/>
        <w:lang w:eastAsia="en-US"/>
      </w:rPr>
      <w:t>. INFORME TRIMESTRAL</w:t>
    </w:r>
  </w:p>
  <w:p w:rsidR="00890948" w:rsidRPr="00C826C1" w:rsidRDefault="00890948" w:rsidP="00BC6A2E">
    <w:pPr>
      <w:pStyle w:val="Piedepgina"/>
      <w:ind w:left="851" w:right="-283"/>
      <w:jc w:val="right"/>
      <w:rPr>
        <w:rFonts w:ascii="Arial" w:hAnsi="Arial" w:cs="Arial"/>
      </w:rPr>
    </w:pPr>
    <w:r w:rsidRPr="00C826C1">
      <w:rPr>
        <w:rFonts w:ascii="Arial" w:hAnsi="Arial" w:cs="Arial"/>
        <w:noProof/>
        <w:sz w:val="16"/>
        <w:szCs w:val="16"/>
      </w:rPr>
      <w:t>Periodo enero</w:t>
    </w:r>
    <w:r>
      <w:rPr>
        <w:rFonts w:ascii="Arial" w:hAnsi="Arial" w:cs="Arial"/>
        <w:noProof/>
        <w:sz w:val="16"/>
        <w:szCs w:val="16"/>
      </w:rPr>
      <w:t xml:space="preserve"> </w:t>
    </w:r>
    <w:r w:rsidRPr="00C826C1">
      <w:rPr>
        <w:rFonts w:ascii="Arial" w:hAnsi="Arial" w:cs="Arial"/>
        <w:noProof/>
        <w:sz w:val="16"/>
        <w:szCs w:val="16"/>
      </w:rPr>
      <w:t>-</w:t>
    </w:r>
    <w:r>
      <w:rPr>
        <w:rFonts w:ascii="Arial" w:hAnsi="Arial" w:cs="Arial"/>
        <w:noProof/>
        <w:sz w:val="16"/>
        <w:szCs w:val="16"/>
      </w:rPr>
      <w:t xml:space="preserve"> junio</w:t>
    </w:r>
    <w:r w:rsidRPr="00C826C1">
      <w:rPr>
        <w:rFonts w:ascii="Arial" w:hAnsi="Arial" w:cs="Arial"/>
        <w:noProof/>
        <w:sz w:val="16"/>
        <w:szCs w:val="16"/>
      </w:rPr>
      <w:t xml:space="preserve"> del ejercicio 201</w:t>
    </w:r>
    <w:r>
      <w:rPr>
        <w:rFonts w:ascii="Arial" w:hAnsi="Arial" w:cs="Arial"/>
        <w:noProof/>
        <w:sz w:val="16"/>
        <w:szCs w:val="16"/>
      </w:rPr>
      <w:t>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0CB9" w:rsidRDefault="00B70CB9" w:rsidP="00BF7222">
      <w:r>
        <w:separator/>
      </w:r>
    </w:p>
  </w:footnote>
  <w:footnote w:type="continuationSeparator" w:id="0">
    <w:p w:rsidR="00B70CB9" w:rsidRDefault="00B70CB9" w:rsidP="00BF72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948" w:rsidRDefault="00890948" w:rsidP="00A446BA">
    <w:pPr>
      <w:pStyle w:val="Encabezado"/>
      <w:tabs>
        <w:tab w:val="clear" w:pos="4252"/>
        <w:tab w:val="clear" w:pos="8504"/>
        <w:tab w:val="center" w:pos="4561"/>
        <w:tab w:val="right" w:pos="9122"/>
      </w:tabs>
    </w:pPr>
    <w:r>
      <w:rPr>
        <w:noProof/>
        <w:lang w:val="es-MX" w:eastAsia="es-MX"/>
      </w:rPr>
      <w:drawing>
        <wp:anchor distT="0" distB="0" distL="114300" distR="114300" simplePos="0" relativeHeight="251655680" behindDoc="1" locked="0" layoutInCell="1" allowOverlap="1">
          <wp:simplePos x="0" y="0"/>
          <wp:positionH relativeFrom="column">
            <wp:posOffset>1262380</wp:posOffset>
          </wp:positionH>
          <wp:positionV relativeFrom="paragraph">
            <wp:posOffset>633095</wp:posOffset>
          </wp:positionV>
          <wp:extent cx="4246880" cy="6116320"/>
          <wp:effectExtent l="19050" t="0" r="127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srcRect/>
                  <a:stretch>
                    <a:fillRect/>
                  </a:stretch>
                </pic:blipFill>
                <pic:spPr bwMode="auto">
                  <a:xfrm>
                    <a:off x="0" y="0"/>
                    <a:ext cx="4246880" cy="6116320"/>
                  </a:xfrm>
                  <a:prstGeom prst="rect">
                    <a:avLst/>
                  </a:prstGeom>
                  <a:noFill/>
                </pic:spPr>
              </pic:pic>
            </a:graphicData>
          </a:graphic>
        </wp:anchor>
      </w:drawing>
    </w:r>
    <w:r>
      <w:rPr>
        <w:noProof/>
        <w:lang w:val="es-MX" w:eastAsia="es-MX"/>
      </w:rPr>
      <w:drawing>
        <wp:anchor distT="0" distB="0" distL="114300" distR="114300" simplePos="0" relativeHeight="251657728" behindDoc="1" locked="0" layoutInCell="1" allowOverlap="1">
          <wp:simplePos x="0" y="0"/>
          <wp:positionH relativeFrom="column">
            <wp:posOffset>0</wp:posOffset>
          </wp:positionH>
          <wp:positionV relativeFrom="paragraph">
            <wp:posOffset>-900430</wp:posOffset>
          </wp:positionV>
          <wp:extent cx="2832100" cy="901700"/>
          <wp:effectExtent l="19050" t="0" r="6350" b="0"/>
          <wp:wrapThrough wrapText="bothSides">
            <wp:wrapPolygon edited="0">
              <wp:start x="9153" y="0"/>
              <wp:lineTo x="6393" y="0"/>
              <wp:lineTo x="4649" y="2738"/>
              <wp:lineTo x="5085" y="14603"/>
              <wp:lineTo x="145" y="16885"/>
              <wp:lineTo x="-145" y="16885"/>
              <wp:lineTo x="-145" y="20535"/>
              <wp:lineTo x="21648" y="20535"/>
              <wp:lineTo x="21648" y="16885"/>
              <wp:lineTo x="20922" y="16885"/>
              <wp:lineTo x="9880" y="14603"/>
              <wp:lineTo x="18888" y="13234"/>
              <wp:lineTo x="19469" y="11865"/>
              <wp:lineTo x="17871" y="7301"/>
              <wp:lineTo x="18161" y="5476"/>
              <wp:lineTo x="16709" y="4107"/>
              <wp:lineTo x="9880" y="0"/>
              <wp:lineTo x="9153"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
                  <a:srcRect/>
                  <a:stretch>
                    <a:fillRect/>
                  </a:stretch>
                </pic:blipFill>
                <pic:spPr bwMode="auto">
                  <a:xfrm>
                    <a:off x="0" y="0"/>
                    <a:ext cx="2832100" cy="901700"/>
                  </a:xfrm>
                  <a:prstGeom prst="rect">
                    <a:avLst/>
                  </a:prstGeom>
                  <a:noFill/>
                </pic:spPr>
              </pic:pic>
            </a:graphicData>
          </a:graphic>
        </wp:anchor>
      </w:drawing>
    </w:r>
    <w:r>
      <w:rPr>
        <w:noProof/>
        <w:lang w:val="es-MX" w:eastAsia="es-MX"/>
      </w:rPr>
      <w:drawing>
        <wp:anchor distT="0" distB="0" distL="114300" distR="114300" simplePos="0" relativeHeight="251658752" behindDoc="1" locked="0" layoutInCell="1" allowOverlap="1">
          <wp:simplePos x="0" y="0"/>
          <wp:positionH relativeFrom="column">
            <wp:posOffset>5014595</wp:posOffset>
          </wp:positionH>
          <wp:positionV relativeFrom="paragraph">
            <wp:posOffset>-900430</wp:posOffset>
          </wp:positionV>
          <wp:extent cx="1116965" cy="899795"/>
          <wp:effectExtent l="19050" t="0" r="6985" b="0"/>
          <wp:wrapThrough wrapText="bothSides">
            <wp:wrapPolygon edited="0">
              <wp:start x="-368" y="0"/>
              <wp:lineTo x="-368" y="21036"/>
              <wp:lineTo x="21735" y="21036"/>
              <wp:lineTo x="21735" y="0"/>
              <wp:lineTo x="-368"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
                  <a:srcRect/>
                  <a:stretch>
                    <a:fillRect/>
                  </a:stretch>
                </pic:blipFill>
                <pic:spPr bwMode="auto">
                  <a:xfrm>
                    <a:off x="0" y="0"/>
                    <a:ext cx="1116965" cy="89979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81" w:type="dxa"/>
      <w:tblInd w:w="70" w:type="dxa"/>
      <w:tblCellMar>
        <w:left w:w="70" w:type="dxa"/>
        <w:right w:w="70" w:type="dxa"/>
      </w:tblCellMar>
      <w:tblLook w:val="0000"/>
    </w:tblPr>
    <w:tblGrid>
      <w:gridCol w:w="8505"/>
      <w:gridCol w:w="1276"/>
    </w:tblGrid>
    <w:tr w:rsidR="00890948" w:rsidRPr="00C13969" w:rsidTr="0018338B">
      <w:trPr>
        <w:trHeight w:val="227"/>
      </w:trPr>
      <w:tc>
        <w:tcPr>
          <w:tcW w:w="8505" w:type="dxa"/>
          <w:shd w:val="clear" w:color="auto" w:fill="auto"/>
          <w:noWrap/>
        </w:tcPr>
        <w:p w:rsidR="00890948" w:rsidRPr="00C13969" w:rsidRDefault="00890948" w:rsidP="00EA2643">
          <w:pPr>
            <w:spacing w:line="480" w:lineRule="auto"/>
            <w:rPr>
              <w:rFonts w:ascii="Arial" w:hAnsi="Arial" w:cs="Arial"/>
              <w:b/>
            </w:rPr>
          </w:pPr>
          <w:r w:rsidRPr="00BC0654">
            <w:rPr>
              <w:rFonts w:ascii="Arial" w:hAnsi="Arial"/>
              <w:b/>
              <w:noProof/>
              <w:lang w:val="es-MX" w:eastAsia="es-MX"/>
            </w:rPr>
            <w:drawing>
              <wp:anchor distT="0" distB="0" distL="114300" distR="114300" simplePos="0" relativeHeight="251661824" behindDoc="1" locked="0" layoutInCell="1" allowOverlap="1">
                <wp:simplePos x="0" y="0"/>
                <wp:positionH relativeFrom="column">
                  <wp:posOffset>-20405</wp:posOffset>
                </wp:positionH>
                <wp:positionV relativeFrom="paragraph">
                  <wp:posOffset>-837781</wp:posOffset>
                </wp:positionV>
                <wp:extent cx="1354347" cy="1345721"/>
                <wp:effectExtent l="0" t="0" r="0" b="0"/>
                <wp:wrapNone/>
                <wp:docPr id="238" name="Imagen 3" descr="C:\Users\admin\AppData\Local\Temp\EscudoNac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EscudoNacional.png"/>
                        <pic:cNvPicPr>
                          <a:picLocks noChangeAspect="1" noChangeArrowheads="1"/>
                        </pic:cNvPicPr>
                      </pic:nvPicPr>
                      <pic:blipFill>
                        <a:blip r:embed="rId1"/>
                        <a:srcRect/>
                        <a:stretch>
                          <a:fillRect/>
                        </a:stretch>
                      </pic:blipFill>
                      <pic:spPr bwMode="auto">
                        <a:xfrm>
                          <a:off x="0" y="0"/>
                          <a:ext cx="1354347" cy="1345721"/>
                        </a:xfrm>
                        <a:prstGeom prst="rect">
                          <a:avLst/>
                        </a:prstGeom>
                        <a:noFill/>
                        <a:ln w="9525">
                          <a:noFill/>
                          <a:miter lim="800000"/>
                          <a:headEnd/>
                          <a:tailEnd/>
                        </a:ln>
                      </pic:spPr>
                    </pic:pic>
                  </a:graphicData>
                </a:graphic>
              </wp:anchor>
            </w:drawing>
          </w:r>
        </w:p>
      </w:tc>
      <w:tc>
        <w:tcPr>
          <w:tcW w:w="1276" w:type="dxa"/>
          <w:shd w:val="clear" w:color="auto" w:fill="auto"/>
          <w:noWrap/>
        </w:tcPr>
        <w:p w:rsidR="00890948" w:rsidRPr="00C13969" w:rsidRDefault="00890948" w:rsidP="002254C8">
          <w:pPr>
            <w:spacing w:line="480" w:lineRule="auto"/>
            <w:jc w:val="center"/>
            <w:rPr>
              <w:rFonts w:ascii="Arial" w:hAnsi="Arial" w:cs="Arial"/>
              <w:b/>
            </w:rPr>
          </w:pPr>
        </w:p>
      </w:tc>
    </w:tr>
  </w:tbl>
  <w:p w:rsidR="00890948" w:rsidRDefault="00890948" w:rsidP="0018338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954CBBC"/>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DE12199C"/>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8E2E09AE"/>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ADC5942"/>
    <w:multiLevelType w:val="hybridMultilevel"/>
    <w:tmpl w:val="DEDC5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F4E5215"/>
    <w:multiLevelType w:val="hybridMultilevel"/>
    <w:tmpl w:val="80D87C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7E212C"/>
    <w:multiLevelType w:val="hybridMultilevel"/>
    <w:tmpl w:val="8B7A60F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
    <w:nsid w:val="18923D7C"/>
    <w:multiLevelType w:val="hybridMultilevel"/>
    <w:tmpl w:val="FE1C057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
    <w:nsid w:val="1ABF59F6"/>
    <w:multiLevelType w:val="hybridMultilevel"/>
    <w:tmpl w:val="BCA6A2B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7777FB"/>
    <w:multiLevelType w:val="hybridMultilevel"/>
    <w:tmpl w:val="DDDA80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E511566"/>
    <w:multiLevelType w:val="hybridMultilevel"/>
    <w:tmpl w:val="521C7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AC4D0A"/>
    <w:multiLevelType w:val="hybridMultilevel"/>
    <w:tmpl w:val="83444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23318E0"/>
    <w:multiLevelType w:val="hybridMultilevel"/>
    <w:tmpl w:val="0088D1B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2">
    <w:nsid w:val="3DCD2810"/>
    <w:multiLevelType w:val="hybridMultilevel"/>
    <w:tmpl w:val="64A80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8CB6A10"/>
    <w:multiLevelType w:val="hybridMultilevel"/>
    <w:tmpl w:val="8872FFF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nsid w:val="49174EA6"/>
    <w:multiLevelType w:val="hybridMultilevel"/>
    <w:tmpl w:val="FD74D93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5">
    <w:nsid w:val="4C285AE5"/>
    <w:multiLevelType w:val="hybridMultilevel"/>
    <w:tmpl w:val="DBCE0B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39131A6"/>
    <w:multiLevelType w:val="hybridMultilevel"/>
    <w:tmpl w:val="C882D200"/>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7">
    <w:nsid w:val="5F377D14"/>
    <w:multiLevelType w:val="hybridMultilevel"/>
    <w:tmpl w:val="8E0CE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C4E36CF"/>
    <w:multiLevelType w:val="hybridMultilevel"/>
    <w:tmpl w:val="C674D2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18"/>
  </w:num>
  <w:num w:numId="5">
    <w:abstractNumId w:val="17"/>
  </w:num>
  <w:num w:numId="6">
    <w:abstractNumId w:val="7"/>
  </w:num>
  <w:num w:numId="7">
    <w:abstractNumId w:val="5"/>
  </w:num>
  <w:num w:numId="8">
    <w:abstractNumId w:val="11"/>
  </w:num>
  <w:num w:numId="9">
    <w:abstractNumId w:val="13"/>
  </w:num>
  <w:num w:numId="10">
    <w:abstractNumId w:val="16"/>
  </w:num>
  <w:num w:numId="11">
    <w:abstractNumId w:val="6"/>
  </w:num>
  <w:num w:numId="12">
    <w:abstractNumId w:val="12"/>
  </w:num>
  <w:num w:numId="13">
    <w:abstractNumId w:val="10"/>
  </w:num>
  <w:num w:numId="14">
    <w:abstractNumId w:val="15"/>
  </w:num>
  <w:num w:numId="15">
    <w:abstractNumId w:val="9"/>
  </w:num>
  <w:num w:numId="16">
    <w:abstractNumId w:val="4"/>
  </w:num>
  <w:num w:numId="17">
    <w:abstractNumId w:val="3"/>
  </w:num>
  <w:num w:numId="18">
    <w:abstractNumId w:val="8"/>
  </w:num>
  <w:num w:numId="19">
    <w:abstractNumId w:val="1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hideSpellingErrors/>
  <w:proofState w:spelling="clean" w:grammar="clean"/>
  <w:defaultTabStop w:val="709"/>
  <w:hyphenationZone w:val="425"/>
  <w:drawingGridHorizontalSpacing w:val="120"/>
  <w:drawingGridVerticalSpacing w:val="142"/>
  <w:displayHorizontalDrawingGridEvery w:val="2"/>
  <w:characterSpacingControl w:val="doNotCompress"/>
  <w:hdrShapeDefaults>
    <o:shapedefaults v:ext="edit" spidmax="192514"/>
    <o:shapelayout v:ext="edit">
      <o:idmap v:ext="edit" data="71"/>
    </o:shapelayout>
  </w:hdrShapeDefaults>
  <w:footnotePr>
    <w:footnote w:id="-1"/>
    <w:footnote w:id="0"/>
  </w:footnotePr>
  <w:endnotePr>
    <w:endnote w:id="-1"/>
    <w:endnote w:id="0"/>
  </w:endnotePr>
  <w:compat>
    <w:useFELayout/>
  </w:compat>
  <w:rsids>
    <w:rsidRoot w:val="00BF7222"/>
    <w:rsid w:val="000019A4"/>
    <w:rsid w:val="00004774"/>
    <w:rsid w:val="00006708"/>
    <w:rsid w:val="000128DE"/>
    <w:rsid w:val="00013556"/>
    <w:rsid w:val="0001545E"/>
    <w:rsid w:val="000163A3"/>
    <w:rsid w:val="00023DF5"/>
    <w:rsid w:val="00025A7F"/>
    <w:rsid w:val="00025D72"/>
    <w:rsid w:val="0002742C"/>
    <w:rsid w:val="00032B0C"/>
    <w:rsid w:val="00034620"/>
    <w:rsid w:val="00034F43"/>
    <w:rsid w:val="00040218"/>
    <w:rsid w:val="00040FF7"/>
    <w:rsid w:val="00042B11"/>
    <w:rsid w:val="00045215"/>
    <w:rsid w:val="00045916"/>
    <w:rsid w:val="00047382"/>
    <w:rsid w:val="0005470D"/>
    <w:rsid w:val="00056ADB"/>
    <w:rsid w:val="0006182A"/>
    <w:rsid w:val="00061D55"/>
    <w:rsid w:val="000627E7"/>
    <w:rsid w:val="00063B52"/>
    <w:rsid w:val="00064B3A"/>
    <w:rsid w:val="00075300"/>
    <w:rsid w:val="00082320"/>
    <w:rsid w:val="0008759E"/>
    <w:rsid w:val="0009332D"/>
    <w:rsid w:val="00097A5F"/>
    <w:rsid w:val="000A28B0"/>
    <w:rsid w:val="000A37BC"/>
    <w:rsid w:val="000B0906"/>
    <w:rsid w:val="000B0962"/>
    <w:rsid w:val="000B0D98"/>
    <w:rsid w:val="000B1876"/>
    <w:rsid w:val="000B1FE0"/>
    <w:rsid w:val="000B2083"/>
    <w:rsid w:val="000B5DDF"/>
    <w:rsid w:val="000C09D8"/>
    <w:rsid w:val="000C0F15"/>
    <w:rsid w:val="000C2671"/>
    <w:rsid w:val="000C31F9"/>
    <w:rsid w:val="000C4423"/>
    <w:rsid w:val="000C597F"/>
    <w:rsid w:val="000D3383"/>
    <w:rsid w:val="000D513F"/>
    <w:rsid w:val="000D6906"/>
    <w:rsid w:val="000E02EA"/>
    <w:rsid w:val="000E0FE7"/>
    <w:rsid w:val="000E1882"/>
    <w:rsid w:val="000E4710"/>
    <w:rsid w:val="000E6029"/>
    <w:rsid w:val="000F106D"/>
    <w:rsid w:val="000F2003"/>
    <w:rsid w:val="000F353A"/>
    <w:rsid w:val="000F535F"/>
    <w:rsid w:val="000F62EA"/>
    <w:rsid w:val="000F7B75"/>
    <w:rsid w:val="00100A23"/>
    <w:rsid w:val="001011EC"/>
    <w:rsid w:val="00101717"/>
    <w:rsid w:val="00104A70"/>
    <w:rsid w:val="001061B7"/>
    <w:rsid w:val="001133DC"/>
    <w:rsid w:val="00113CEE"/>
    <w:rsid w:val="0011428B"/>
    <w:rsid w:val="001142CB"/>
    <w:rsid w:val="00122143"/>
    <w:rsid w:val="00122645"/>
    <w:rsid w:val="00133365"/>
    <w:rsid w:val="001348D5"/>
    <w:rsid w:val="0013614C"/>
    <w:rsid w:val="00143CB1"/>
    <w:rsid w:val="00144F68"/>
    <w:rsid w:val="00147F96"/>
    <w:rsid w:val="00150123"/>
    <w:rsid w:val="00151DF4"/>
    <w:rsid w:val="0015442F"/>
    <w:rsid w:val="001615A5"/>
    <w:rsid w:val="00167E45"/>
    <w:rsid w:val="00170229"/>
    <w:rsid w:val="00171F1F"/>
    <w:rsid w:val="00172AB6"/>
    <w:rsid w:val="00177E25"/>
    <w:rsid w:val="00180ECB"/>
    <w:rsid w:val="0018205B"/>
    <w:rsid w:val="0018338B"/>
    <w:rsid w:val="00187633"/>
    <w:rsid w:val="00187A03"/>
    <w:rsid w:val="00192921"/>
    <w:rsid w:val="00194EED"/>
    <w:rsid w:val="00195B38"/>
    <w:rsid w:val="00196096"/>
    <w:rsid w:val="00196C2A"/>
    <w:rsid w:val="001A0291"/>
    <w:rsid w:val="001A26BF"/>
    <w:rsid w:val="001A3CAE"/>
    <w:rsid w:val="001A4681"/>
    <w:rsid w:val="001A6AEC"/>
    <w:rsid w:val="001B3005"/>
    <w:rsid w:val="001C0005"/>
    <w:rsid w:val="001C2377"/>
    <w:rsid w:val="001C7125"/>
    <w:rsid w:val="001D0BCE"/>
    <w:rsid w:val="001D4107"/>
    <w:rsid w:val="001D6A66"/>
    <w:rsid w:val="001E348B"/>
    <w:rsid w:val="001E5B7D"/>
    <w:rsid w:val="001E76A7"/>
    <w:rsid w:val="001F440F"/>
    <w:rsid w:val="001F7A50"/>
    <w:rsid w:val="002024C0"/>
    <w:rsid w:val="002026B6"/>
    <w:rsid w:val="00205611"/>
    <w:rsid w:val="00207A5B"/>
    <w:rsid w:val="00207BAB"/>
    <w:rsid w:val="00210A46"/>
    <w:rsid w:val="0021315B"/>
    <w:rsid w:val="00217C4E"/>
    <w:rsid w:val="00220548"/>
    <w:rsid w:val="00220597"/>
    <w:rsid w:val="00222147"/>
    <w:rsid w:val="00224DD6"/>
    <w:rsid w:val="002254C8"/>
    <w:rsid w:val="00225B89"/>
    <w:rsid w:val="00225CEC"/>
    <w:rsid w:val="00230BEB"/>
    <w:rsid w:val="0023141D"/>
    <w:rsid w:val="00234B1B"/>
    <w:rsid w:val="002436CB"/>
    <w:rsid w:val="00243F27"/>
    <w:rsid w:val="002443EA"/>
    <w:rsid w:val="00245304"/>
    <w:rsid w:val="00247DDF"/>
    <w:rsid w:val="002530FE"/>
    <w:rsid w:val="00254FC4"/>
    <w:rsid w:val="00262143"/>
    <w:rsid w:val="00263020"/>
    <w:rsid w:val="00264020"/>
    <w:rsid w:val="0026453C"/>
    <w:rsid w:val="00264E77"/>
    <w:rsid w:val="00270507"/>
    <w:rsid w:val="00271F54"/>
    <w:rsid w:val="002728A2"/>
    <w:rsid w:val="00280247"/>
    <w:rsid w:val="00280E33"/>
    <w:rsid w:val="0028186D"/>
    <w:rsid w:val="00281B04"/>
    <w:rsid w:val="00285990"/>
    <w:rsid w:val="00287324"/>
    <w:rsid w:val="002937A3"/>
    <w:rsid w:val="00295649"/>
    <w:rsid w:val="002A24A1"/>
    <w:rsid w:val="002A3E66"/>
    <w:rsid w:val="002A50D0"/>
    <w:rsid w:val="002A5475"/>
    <w:rsid w:val="002A6237"/>
    <w:rsid w:val="002A6928"/>
    <w:rsid w:val="002A76B6"/>
    <w:rsid w:val="002B03B9"/>
    <w:rsid w:val="002B2465"/>
    <w:rsid w:val="002B2AEB"/>
    <w:rsid w:val="002B30E9"/>
    <w:rsid w:val="002B5A1D"/>
    <w:rsid w:val="002C0C92"/>
    <w:rsid w:val="002C53FB"/>
    <w:rsid w:val="002D26C6"/>
    <w:rsid w:val="002D2BFD"/>
    <w:rsid w:val="002D3E82"/>
    <w:rsid w:val="002D5358"/>
    <w:rsid w:val="002E00F1"/>
    <w:rsid w:val="002E47D0"/>
    <w:rsid w:val="002E5982"/>
    <w:rsid w:val="002E67F2"/>
    <w:rsid w:val="002E6BA5"/>
    <w:rsid w:val="002F09F6"/>
    <w:rsid w:val="002F685D"/>
    <w:rsid w:val="002F7589"/>
    <w:rsid w:val="00300642"/>
    <w:rsid w:val="003014B8"/>
    <w:rsid w:val="003024FE"/>
    <w:rsid w:val="00306F09"/>
    <w:rsid w:val="00310D23"/>
    <w:rsid w:val="00311383"/>
    <w:rsid w:val="00317419"/>
    <w:rsid w:val="00322FE4"/>
    <w:rsid w:val="00323908"/>
    <w:rsid w:val="003248B9"/>
    <w:rsid w:val="0032631F"/>
    <w:rsid w:val="00332870"/>
    <w:rsid w:val="003403A6"/>
    <w:rsid w:val="0034222D"/>
    <w:rsid w:val="00342AE1"/>
    <w:rsid w:val="00345372"/>
    <w:rsid w:val="00345B90"/>
    <w:rsid w:val="003472B7"/>
    <w:rsid w:val="003512A6"/>
    <w:rsid w:val="00353C85"/>
    <w:rsid w:val="0035750B"/>
    <w:rsid w:val="0036160A"/>
    <w:rsid w:val="00361C78"/>
    <w:rsid w:val="00362911"/>
    <w:rsid w:val="00364C80"/>
    <w:rsid w:val="003656D0"/>
    <w:rsid w:val="00365C1A"/>
    <w:rsid w:val="00370A31"/>
    <w:rsid w:val="00370AFF"/>
    <w:rsid w:val="00371136"/>
    <w:rsid w:val="00374B05"/>
    <w:rsid w:val="00375271"/>
    <w:rsid w:val="00376C3F"/>
    <w:rsid w:val="00380452"/>
    <w:rsid w:val="00384515"/>
    <w:rsid w:val="003846AB"/>
    <w:rsid w:val="00396AD7"/>
    <w:rsid w:val="0039715E"/>
    <w:rsid w:val="003A0127"/>
    <w:rsid w:val="003A164B"/>
    <w:rsid w:val="003A69A4"/>
    <w:rsid w:val="003B1CBD"/>
    <w:rsid w:val="003B4AB5"/>
    <w:rsid w:val="003B617A"/>
    <w:rsid w:val="003B6485"/>
    <w:rsid w:val="003B6592"/>
    <w:rsid w:val="003C1A47"/>
    <w:rsid w:val="003C32B4"/>
    <w:rsid w:val="003C70BF"/>
    <w:rsid w:val="003C7716"/>
    <w:rsid w:val="003D362C"/>
    <w:rsid w:val="003D7501"/>
    <w:rsid w:val="003E2D32"/>
    <w:rsid w:val="003E3081"/>
    <w:rsid w:val="003E4262"/>
    <w:rsid w:val="003E5991"/>
    <w:rsid w:val="003F1C36"/>
    <w:rsid w:val="003F4706"/>
    <w:rsid w:val="003F7EA4"/>
    <w:rsid w:val="004010B0"/>
    <w:rsid w:val="00402810"/>
    <w:rsid w:val="00407A23"/>
    <w:rsid w:val="00416E2F"/>
    <w:rsid w:val="00422AE0"/>
    <w:rsid w:val="00424CFA"/>
    <w:rsid w:val="00425141"/>
    <w:rsid w:val="00430674"/>
    <w:rsid w:val="004318C9"/>
    <w:rsid w:val="004318DE"/>
    <w:rsid w:val="00433F28"/>
    <w:rsid w:val="00437C35"/>
    <w:rsid w:val="00440401"/>
    <w:rsid w:val="00440C67"/>
    <w:rsid w:val="00440E1D"/>
    <w:rsid w:val="00441036"/>
    <w:rsid w:val="004410F8"/>
    <w:rsid w:val="00441B41"/>
    <w:rsid w:val="00450FF4"/>
    <w:rsid w:val="00451295"/>
    <w:rsid w:val="0045776D"/>
    <w:rsid w:val="004579CC"/>
    <w:rsid w:val="00457D37"/>
    <w:rsid w:val="00460282"/>
    <w:rsid w:val="0046191A"/>
    <w:rsid w:val="00462B1A"/>
    <w:rsid w:val="004650BF"/>
    <w:rsid w:val="00466D25"/>
    <w:rsid w:val="00470043"/>
    <w:rsid w:val="004716D6"/>
    <w:rsid w:val="00473FD5"/>
    <w:rsid w:val="00474410"/>
    <w:rsid w:val="004907BB"/>
    <w:rsid w:val="00497613"/>
    <w:rsid w:val="004B29B5"/>
    <w:rsid w:val="004B3BAF"/>
    <w:rsid w:val="004B64DD"/>
    <w:rsid w:val="004B7802"/>
    <w:rsid w:val="004C09A4"/>
    <w:rsid w:val="004C0EF3"/>
    <w:rsid w:val="004C1C08"/>
    <w:rsid w:val="004C6218"/>
    <w:rsid w:val="004C6375"/>
    <w:rsid w:val="004C6D85"/>
    <w:rsid w:val="004C7E7C"/>
    <w:rsid w:val="004D094F"/>
    <w:rsid w:val="004D09CD"/>
    <w:rsid w:val="004D2BC2"/>
    <w:rsid w:val="004D32D8"/>
    <w:rsid w:val="004D414F"/>
    <w:rsid w:val="004E0BE7"/>
    <w:rsid w:val="004E3C55"/>
    <w:rsid w:val="004E41B2"/>
    <w:rsid w:val="004E5893"/>
    <w:rsid w:val="004E5E60"/>
    <w:rsid w:val="004E68A4"/>
    <w:rsid w:val="004E6D85"/>
    <w:rsid w:val="004F068C"/>
    <w:rsid w:val="004F2481"/>
    <w:rsid w:val="004F4DED"/>
    <w:rsid w:val="004F529F"/>
    <w:rsid w:val="004F7190"/>
    <w:rsid w:val="00501B31"/>
    <w:rsid w:val="00501EEA"/>
    <w:rsid w:val="005045F9"/>
    <w:rsid w:val="005072ED"/>
    <w:rsid w:val="00510583"/>
    <w:rsid w:val="0051553C"/>
    <w:rsid w:val="0051602C"/>
    <w:rsid w:val="0052147D"/>
    <w:rsid w:val="005226DF"/>
    <w:rsid w:val="0052284F"/>
    <w:rsid w:val="005238B7"/>
    <w:rsid w:val="00524866"/>
    <w:rsid w:val="00524E74"/>
    <w:rsid w:val="005323D6"/>
    <w:rsid w:val="00532D8C"/>
    <w:rsid w:val="0053424F"/>
    <w:rsid w:val="005346DA"/>
    <w:rsid w:val="005372A4"/>
    <w:rsid w:val="005372E0"/>
    <w:rsid w:val="005409F2"/>
    <w:rsid w:val="0054261B"/>
    <w:rsid w:val="00544638"/>
    <w:rsid w:val="00547A56"/>
    <w:rsid w:val="0055036D"/>
    <w:rsid w:val="005605B7"/>
    <w:rsid w:val="0056565A"/>
    <w:rsid w:val="005676CD"/>
    <w:rsid w:val="00571583"/>
    <w:rsid w:val="00571C44"/>
    <w:rsid w:val="0057475F"/>
    <w:rsid w:val="005748CE"/>
    <w:rsid w:val="00580B20"/>
    <w:rsid w:val="00580C96"/>
    <w:rsid w:val="00583BC0"/>
    <w:rsid w:val="00585341"/>
    <w:rsid w:val="00590986"/>
    <w:rsid w:val="00590B84"/>
    <w:rsid w:val="00590DCF"/>
    <w:rsid w:val="005923E3"/>
    <w:rsid w:val="00593172"/>
    <w:rsid w:val="00596EA4"/>
    <w:rsid w:val="005A1054"/>
    <w:rsid w:val="005A127E"/>
    <w:rsid w:val="005A1A52"/>
    <w:rsid w:val="005A413E"/>
    <w:rsid w:val="005A5290"/>
    <w:rsid w:val="005B27C2"/>
    <w:rsid w:val="005B3A73"/>
    <w:rsid w:val="005B5AD1"/>
    <w:rsid w:val="005C15B7"/>
    <w:rsid w:val="005D09C0"/>
    <w:rsid w:val="005D47FE"/>
    <w:rsid w:val="005D51C0"/>
    <w:rsid w:val="005D7E67"/>
    <w:rsid w:val="005E4F1A"/>
    <w:rsid w:val="005F220A"/>
    <w:rsid w:val="005F37C1"/>
    <w:rsid w:val="005F4258"/>
    <w:rsid w:val="0060088E"/>
    <w:rsid w:val="0060166A"/>
    <w:rsid w:val="006029E7"/>
    <w:rsid w:val="00606D78"/>
    <w:rsid w:val="006124C7"/>
    <w:rsid w:val="00612A54"/>
    <w:rsid w:val="00614A04"/>
    <w:rsid w:val="006219F4"/>
    <w:rsid w:val="006226FC"/>
    <w:rsid w:val="00622FC6"/>
    <w:rsid w:val="00625FAC"/>
    <w:rsid w:val="006262A9"/>
    <w:rsid w:val="00630A92"/>
    <w:rsid w:val="00631C3C"/>
    <w:rsid w:val="006402BA"/>
    <w:rsid w:val="00646AE9"/>
    <w:rsid w:val="00646E5E"/>
    <w:rsid w:val="006500BB"/>
    <w:rsid w:val="006510C0"/>
    <w:rsid w:val="00652473"/>
    <w:rsid w:val="00657904"/>
    <w:rsid w:val="00663ECE"/>
    <w:rsid w:val="0066441A"/>
    <w:rsid w:val="0067598E"/>
    <w:rsid w:val="0068176C"/>
    <w:rsid w:val="0068259D"/>
    <w:rsid w:val="0068686F"/>
    <w:rsid w:val="00695691"/>
    <w:rsid w:val="006957F8"/>
    <w:rsid w:val="00695DDA"/>
    <w:rsid w:val="006A16E1"/>
    <w:rsid w:val="006A2A2E"/>
    <w:rsid w:val="006A430D"/>
    <w:rsid w:val="006A5F62"/>
    <w:rsid w:val="006B0E03"/>
    <w:rsid w:val="006B2143"/>
    <w:rsid w:val="006B283D"/>
    <w:rsid w:val="006B3290"/>
    <w:rsid w:val="006B3C43"/>
    <w:rsid w:val="006B663A"/>
    <w:rsid w:val="006C1D6E"/>
    <w:rsid w:val="006C23E5"/>
    <w:rsid w:val="006C254D"/>
    <w:rsid w:val="006C650B"/>
    <w:rsid w:val="006C691C"/>
    <w:rsid w:val="006D22B7"/>
    <w:rsid w:val="006D7833"/>
    <w:rsid w:val="006E0B3F"/>
    <w:rsid w:val="006E4626"/>
    <w:rsid w:val="006F126D"/>
    <w:rsid w:val="006F1741"/>
    <w:rsid w:val="006F473D"/>
    <w:rsid w:val="006F4C3E"/>
    <w:rsid w:val="006F556E"/>
    <w:rsid w:val="00703FF7"/>
    <w:rsid w:val="0070712F"/>
    <w:rsid w:val="00711715"/>
    <w:rsid w:val="00711EFF"/>
    <w:rsid w:val="0071697C"/>
    <w:rsid w:val="00716AF9"/>
    <w:rsid w:val="007240D1"/>
    <w:rsid w:val="00724AF4"/>
    <w:rsid w:val="007348F8"/>
    <w:rsid w:val="007357EE"/>
    <w:rsid w:val="00740466"/>
    <w:rsid w:val="007414EC"/>
    <w:rsid w:val="00741C0C"/>
    <w:rsid w:val="00743929"/>
    <w:rsid w:val="00747630"/>
    <w:rsid w:val="00751D14"/>
    <w:rsid w:val="007521F7"/>
    <w:rsid w:val="00752AEE"/>
    <w:rsid w:val="00753EE9"/>
    <w:rsid w:val="007576A3"/>
    <w:rsid w:val="00760DC8"/>
    <w:rsid w:val="007635A3"/>
    <w:rsid w:val="00764D06"/>
    <w:rsid w:val="00772D07"/>
    <w:rsid w:val="007732B1"/>
    <w:rsid w:val="0077603F"/>
    <w:rsid w:val="00776CD9"/>
    <w:rsid w:val="007805C7"/>
    <w:rsid w:val="007817AE"/>
    <w:rsid w:val="00782994"/>
    <w:rsid w:val="00784B9F"/>
    <w:rsid w:val="00785421"/>
    <w:rsid w:val="00787493"/>
    <w:rsid w:val="00787C62"/>
    <w:rsid w:val="00787FCE"/>
    <w:rsid w:val="007A4D58"/>
    <w:rsid w:val="007A7597"/>
    <w:rsid w:val="007A7D0A"/>
    <w:rsid w:val="007B0C63"/>
    <w:rsid w:val="007B2E3A"/>
    <w:rsid w:val="007B3D21"/>
    <w:rsid w:val="007B6409"/>
    <w:rsid w:val="007B7EDC"/>
    <w:rsid w:val="007C4A48"/>
    <w:rsid w:val="007E1F9A"/>
    <w:rsid w:val="007E4A5E"/>
    <w:rsid w:val="007E4E85"/>
    <w:rsid w:val="007E5E1D"/>
    <w:rsid w:val="007E76CE"/>
    <w:rsid w:val="007F10C6"/>
    <w:rsid w:val="007F35DD"/>
    <w:rsid w:val="007F4310"/>
    <w:rsid w:val="008002B1"/>
    <w:rsid w:val="00800952"/>
    <w:rsid w:val="00802C15"/>
    <w:rsid w:val="00807098"/>
    <w:rsid w:val="00815E18"/>
    <w:rsid w:val="00817138"/>
    <w:rsid w:val="008207C4"/>
    <w:rsid w:val="00820823"/>
    <w:rsid w:val="00843179"/>
    <w:rsid w:val="008440CA"/>
    <w:rsid w:val="00851CA1"/>
    <w:rsid w:val="00852C02"/>
    <w:rsid w:val="008548C0"/>
    <w:rsid w:val="00854ABD"/>
    <w:rsid w:val="00855D25"/>
    <w:rsid w:val="00857579"/>
    <w:rsid w:val="008600DD"/>
    <w:rsid w:val="00860A66"/>
    <w:rsid w:val="00861585"/>
    <w:rsid w:val="008615A0"/>
    <w:rsid w:val="008629D9"/>
    <w:rsid w:val="00862B6A"/>
    <w:rsid w:val="00866C82"/>
    <w:rsid w:val="00872354"/>
    <w:rsid w:val="00877A6C"/>
    <w:rsid w:val="00883A5D"/>
    <w:rsid w:val="00885389"/>
    <w:rsid w:val="00885B8D"/>
    <w:rsid w:val="00890948"/>
    <w:rsid w:val="008946B8"/>
    <w:rsid w:val="008A0465"/>
    <w:rsid w:val="008A3BA8"/>
    <w:rsid w:val="008A5A2F"/>
    <w:rsid w:val="008B0164"/>
    <w:rsid w:val="008C2DAA"/>
    <w:rsid w:val="008C5FF2"/>
    <w:rsid w:val="008C6785"/>
    <w:rsid w:val="008D1041"/>
    <w:rsid w:val="008D40FC"/>
    <w:rsid w:val="008D5660"/>
    <w:rsid w:val="008D5E6E"/>
    <w:rsid w:val="008D69A4"/>
    <w:rsid w:val="008D71AF"/>
    <w:rsid w:val="008E18F3"/>
    <w:rsid w:val="008F2D6E"/>
    <w:rsid w:val="008F342D"/>
    <w:rsid w:val="008F3D76"/>
    <w:rsid w:val="008F5A9C"/>
    <w:rsid w:val="009005CF"/>
    <w:rsid w:val="00901043"/>
    <w:rsid w:val="00914BC3"/>
    <w:rsid w:val="00920524"/>
    <w:rsid w:val="00922E95"/>
    <w:rsid w:val="00923F8F"/>
    <w:rsid w:val="009255DE"/>
    <w:rsid w:val="009255FC"/>
    <w:rsid w:val="009268CF"/>
    <w:rsid w:val="00926CE4"/>
    <w:rsid w:val="00930167"/>
    <w:rsid w:val="00931342"/>
    <w:rsid w:val="00931C86"/>
    <w:rsid w:val="00932C5A"/>
    <w:rsid w:val="009356CA"/>
    <w:rsid w:val="009364F0"/>
    <w:rsid w:val="009421F0"/>
    <w:rsid w:val="00942B45"/>
    <w:rsid w:val="00945B60"/>
    <w:rsid w:val="009471CF"/>
    <w:rsid w:val="00947945"/>
    <w:rsid w:val="00952D9C"/>
    <w:rsid w:val="00954A59"/>
    <w:rsid w:val="00954C8F"/>
    <w:rsid w:val="009613F3"/>
    <w:rsid w:val="00963F41"/>
    <w:rsid w:val="00964762"/>
    <w:rsid w:val="00971DE1"/>
    <w:rsid w:val="00975920"/>
    <w:rsid w:val="00982835"/>
    <w:rsid w:val="00984A32"/>
    <w:rsid w:val="00984F26"/>
    <w:rsid w:val="00986D03"/>
    <w:rsid w:val="00991ED2"/>
    <w:rsid w:val="00991F48"/>
    <w:rsid w:val="009925F0"/>
    <w:rsid w:val="00993133"/>
    <w:rsid w:val="009938C6"/>
    <w:rsid w:val="00994E20"/>
    <w:rsid w:val="00996C67"/>
    <w:rsid w:val="009A023C"/>
    <w:rsid w:val="009A0725"/>
    <w:rsid w:val="009A1E2D"/>
    <w:rsid w:val="009A36B0"/>
    <w:rsid w:val="009A3E2F"/>
    <w:rsid w:val="009A5C4E"/>
    <w:rsid w:val="009A768F"/>
    <w:rsid w:val="009C154D"/>
    <w:rsid w:val="009C207F"/>
    <w:rsid w:val="009C3606"/>
    <w:rsid w:val="009C4593"/>
    <w:rsid w:val="009C49EC"/>
    <w:rsid w:val="009D0722"/>
    <w:rsid w:val="009D0860"/>
    <w:rsid w:val="009D436C"/>
    <w:rsid w:val="009D476D"/>
    <w:rsid w:val="009D518B"/>
    <w:rsid w:val="009D5B8A"/>
    <w:rsid w:val="009D6DDE"/>
    <w:rsid w:val="009E0A7C"/>
    <w:rsid w:val="009E3DB9"/>
    <w:rsid w:val="009E3FA7"/>
    <w:rsid w:val="009E4707"/>
    <w:rsid w:val="009E7876"/>
    <w:rsid w:val="009F094D"/>
    <w:rsid w:val="009F2711"/>
    <w:rsid w:val="009F3780"/>
    <w:rsid w:val="00A00324"/>
    <w:rsid w:val="00A0174F"/>
    <w:rsid w:val="00A055F5"/>
    <w:rsid w:val="00A05BDA"/>
    <w:rsid w:val="00A107B9"/>
    <w:rsid w:val="00A10DAB"/>
    <w:rsid w:val="00A151A3"/>
    <w:rsid w:val="00A158A0"/>
    <w:rsid w:val="00A16F9D"/>
    <w:rsid w:val="00A2052A"/>
    <w:rsid w:val="00A20B5F"/>
    <w:rsid w:val="00A21897"/>
    <w:rsid w:val="00A22CBC"/>
    <w:rsid w:val="00A23F55"/>
    <w:rsid w:val="00A25513"/>
    <w:rsid w:val="00A365F6"/>
    <w:rsid w:val="00A44579"/>
    <w:rsid w:val="00A446BA"/>
    <w:rsid w:val="00A55461"/>
    <w:rsid w:val="00A56DEE"/>
    <w:rsid w:val="00A61E29"/>
    <w:rsid w:val="00A62330"/>
    <w:rsid w:val="00A65D21"/>
    <w:rsid w:val="00A7016D"/>
    <w:rsid w:val="00A74723"/>
    <w:rsid w:val="00A80B95"/>
    <w:rsid w:val="00A81C54"/>
    <w:rsid w:val="00A828B5"/>
    <w:rsid w:val="00A83DBC"/>
    <w:rsid w:val="00A901A9"/>
    <w:rsid w:val="00A9071D"/>
    <w:rsid w:val="00A91ED2"/>
    <w:rsid w:val="00A93786"/>
    <w:rsid w:val="00A96D36"/>
    <w:rsid w:val="00A97D09"/>
    <w:rsid w:val="00AA07BD"/>
    <w:rsid w:val="00AB58CA"/>
    <w:rsid w:val="00AB60B6"/>
    <w:rsid w:val="00AC33DA"/>
    <w:rsid w:val="00AC38D7"/>
    <w:rsid w:val="00AC3FE6"/>
    <w:rsid w:val="00AC5DA2"/>
    <w:rsid w:val="00AC6A3F"/>
    <w:rsid w:val="00AC6E68"/>
    <w:rsid w:val="00AD36CE"/>
    <w:rsid w:val="00AD6380"/>
    <w:rsid w:val="00AD67BB"/>
    <w:rsid w:val="00AD77BE"/>
    <w:rsid w:val="00AD79B0"/>
    <w:rsid w:val="00AD7E67"/>
    <w:rsid w:val="00AE6BF8"/>
    <w:rsid w:val="00AF28C2"/>
    <w:rsid w:val="00B0435A"/>
    <w:rsid w:val="00B211CF"/>
    <w:rsid w:val="00B2450F"/>
    <w:rsid w:val="00B2506D"/>
    <w:rsid w:val="00B26FB3"/>
    <w:rsid w:val="00B30C29"/>
    <w:rsid w:val="00B349BC"/>
    <w:rsid w:val="00B35573"/>
    <w:rsid w:val="00B36CF7"/>
    <w:rsid w:val="00B4163B"/>
    <w:rsid w:val="00B441CD"/>
    <w:rsid w:val="00B45BA5"/>
    <w:rsid w:val="00B50354"/>
    <w:rsid w:val="00B5341B"/>
    <w:rsid w:val="00B574F7"/>
    <w:rsid w:val="00B63F21"/>
    <w:rsid w:val="00B67FC0"/>
    <w:rsid w:val="00B70CB9"/>
    <w:rsid w:val="00B71BDD"/>
    <w:rsid w:val="00B74216"/>
    <w:rsid w:val="00B74B43"/>
    <w:rsid w:val="00B76941"/>
    <w:rsid w:val="00B76A64"/>
    <w:rsid w:val="00B8020D"/>
    <w:rsid w:val="00B8063F"/>
    <w:rsid w:val="00B829A1"/>
    <w:rsid w:val="00B857D3"/>
    <w:rsid w:val="00B87819"/>
    <w:rsid w:val="00B878AB"/>
    <w:rsid w:val="00B9352E"/>
    <w:rsid w:val="00BA3073"/>
    <w:rsid w:val="00BB163C"/>
    <w:rsid w:val="00BB1F21"/>
    <w:rsid w:val="00BB319B"/>
    <w:rsid w:val="00BB33DC"/>
    <w:rsid w:val="00BB3C01"/>
    <w:rsid w:val="00BB7E76"/>
    <w:rsid w:val="00BC0654"/>
    <w:rsid w:val="00BC2ADE"/>
    <w:rsid w:val="00BC50B8"/>
    <w:rsid w:val="00BC5C99"/>
    <w:rsid w:val="00BC6A2E"/>
    <w:rsid w:val="00BD09C4"/>
    <w:rsid w:val="00BD2DD5"/>
    <w:rsid w:val="00BE2106"/>
    <w:rsid w:val="00BE42EC"/>
    <w:rsid w:val="00BE4D3C"/>
    <w:rsid w:val="00BE4D43"/>
    <w:rsid w:val="00BE613B"/>
    <w:rsid w:val="00BF7222"/>
    <w:rsid w:val="00C0069E"/>
    <w:rsid w:val="00C00C75"/>
    <w:rsid w:val="00C02215"/>
    <w:rsid w:val="00C05C2B"/>
    <w:rsid w:val="00C05FD3"/>
    <w:rsid w:val="00C07C68"/>
    <w:rsid w:val="00C11A5A"/>
    <w:rsid w:val="00C131F0"/>
    <w:rsid w:val="00C13EAA"/>
    <w:rsid w:val="00C141CC"/>
    <w:rsid w:val="00C20F0C"/>
    <w:rsid w:val="00C23ADE"/>
    <w:rsid w:val="00C244CF"/>
    <w:rsid w:val="00C258E3"/>
    <w:rsid w:val="00C35007"/>
    <w:rsid w:val="00C37E4E"/>
    <w:rsid w:val="00C40DFA"/>
    <w:rsid w:val="00C42AC2"/>
    <w:rsid w:val="00C44A1C"/>
    <w:rsid w:val="00C4590B"/>
    <w:rsid w:val="00C4650D"/>
    <w:rsid w:val="00C506A4"/>
    <w:rsid w:val="00C50A86"/>
    <w:rsid w:val="00C55369"/>
    <w:rsid w:val="00C55DC0"/>
    <w:rsid w:val="00C56755"/>
    <w:rsid w:val="00C56CD8"/>
    <w:rsid w:val="00C6067E"/>
    <w:rsid w:val="00C6313C"/>
    <w:rsid w:val="00C662DB"/>
    <w:rsid w:val="00C676F4"/>
    <w:rsid w:val="00C70114"/>
    <w:rsid w:val="00C711F6"/>
    <w:rsid w:val="00C7640B"/>
    <w:rsid w:val="00C76882"/>
    <w:rsid w:val="00C80499"/>
    <w:rsid w:val="00C826C1"/>
    <w:rsid w:val="00C82781"/>
    <w:rsid w:val="00C827A7"/>
    <w:rsid w:val="00C83412"/>
    <w:rsid w:val="00C854D7"/>
    <w:rsid w:val="00C92ED2"/>
    <w:rsid w:val="00C94E21"/>
    <w:rsid w:val="00CB082D"/>
    <w:rsid w:val="00CB0BAD"/>
    <w:rsid w:val="00CB1996"/>
    <w:rsid w:val="00CB3D98"/>
    <w:rsid w:val="00CB4280"/>
    <w:rsid w:val="00CB4D61"/>
    <w:rsid w:val="00CB7D20"/>
    <w:rsid w:val="00CC3E4E"/>
    <w:rsid w:val="00CC43E1"/>
    <w:rsid w:val="00CC43FC"/>
    <w:rsid w:val="00CC6836"/>
    <w:rsid w:val="00CD1362"/>
    <w:rsid w:val="00CD3B43"/>
    <w:rsid w:val="00CD58BC"/>
    <w:rsid w:val="00CD5C8E"/>
    <w:rsid w:val="00CF249B"/>
    <w:rsid w:val="00CF33A1"/>
    <w:rsid w:val="00CF4CC4"/>
    <w:rsid w:val="00CF4E46"/>
    <w:rsid w:val="00D0241C"/>
    <w:rsid w:val="00D028D0"/>
    <w:rsid w:val="00D04D89"/>
    <w:rsid w:val="00D05276"/>
    <w:rsid w:val="00D1040D"/>
    <w:rsid w:val="00D116C8"/>
    <w:rsid w:val="00D139DB"/>
    <w:rsid w:val="00D157B2"/>
    <w:rsid w:val="00D16CBB"/>
    <w:rsid w:val="00D2143D"/>
    <w:rsid w:val="00D2652D"/>
    <w:rsid w:val="00D43667"/>
    <w:rsid w:val="00D44CC8"/>
    <w:rsid w:val="00D50B61"/>
    <w:rsid w:val="00D50D72"/>
    <w:rsid w:val="00D53192"/>
    <w:rsid w:val="00D54912"/>
    <w:rsid w:val="00D55005"/>
    <w:rsid w:val="00D56ABE"/>
    <w:rsid w:val="00D67975"/>
    <w:rsid w:val="00D70B61"/>
    <w:rsid w:val="00D75E62"/>
    <w:rsid w:val="00D765B4"/>
    <w:rsid w:val="00D77385"/>
    <w:rsid w:val="00D80179"/>
    <w:rsid w:val="00D872E0"/>
    <w:rsid w:val="00D903DD"/>
    <w:rsid w:val="00D97FA1"/>
    <w:rsid w:val="00DA04D4"/>
    <w:rsid w:val="00DA0830"/>
    <w:rsid w:val="00DA3863"/>
    <w:rsid w:val="00DA3AE0"/>
    <w:rsid w:val="00DA4C45"/>
    <w:rsid w:val="00DB00D8"/>
    <w:rsid w:val="00DB0450"/>
    <w:rsid w:val="00DB15EA"/>
    <w:rsid w:val="00DB17C7"/>
    <w:rsid w:val="00DB1F13"/>
    <w:rsid w:val="00DB20B3"/>
    <w:rsid w:val="00DB2678"/>
    <w:rsid w:val="00DC4AE7"/>
    <w:rsid w:val="00DC51B4"/>
    <w:rsid w:val="00DC6C59"/>
    <w:rsid w:val="00DD11D7"/>
    <w:rsid w:val="00DD1AA1"/>
    <w:rsid w:val="00DD1F7F"/>
    <w:rsid w:val="00DD3224"/>
    <w:rsid w:val="00DD3BA4"/>
    <w:rsid w:val="00DD681E"/>
    <w:rsid w:val="00DD6D93"/>
    <w:rsid w:val="00DE1E29"/>
    <w:rsid w:val="00DE23E2"/>
    <w:rsid w:val="00DE33BE"/>
    <w:rsid w:val="00DF071D"/>
    <w:rsid w:val="00DF0DD3"/>
    <w:rsid w:val="00DF2DF6"/>
    <w:rsid w:val="00DF51A9"/>
    <w:rsid w:val="00DF6810"/>
    <w:rsid w:val="00DF6CBC"/>
    <w:rsid w:val="00E02397"/>
    <w:rsid w:val="00E03C68"/>
    <w:rsid w:val="00E04DB7"/>
    <w:rsid w:val="00E05CF0"/>
    <w:rsid w:val="00E070CC"/>
    <w:rsid w:val="00E17C42"/>
    <w:rsid w:val="00E21DCB"/>
    <w:rsid w:val="00E225C9"/>
    <w:rsid w:val="00E22866"/>
    <w:rsid w:val="00E270BF"/>
    <w:rsid w:val="00E37903"/>
    <w:rsid w:val="00E41CCB"/>
    <w:rsid w:val="00E42E59"/>
    <w:rsid w:val="00E43162"/>
    <w:rsid w:val="00E4337D"/>
    <w:rsid w:val="00E4357D"/>
    <w:rsid w:val="00E44C8B"/>
    <w:rsid w:val="00E46847"/>
    <w:rsid w:val="00E474CB"/>
    <w:rsid w:val="00E50D0A"/>
    <w:rsid w:val="00E50D83"/>
    <w:rsid w:val="00E53A2A"/>
    <w:rsid w:val="00E552A1"/>
    <w:rsid w:val="00E579D4"/>
    <w:rsid w:val="00E57B2E"/>
    <w:rsid w:val="00E6343D"/>
    <w:rsid w:val="00E64582"/>
    <w:rsid w:val="00E646C2"/>
    <w:rsid w:val="00E73710"/>
    <w:rsid w:val="00E73EF7"/>
    <w:rsid w:val="00E74937"/>
    <w:rsid w:val="00E749E9"/>
    <w:rsid w:val="00E7705A"/>
    <w:rsid w:val="00E8047A"/>
    <w:rsid w:val="00E80C90"/>
    <w:rsid w:val="00E80D5E"/>
    <w:rsid w:val="00E81F12"/>
    <w:rsid w:val="00E841C6"/>
    <w:rsid w:val="00E84D70"/>
    <w:rsid w:val="00E85E92"/>
    <w:rsid w:val="00E903C7"/>
    <w:rsid w:val="00E92F80"/>
    <w:rsid w:val="00E942BA"/>
    <w:rsid w:val="00E95A0D"/>
    <w:rsid w:val="00EA0160"/>
    <w:rsid w:val="00EA1314"/>
    <w:rsid w:val="00EA2306"/>
    <w:rsid w:val="00EA2643"/>
    <w:rsid w:val="00EA2ED6"/>
    <w:rsid w:val="00EA3751"/>
    <w:rsid w:val="00EA4620"/>
    <w:rsid w:val="00EA5E85"/>
    <w:rsid w:val="00EB0AD3"/>
    <w:rsid w:val="00EB4BC6"/>
    <w:rsid w:val="00EB4C5B"/>
    <w:rsid w:val="00EC0001"/>
    <w:rsid w:val="00EC084C"/>
    <w:rsid w:val="00EC13CD"/>
    <w:rsid w:val="00EC226A"/>
    <w:rsid w:val="00EC2956"/>
    <w:rsid w:val="00EC2B27"/>
    <w:rsid w:val="00EC69D9"/>
    <w:rsid w:val="00ED0C87"/>
    <w:rsid w:val="00ED3AD8"/>
    <w:rsid w:val="00ED4643"/>
    <w:rsid w:val="00ED59D1"/>
    <w:rsid w:val="00ED6B31"/>
    <w:rsid w:val="00ED6F77"/>
    <w:rsid w:val="00ED746A"/>
    <w:rsid w:val="00EE0177"/>
    <w:rsid w:val="00EE28F3"/>
    <w:rsid w:val="00EE3E02"/>
    <w:rsid w:val="00EE3E77"/>
    <w:rsid w:val="00EE5501"/>
    <w:rsid w:val="00EE79CE"/>
    <w:rsid w:val="00EF0A17"/>
    <w:rsid w:val="00EF1C9F"/>
    <w:rsid w:val="00EF2947"/>
    <w:rsid w:val="00EF3D2D"/>
    <w:rsid w:val="00EF4046"/>
    <w:rsid w:val="00F01DA2"/>
    <w:rsid w:val="00F03850"/>
    <w:rsid w:val="00F03947"/>
    <w:rsid w:val="00F054AA"/>
    <w:rsid w:val="00F06A9A"/>
    <w:rsid w:val="00F12E45"/>
    <w:rsid w:val="00F131C0"/>
    <w:rsid w:val="00F13FEE"/>
    <w:rsid w:val="00F14167"/>
    <w:rsid w:val="00F15DA1"/>
    <w:rsid w:val="00F264F5"/>
    <w:rsid w:val="00F3205E"/>
    <w:rsid w:val="00F326D4"/>
    <w:rsid w:val="00F3459B"/>
    <w:rsid w:val="00F35D74"/>
    <w:rsid w:val="00F35E84"/>
    <w:rsid w:val="00F4093D"/>
    <w:rsid w:val="00F409B4"/>
    <w:rsid w:val="00F41F07"/>
    <w:rsid w:val="00F44766"/>
    <w:rsid w:val="00F45683"/>
    <w:rsid w:val="00F458FD"/>
    <w:rsid w:val="00F46C2F"/>
    <w:rsid w:val="00F50BAD"/>
    <w:rsid w:val="00F54B28"/>
    <w:rsid w:val="00F56663"/>
    <w:rsid w:val="00F5698B"/>
    <w:rsid w:val="00F5699E"/>
    <w:rsid w:val="00F56D88"/>
    <w:rsid w:val="00F57A5D"/>
    <w:rsid w:val="00F62BA2"/>
    <w:rsid w:val="00F73656"/>
    <w:rsid w:val="00F73F4F"/>
    <w:rsid w:val="00F7586D"/>
    <w:rsid w:val="00F825DA"/>
    <w:rsid w:val="00F85815"/>
    <w:rsid w:val="00F902E5"/>
    <w:rsid w:val="00F9217F"/>
    <w:rsid w:val="00F9306E"/>
    <w:rsid w:val="00F96995"/>
    <w:rsid w:val="00F9739D"/>
    <w:rsid w:val="00F97593"/>
    <w:rsid w:val="00F979DC"/>
    <w:rsid w:val="00FA148F"/>
    <w:rsid w:val="00FA28E3"/>
    <w:rsid w:val="00FA6190"/>
    <w:rsid w:val="00FA72D0"/>
    <w:rsid w:val="00FB57D3"/>
    <w:rsid w:val="00FC009B"/>
    <w:rsid w:val="00FC0484"/>
    <w:rsid w:val="00FC0FFF"/>
    <w:rsid w:val="00FC3EDB"/>
    <w:rsid w:val="00FC5208"/>
    <w:rsid w:val="00FC5625"/>
    <w:rsid w:val="00FC71A9"/>
    <w:rsid w:val="00FC7AE1"/>
    <w:rsid w:val="00FD053D"/>
    <w:rsid w:val="00FD2EBD"/>
    <w:rsid w:val="00FD49E3"/>
    <w:rsid w:val="00FD6C1C"/>
    <w:rsid w:val="00FE150A"/>
    <w:rsid w:val="00FE2995"/>
    <w:rsid w:val="00FE44AD"/>
    <w:rsid w:val="00FE6E84"/>
    <w:rsid w:val="00FF1B5B"/>
    <w:rsid w:val="00FF4413"/>
    <w:rsid w:val="00FF4F43"/>
    <w:rsid w:val="00FF599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2514"/>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3"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0"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0" w:unhideWhenUsed="0"/>
    <w:lsdException w:name="Light List Accent 6" w:semiHidden="0" w:uiPriority="66" w:unhideWhenUsed="0"/>
    <w:lsdException w:name="Light Grid Accent 6" w:semiHidden="0" w:uiPriority="62"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21"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437C35"/>
    <w:rPr>
      <w:rFonts w:ascii="Helvetica" w:eastAsia="Times New Roman" w:hAnsi="Helvetica"/>
      <w:sz w:val="24"/>
      <w:szCs w:val="24"/>
    </w:rPr>
  </w:style>
  <w:style w:type="paragraph" w:styleId="Ttulo1">
    <w:name w:val="heading 1"/>
    <w:basedOn w:val="Normal"/>
    <w:next w:val="Normal"/>
    <w:link w:val="Ttulo1Car"/>
    <w:qFormat/>
    <w:rsid w:val="005323D6"/>
    <w:pPr>
      <w:keepNext/>
      <w:jc w:val="center"/>
      <w:outlineLvl w:val="0"/>
    </w:pPr>
    <w:rPr>
      <w:rFonts w:ascii="Albertus Extra Bold" w:hAnsi="Albertus Extra Bold"/>
      <w:b/>
      <w:sz w:val="36"/>
      <w:szCs w:val="20"/>
    </w:rPr>
  </w:style>
  <w:style w:type="paragraph" w:styleId="Ttulo2">
    <w:name w:val="heading 2"/>
    <w:basedOn w:val="Normal"/>
    <w:next w:val="Normal"/>
    <w:link w:val="Ttulo2Car"/>
    <w:qFormat/>
    <w:rsid w:val="00A16F9D"/>
    <w:pPr>
      <w:keepNext/>
      <w:spacing w:line="360" w:lineRule="auto"/>
      <w:jc w:val="both"/>
      <w:outlineLvl w:val="1"/>
    </w:pPr>
    <w:rPr>
      <w:rFonts w:ascii="Arial" w:hAnsi="Arial"/>
      <w:spacing w:val="20"/>
      <w:szCs w:val="20"/>
      <w:lang w:val="es-MX"/>
    </w:rPr>
  </w:style>
  <w:style w:type="paragraph" w:styleId="Ttulo3">
    <w:name w:val="heading 3"/>
    <w:basedOn w:val="Normal"/>
    <w:next w:val="Normal"/>
    <w:link w:val="Ttulo3Car"/>
    <w:qFormat/>
    <w:rsid w:val="00A16F9D"/>
    <w:pPr>
      <w:keepNext/>
      <w:outlineLvl w:val="2"/>
    </w:pPr>
    <w:rPr>
      <w:rFonts w:ascii="Arial" w:hAnsi="Arial"/>
      <w:b/>
      <w:bCs/>
      <w:sz w:val="28"/>
      <w:lang w:val="es-MX"/>
    </w:rPr>
  </w:style>
  <w:style w:type="paragraph" w:styleId="Ttulo4">
    <w:name w:val="heading 4"/>
    <w:basedOn w:val="Normal"/>
    <w:next w:val="Normal"/>
    <w:link w:val="Ttulo4Car"/>
    <w:qFormat/>
    <w:rsid w:val="00A16F9D"/>
    <w:pPr>
      <w:keepNext/>
      <w:jc w:val="center"/>
      <w:outlineLvl w:val="3"/>
    </w:pPr>
    <w:rPr>
      <w:rFonts w:ascii="Arial" w:hAnsi="Arial"/>
      <w:b/>
      <w:bCs/>
      <w:sz w:val="20"/>
      <w:szCs w:val="20"/>
      <w:lang w:val="es-MX"/>
    </w:rPr>
  </w:style>
  <w:style w:type="paragraph" w:styleId="Ttulo5">
    <w:name w:val="heading 5"/>
    <w:basedOn w:val="Normal"/>
    <w:next w:val="Normal"/>
    <w:link w:val="Ttulo5Car"/>
    <w:qFormat/>
    <w:rsid w:val="00A16F9D"/>
    <w:pPr>
      <w:keepNext/>
      <w:outlineLvl w:val="4"/>
    </w:pPr>
    <w:rPr>
      <w:rFonts w:ascii="Times New Roman" w:hAnsi="Times New Roman"/>
      <w:b/>
      <w:bCs/>
      <w:sz w:val="20"/>
      <w:szCs w:val="20"/>
      <w:lang w:val="es-MX"/>
    </w:rPr>
  </w:style>
  <w:style w:type="paragraph" w:styleId="Ttulo6">
    <w:name w:val="heading 6"/>
    <w:basedOn w:val="Normal"/>
    <w:next w:val="Normal"/>
    <w:link w:val="Ttulo6Car"/>
    <w:qFormat/>
    <w:rsid w:val="00A16F9D"/>
    <w:pPr>
      <w:keepNext/>
      <w:jc w:val="center"/>
      <w:outlineLvl w:val="5"/>
    </w:pPr>
    <w:rPr>
      <w:rFonts w:ascii="Arial" w:hAnsi="Arial"/>
      <w:b/>
      <w:bCs/>
      <w:sz w:val="22"/>
      <w:szCs w:val="18"/>
      <w:lang w:val="es-MX"/>
    </w:rPr>
  </w:style>
  <w:style w:type="paragraph" w:styleId="Ttulo7">
    <w:name w:val="heading 7"/>
    <w:basedOn w:val="Normal"/>
    <w:next w:val="Normal"/>
    <w:link w:val="Ttulo7Car"/>
    <w:qFormat/>
    <w:rsid w:val="00A16F9D"/>
    <w:pPr>
      <w:keepNext/>
      <w:outlineLvl w:val="6"/>
    </w:pPr>
    <w:rPr>
      <w:rFonts w:ascii="Arial" w:hAnsi="Arial"/>
      <w:b/>
      <w:bCs/>
      <w:sz w:val="16"/>
      <w:szCs w:val="16"/>
      <w:u w:val="single"/>
      <w:lang w:val="es-MX"/>
    </w:rPr>
  </w:style>
  <w:style w:type="paragraph" w:styleId="Ttulo8">
    <w:name w:val="heading 8"/>
    <w:basedOn w:val="Normal"/>
    <w:next w:val="Normal"/>
    <w:link w:val="Ttulo8Car"/>
    <w:qFormat/>
    <w:rsid w:val="00A16F9D"/>
    <w:pPr>
      <w:keepNext/>
      <w:outlineLvl w:val="7"/>
    </w:pPr>
    <w:rPr>
      <w:rFonts w:ascii="Arial" w:hAnsi="Arial"/>
      <w:b/>
      <w:bCs/>
      <w:sz w:val="20"/>
      <w:szCs w:val="20"/>
      <w:u w:val="single"/>
      <w:lang w:val="es-MX"/>
    </w:rPr>
  </w:style>
  <w:style w:type="paragraph" w:styleId="Ttulo9">
    <w:name w:val="heading 9"/>
    <w:basedOn w:val="Normal"/>
    <w:next w:val="Normal"/>
    <w:link w:val="Ttulo9Car"/>
    <w:qFormat/>
    <w:rsid w:val="00A16F9D"/>
    <w:pPr>
      <w:keepNext/>
      <w:outlineLvl w:val="8"/>
    </w:pPr>
    <w:rPr>
      <w:rFonts w:ascii="Arial" w:hAnsi="Arial"/>
      <w:b/>
      <w:bCs/>
      <w:sz w:val="18"/>
      <w:szCs w:val="18"/>
      <w:u w:val="single"/>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5323D6"/>
    <w:rPr>
      <w:rFonts w:ascii="Albertus Extra Bold" w:eastAsia="Times New Roman" w:hAnsi="Albertus Extra Bold" w:cs="Times New Roman"/>
      <w:b/>
      <w:sz w:val="36"/>
      <w:szCs w:val="20"/>
    </w:rPr>
  </w:style>
  <w:style w:type="character" w:customStyle="1" w:styleId="Ttulo2Car">
    <w:name w:val="Título 2 Car"/>
    <w:link w:val="Ttulo2"/>
    <w:rsid w:val="00A16F9D"/>
    <w:rPr>
      <w:rFonts w:ascii="Arial" w:eastAsia="Times New Roman" w:hAnsi="Arial" w:cs="Arial"/>
      <w:spacing w:val="20"/>
      <w:sz w:val="24"/>
      <w:lang w:val="es-MX"/>
    </w:rPr>
  </w:style>
  <w:style w:type="character" w:customStyle="1" w:styleId="Ttulo3Car">
    <w:name w:val="Título 3 Car"/>
    <w:link w:val="Ttulo3"/>
    <w:rsid w:val="00A16F9D"/>
    <w:rPr>
      <w:rFonts w:ascii="Arial" w:eastAsia="Times New Roman" w:hAnsi="Arial" w:cs="Arial"/>
      <w:b/>
      <w:bCs/>
      <w:sz w:val="28"/>
      <w:szCs w:val="24"/>
      <w:lang w:val="es-MX"/>
    </w:rPr>
  </w:style>
  <w:style w:type="character" w:customStyle="1" w:styleId="Ttulo4Car">
    <w:name w:val="Título 4 Car"/>
    <w:link w:val="Ttulo4"/>
    <w:rsid w:val="00A16F9D"/>
    <w:rPr>
      <w:rFonts w:ascii="Arial" w:eastAsia="Times New Roman" w:hAnsi="Arial" w:cs="Arial"/>
      <w:b/>
      <w:bCs/>
      <w:lang w:val="es-MX"/>
    </w:rPr>
  </w:style>
  <w:style w:type="character" w:customStyle="1" w:styleId="Ttulo5Car">
    <w:name w:val="Título 5 Car"/>
    <w:link w:val="Ttulo5"/>
    <w:rsid w:val="00A16F9D"/>
    <w:rPr>
      <w:rFonts w:ascii="Times New Roman" w:eastAsia="Times New Roman" w:hAnsi="Times New Roman"/>
      <w:b/>
      <w:bCs/>
      <w:lang w:val="es-MX"/>
    </w:rPr>
  </w:style>
  <w:style w:type="character" w:customStyle="1" w:styleId="Ttulo6Car">
    <w:name w:val="Título 6 Car"/>
    <w:link w:val="Ttulo6"/>
    <w:rsid w:val="00A16F9D"/>
    <w:rPr>
      <w:rFonts w:ascii="Arial" w:eastAsia="Times New Roman" w:hAnsi="Arial" w:cs="Arial"/>
      <w:b/>
      <w:bCs/>
      <w:sz w:val="22"/>
      <w:szCs w:val="18"/>
      <w:lang w:val="es-MX"/>
    </w:rPr>
  </w:style>
  <w:style w:type="character" w:customStyle="1" w:styleId="Ttulo7Car">
    <w:name w:val="Título 7 Car"/>
    <w:link w:val="Ttulo7"/>
    <w:rsid w:val="00A16F9D"/>
    <w:rPr>
      <w:rFonts w:ascii="Arial" w:eastAsia="Times New Roman" w:hAnsi="Arial" w:cs="Arial"/>
      <w:b/>
      <w:bCs/>
      <w:sz w:val="16"/>
      <w:szCs w:val="16"/>
      <w:u w:val="single"/>
      <w:lang w:val="es-MX"/>
    </w:rPr>
  </w:style>
  <w:style w:type="character" w:customStyle="1" w:styleId="Ttulo8Car">
    <w:name w:val="Título 8 Car"/>
    <w:link w:val="Ttulo8"/>
    <w:rsid w:val="00A16F9D"/>
    <w:rPr>
      <w:rFonts w:ascii="Arial" w:eastAsia="Times New Roman" w:hAnsi="Arial" w:cs="Arial"/>
      <w:b/>
      <w:bCs/>
      <w:u w:val="single"/>
      <w:lang w:val="es-MX"/>
    </w:rPr>
  </w:style>
  <w:style w:type="character" w:customStyle="1" w:styleId="Ttulo9Car">
    <w:name w:val="Título 9 Car"/>
    <w:link w:val="Ttulo9"/>
    <w:rsid w:val="00A16F9D"/>
    <w:rPr>
      <w:rFonts w:ascii="Arial" w:eastAsia="Times New Roman" w:hAnsi="Arial" w:cs="Arial"/>
      <w:b/>
      <w:bCs/>
      <w:sz w:val="18"/>
      <w:szCs w:val="18"/>
      <w:u w:val="single"/>
      <w:lang w:val="es-MX"/>
    </w:rPr>
  </w:style>
  <w:style w:type="paragraph" w:styleId="Encabezado">
    <w:name w:val="header"/>
    <w:basedOn w:val="Normal"/>
    <w:link w:val="EncabezadoCar"/>
    <w:uiPriority w:val="99"/>
    <w:unhideWhenUsed/>
    <w:rsid w:val="00BF7222"/>
    <w:pPr>
      <w:tabs>
        <w:tab w:val="center" w:pos="4252"/>
        <w:tab w:val="right" w:pos="8504"/>
      </w:tabs>
    </w:pPr>
  </w:style>
  <w:style w:type="character" w:customStyle="1" w:styleId="EncabezadoCar">
    <w:name w:val="Encabezado Car"/>
    <w:basedOn w:val="Fuentedeprrafopredeter"/>
    <w:link w:val="Encabezado"/>
    <w:uiPriority w:val="99"/>
    <w:rsid w:val="00BF7222"/>
  </w:style>
  <w:style w:type="paragraph" w:styleId="Piedepgina">
    <w:name w:val="footer"/>
    <w:basedOn w:val="Normal"/>
    <w:link w:val="PiedepginaCar"/>
    <w:uiPriority w:val="99"/>
    <w:unhideWhenUsed/>
    <w:rsid w:val="00BF7222"/>
    <w:pPr>
      <w:tabs>
        <w:tab w:val="center" w:pos="4252"/>
        <w:tab w:val="right" w:pos="8504"/>
      </w:tabs>
    </w:pPr>
  </w:style>
  <w:style w:type="character" w:customStyle="1" w:styleId="PiedepginaCar">
    <w:name w:val="Pie de página Car"/>
    <w:basedOn w:val="Fuentedeprrafopredeter"/>
    <w:link w:val="Piedepgina"/>
    <w:uiPriority w:val="99"/>
    <w:rsid w:val="00BF7222"/>
  </w:style>
  <w:style w:type="paragraph" w:styleId="Textodeglobo">
    <w:name w:val="Balloon Text"/>
    <w:basedOn w:val="Normal"/>
    <w:link w:val="TextodegloboCar"/>
    <w:uiPriority w:val="99"/>
    <w:unhideWhenUsed/>
    <w:rsid w:val="00BF7222"/>
    <w:rPr>
      <w:rFonts w:ascii="Lucida Grande" w:eastAsia="MS Mincho" w:hAnsi="Lucida Grande"/>
      <w:sz w:val="18"/>
      <w:szCs w:val="18"/>
    </w:rPr>
  </w:style>
  <w:style w:type="character" w:customStyle="1" w:styleId="TextodegloboCar">
    <w:name w:val="Texto de globo Car"/>
    <w:link w:val="Textodeglobo"/>
    <w:uiPriority w:val="99"/>
    <w:rsid w:val="00BF7222"/>
    <w:rPr>
      <w:rFonts w:ascii="Lucida Grande" w:hAnsi="Lucida Grande" w:cs="Lucida Grande"/>
      <w:sz w:val="18"/>
      <w:szCs w:val="18"/>
    </w:rPr>
  </w:style>
  <w:style w:type="character" w:styleId="Nmerodepgina">
    <w:name w:val="page number"/>
    <w:unhideWhenUsed/>
    <w:rsid w:val="00310D23"/>
  </w:style>
  <w:style w:type="paragraph" w:styleId="Textoindependiente">
    <w:name w:val="Body Text"/>
    <w:basedOn w:val="Normal"/>
    <w:link w:val="TextoindependienteCar"/>
    <w:rsid w:val="007357EE"/>
    <w:pPr>
      <w:spacing w:line="360" w:lineRule="auto"/>
      <w:jc w:val="both"/>
    </w:pPr>
    <w:rPr>
      <w:rFonts w:ascii="Arial" w:hAnsi="Arial"/>
      <w:spacing w:val="20"/>
      <w:szCs w:val="20"/>
      <w:lang w:val="es-MX"/>
    </w:rPr>
  </w:style>
  <w:style w:type="character" w:customStyle="1" w:styleId="TextoindependienteCar">
    <w:name w:val="Texto independiente Car"/>
    <w:link w:val="Textoindependiente"/>
    <w:rsid w:val="007357EE"/>
    <w:rPr>
      <w:rFonts w:ascii="Arial" w:eastAsia="Times New Roman" w:hAnsi="Arial" w:cs="Arial"/>
      <w:spacing w:val="20"/>
      <w:sz w:val="24"/>
      <w:lang w:val="es-MX"/>
    </w:rPr>
  </w:style>
  <w:style w:type="paragraph" w:customStyle="1" w:styleId="xl35">
    <w:name w:val="xl35"/>
    <w:basedOn w:val="Normal"/>
    <w:rsid w:val="007357EE"/>
    <w:pPr>
      <w:pBdr>
        <w:left w:val="single" w:sz="4" w:space="0" w:color="auto"/>
        <w:right w:val="single" w:sz="4" w:space="0" w:color="auto"/>
      </w:pBdr>
      <w:spacing w:before="100" w:beforeAutospacing="1" w:after="100" w:afterAutospacing="1"/>
    </w:pPr>
    <w:rPr>
      <w:rFonts w:ascii="Times New Roman" w:hAnsi="Times New Roman"/>
      <w:lang w:val="es-MX"/>
    </w:rPr>
  </w:style>
  <w:style w:type="paragraph" w:styleId="Prrafodelista">
    <w:name w:val="List Paragraph"/>
    <w:basedOn w:val="Normal"/>
    <w:uiPriority w:val="34"/>
    <w:qFormat/>
    <w:rsid w:val="007357EE"/>
    <w:pPr>
      <w:ind w:left="708"/>
    </w:pPr>
    <w:rPr>
      <w:rFonts w:ascii="Times New Roman" w:hAnsi="Times New Roman"/>
      <w:sz w:val="20"/>
      <w:szCs w:val="20"/>
      <w:lang w:val="es-MX"/>
    </w:rPr>
  </w:style>
  <w:style w:type="paragraph" w:customStyle="1" w:styleId="Default">
    <w:name w:val="Default"/>
    <w:rsid w:val="007357EE"/>
    <w:pPr>
      <w:autoSpaceDE w:val="0"/>
      <w:autoSpaceDN w:val="0"/>
      <w:adjustRightInd w:val="0"/>
    </w:pPr>
    <w:rPr>
      <w:rFonts w:ascii="Arial" w:eastAsia="Times New Roman" w:hAnsi="Arial" w:cs="Arial"/>
      <w:color w:val="000000"/>
      <w:sz w:val="24"/>
      <w:szCs w:val="24"/>
    </w:rPr>
  </w:style>
  <w:style w:type="paragraph" w:styleId="NormalWeb">
    <w:name w:val="Normal (Web)"/>
    <w:basedOn w:val="Normal"/>
    <w:rsid w:val="007357EE"/>
    <w:pPr>
      <w:spacing w:before="100" w:beforeAutospacing="1" w:after="100" w:afterAutospacing="1"/>
    </w:pPr>
    <w:rPr>
      <w:rFonts w:ascii="Tahoma" w:hAnsi="Tahoma" w:cs="Tahoma"/>
      <w:color w:val="000000"/>
      <w:sz w:val="14"/>
      <w:szCs w:val="14"/>
    </w:rPr>
  </w:style>
  <w:style w:type="paragraph" w:styleId="Textonotapie">
    <w:name w:val="footnote text"/>
    <w:basedOn w:val="Normal"/>
    <w:link w:val="TextonotapieCar"/>
    <w:semiHidden/>
    <w:rsid w:val="00A16F9D"/>
    <w:rPr>
      <w:rFonts w:ascii="Times New Roman" w:hAnsi="Times New Roman"/>
      <w:sz w:val="20"/>
      <w:szCs w:val="20"/>
      <w:lang w:val="es-MX"/>
    </w:rPr>
  </w:style>
  <w:style w:type="character" w:customStyle="1" w:styleId="TextonotapieCar">
    <w:name w:val="Texto nota pie Car"/>
    <w:link w:val="Textonotapie"/>
    <w:semiHidden/>
    <w:rsid w:val="00A16F9D"/>
    <w:rPr>
      <w:rFonts w:ascii="Times New Roman" w:eastAsia="Times New Roman" w:hAnsi="Times New Roman"/>
      <w:lang w:val="es-MX"/>
    </w:rPr>
  </w:style>
  <w:style w:type="paragraph" w:customStyle="1" w:styleId="xl24">
    <w:name w:val="xl24"/>
    <w:basedOn w:val="Normal"/>
    <w:rsid w:val="00A16F9D"/>
    <w:pPr>
      <w:pBdr>
        <w:left w:val="single" w:sz="4" w:space="0" w:color="auto"/>
        <w:right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25">
    <w:name w:val="xl25"/>
    <w:basedOn w:val="Normal"/>
    <w:rsid w:val="00A16F9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26">
    <w:name w:val="xl26"/>
    <w:basedOn w:val="Normal"/>
    <w:rsid w:val="00A16F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27">
    <w:name w:val="xl27"/>
    <w:basedOn w:val="Normal"/>
    <w:rsid w:val="00A16F9D"/>
    <w:pPr>
      <w:pBdr>
        <w:top w:val="single" w:sz="4" w:space="0" w:color="auto"/>
        <w:left w:val="single" w:sz="4" w:space="0" w:color="auto"/>
      </w:pBdr>
      <w:spacing w:before="100" w:beforeAutospacing="1" w:after="100" w:afterAutospacing="1"/>
    </w:pPr>
    <w:rPr>
      <w:rFonts w:ascii="Arial" w:hAnsi="Arial" w:cs="Arial"/>
      <w:b/>
      <w:bCs/>
      <w:sz w:val="18"/>
      <w:szCs w:val="18"/>
      <w:lang w:val="es-MX"/>
    </w:rPr>
  </w:style>
  <w:style w:type="paragraph" w:customStyle="1" w:styleId="xl28">
    <w:name w:val="xl28"/>
    <w:basedOn w:val="Normal"/>
    <w:rsid w:val="00A16F9D"/>
    <w:pPr>
      <w:pBdr>
        <w:top w:val="single" w:sz="4" w:space="0" w:color="auto"/>
        <w:right w:val="single" w:sz="4" w:space="0" w:color="auto"/>
      </w:pBdr>
      <w:spacing w:before="100" w:beforeAutospacing="1" w:after="100" w:afterAutospacing="1"/>
    </w:pPr>
    <w:rPr>
      <w:rFonts w:ascii="Arial" w:hAnsi="Arial" w:cs="Arial"/>
      <w:b/>
      <w:bCs/>
      <w:sz w:val="18"/>
      <w:szCs w:val="18"/>
      <w:lang w:val="es-MX"/>
    </w:rPr>
  </w:style>
  <w:style w:type="paragraph" w:customStyle="1" w:styleId="xl29">
    <w:name w:val="xl29"/>
    <w:basedOn w:val="Normal"/>
    <w:rsid w:val="00A16F9D"/>
    <w:pPr>
      <w:pBdr>
        <w:left w:val="single" w:sz="4" w:space="0" w:color="auto"/>
        <w:bottom w:val="single" w:sz="4" w:space="0" w:color="auto"/>
      </w:pBdr>
      <w:spacing w:before="100" w:beforeAutospacing="1" w:after="100" w:afterAutospacing="1"/>
    </w:pPr>
    <w:rPr>
      <w:rFonts w:ascii="Arial" w:hAnsi="Arial" w:cs="Arial"/>
      <w:b/>
      <w:bCs/>
      <w:sz w:val="18"/>
      <w:szCs w:val="18"/>
      <w:lang w:val="es-MX"/>
    </w:rPr>
  </w:style>
  <w:style w:type="paragraph" w:customStyle="1" w:styleId="xl30">
    <w:name w:val="xl30"/>
    <w:basedOn w:val="Normal"/>
    <w:rsid w:val="00A16F9D"/>
    <w:pPr>
      <w:pBdr>
        <w:bottom w:val="single" w:sz="4" w:space="0" w:color="auto"/>
        <w:right w:val="single" w:sz="4" w:space="0" w:color="auto"/>
      </w:pBdr>
      <w:spacing w:before="100" w:beforeAutospacing="1" w:after="100" w:afterAutospacing="1"/>
    </w:pPr>
    <w:rPr>
      <w:rFonts w:ascii="Arial" w:hAnsi="Arial" w:cs="Arial"/>
      <w:b/>
      <w:bCs/>
      <w:sz w:val="18"/>
      <w:szCs w:val="18"/>
      <w:lang w:val="es-MX"/>
    </w:rPr>
  </w:style>
  <w:style w:type="paragraph" w:customStyle="1" w:styleId="xl31">
    <w:name w:val="xl31"/>
    <w:basedOn w:val="Normal"/>
    <w:rsid w:val="00A16F9D"/>
    <w:pPr>
      <w:pBdr>
        <w:top w:val="single" w:sz="4" w:space="0" w:color="auto"/>
        <w:left w:val="single" w:sz="4" w:space="0" w:color="auto"/>
        <w:right w:val="single" w:sz="4" w:space="0" w:color="auto"/>
      </w:pBdr>
      <w:spacing w:before="100" w:beforeAutospacing="1" w:after="100" w:afterAutospacing="1"/>
    </w:pPr>
    <w:rPr>
      <w:rFonts w:ascii="Arial" w:hAnsi="Arial" w:cs="Arial"/>
      <w:b/>
      <w:bCs/>
      <w:sz w:val="18"/>
      <w:szCs w:val="18"/>
      <w:lang w:val="es-MX"/>
    </w:rPr>
  </w:style>
  <w:style w:type="paragraph" w:customStyle="1" w:styleId="xl32">
    <w:name w:val="xl32"/>
    <w:basedOn w:val="Normal"/>
    <w:rsid w:val="00A16F9D"/>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33">
    <w:name w:val="xl33"/>
    <w:basedOn w:val="Normal"/>
    <w:rsid w:val="00A16F9D"/>
    <w:pPr>
      <w:pBdr>
        <w:left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34">
    <w:name w:val="xl34"/>
    <w:basedOn w:val="Normal"/>
    <w:rsid w:val="00A16F9D"/>
    <w:pPr>
      <w:pBdr>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36">
    <w:name w:val="xl36"/>
    <w:basedOn w:val="Normal"/>
    <w:rsid w:val="00A16F9D"/>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val="es-MX"/>
    </w:rPr>
  </w:style>
  <w:style w:type="paragraph" w:customStyle="1" w:styleId="xl37">
    <w:name w:val="xl37"/>
    <w:basedOn w:val="Normal"/>
    <w:rsid w:val="00A16F9D"/>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38">
    <w:name w:val="xl38"/>
    <w:basedOn w:val="Normal"/>
    <w:rsid w:val="00A16F9D"/>
    <w:pPr>
      <w:pBdr>
        <w:left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39">
    <w:name w:val="xl39"/>
    <w:basedOn w:val="Normal"/>
    <w:rsid w:val="00A16F9D"/>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40">
    <w:name w:val="xl40"/>
    <w:basedOn w:val="Normal"/>
    <w:rsid w:val="00A16F9D"/>
    <w:pPr>
      <w:pBdr>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41">
    <w:name w:val="xl41"/>
    <w:basedOn w:val="Normal"/>
    <w:rsid w:val="00A16F9D"/>
    <w:pPr>
      <w:pBdr>
        <w:left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42">
    <w:name w:val="xl42"/>
    <w:basedOn w:val="Normal"/>
    <w:rsid w:val="00A16F9D"/>
    <w:pPr>
      <w:pBdr>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43">
    <w:name w:val="xl43"/>
    <w:basedOn w:val="Normal"/>
    <w:rsid w:val="00A16F9D"/>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44">
    <w:name w:val="xl44"/>
    <w:basedOn w:val="Normal"/>
    <w:rsid w:val="00A16F9D"/>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45">
    <w:name w:val="xl45"/>
    <w:basedOn w:val="Normal"/>
    <w:rsid w:val="00A16F9D"/>
    <w:pPr>
      <w:pBdr>
        <w:left w:val="single" w:sz="4" w:space="0" w:color="auto"/>
        <w:right w:val="single" w:sz="4" w:space="0" w:color="auto"/>
      </w:pBdr>
      <w:spacing w:before="100" w:beforeAutospacing="1" w:after="100" w:afterAutospacing="1"/>
    </w:pPr>
    <w:rPr>
      <w:rFonts w:ascii="Times New Roman" w:hAnsi="Times New Roman"/>
      <w:lang w:val="es-MX"/>
    </w:rPr>
  </w:style>
  <w:style w:type="paragraph" w:customStyle="1" w:styleId="xl46">
    <w:name w:val="xl46"/>
    <w:basedOn w:val="Normal"/>
    <w:rsid w:val="00A16F9D"/>
    <w:pPr>
      <w:pBdr>
        <w:top w:val="single" w:sz="4" w:space="0" w:color="auto"/>
        <w:left w:val="single" w:sz="4" w:space="0" w:color="auto"/>
      </w:pBdr>
      <w:spacing w:before="100" w:beforeAutospacing="1" w:after="100" w:afterAutospacing="1"/>
    </w:pPr>
    <w:rPr>
      <w:rFonts w:ascii="Arial" w:hAnsi="Arial" w:cs="Arial"/>
      <w:b/>
      <w:bCs/>
      <w:sz w:val="16"/>
      <w:szCs w:val="16"/>
      <w:lang w:val="es-MX"/>
    </w:rPr>
  </w:style>
  <w:style w:type="paragraph" w:customStyle="1" w:styleId="xl47">
    <w:name w:val="xl47"/>
    <w:basedOn w:val="Normal"/>
    <w:rsid w:val="00A16F9D"/>
    <w:pPr>
      <w:pBdr>
        <w:left w:val="single" w:sz="4" w:space="0" w:color="auto"/>
      </w:pBdr>
      <w:spacing w:before="100" w:beforeAutospacing="1" w:after="100" w:afterAutospacing="1"/>
    </w:pPr>
    <w:rPr>
      <w:rFonts w:ascii="Arial" w:hAnsi="Arial" w:cs="Arial"/>
      <w:sz w:val="16"/>
      <w:szCs w:val="16"/>
      <w:lang w:val="es-MX"/>
    </w:rPr>
  </w:style>
  <w:style w:type="paragraph" w:customStyle="1" w:styleId="xl48">
    <w:name w:val="xl48"/>
    <w:basedOn w:val="Normal"/>
    <w:rsid w:val="00A16F9D"/>
    <w:pPr>
      <w:pBdr>
        <w:left w:val="single" w:sz="4" w:space="0" w:color="auto"/>
      </w:pBdr>
      <w:spacing w:before="100" w:beforeAutospacing="1" w:after="100" w:afterAutospacing="1"/>
    </w:pPr>
    <w:rPr>
      <w:rFonts w:ascii="Arial" w:hAnsi="Arial" w:cs="Arial"/>
      <w:b/>
      <w:bCs/>
      <w:sz w:val="16"/>
      <w:szCs w:val="16"/>
      <w:lang w:val="es-MX"/>
    </w:rPr>
  </w:style>
  <w:style w:type="paragraph" w:customStyle="1" w:styleId="xl49">
    <w:name w:val="xl49"/>
    <w:basedOn w:val="Normal"/>
    <w:rsid w:val="00A16F9D"/>
    <w:pPr>
      <w:pBdr>
        <w:left w:val="single" w:sz="4" w:space="0" w:color="auto"/>
      </w:pBdr>
      <w:spacing w:before="100" w:beforeAutospacing="1" w:after="100" w:afterAutospacing="1"/>
    </w:pPr>
    <w:rPr>
      <w:rFonts w:ascii="Times New Roman" w:hAnsi="Times New Roman"/>
      <w:lang w:val="es-MX"/>
    </w:rPr>
  </w:style>
  <w:style w:type="paragraph" w:customStyle="1" w:styleId="xl50">
    <w:name w:val="xl50"/>
    <w:basedOn w:val="Normal"/>
    <w:rsid w:val="00A16F9D"/>
    <w:pPr>
      <w:pBdr>
        <w:left w:val="single" w:sz="4" w:space="0" w:color="auto"/>
        <w:bottom w:val="single" w:sz="4" w:space="0" w:color="auto"/>
      </w:pBdr>
      <w:spacing w:before="100" w:beforeAutospacing="1" w:after="100" w:afterAutospacing="1"/>
    </w:pPr>
    <w:rPr>
      <w:rFonts w:ascii="Arial" w:hAnsi="Arial" w:cs="Arial"/>
      <w:sz w:val="16"/>
      <w:szCs w:val="16"/>
      <w:lang w:val="es-MX"/>
    </w:rPr>
  </w:style>
  <w:style w:type="paragraph" w:customStyle="1" w:styleId="xl51">
    <w:name w:val="xl51"/>
    <w:basedOn w:val="Normal"/>
    <w:rsid w:val="00A16F9D"/>
    <w:pPr>
      <w:pBdr>
        <w:bottom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52">
    <w:name w:val="xl52"/>
    <w:basedOn w:val="Normal"/>
    <w:rsid w:val="00A16F9D"/>
    <w:pPr>
      <w:pBdr>
        <w:left w:val="single" w:sz="4" w:space="0" w:color="auto"/>
        <w:right w:val="single" w:sz="4" w:space="0" w:color="auto"/>
      </w:pBdr>
      <w:spacing w:before="100" w:beforeAutospacing="1" w:after="100" w:afterAutospacing="1"/>
      <w:jc w:val="center"/>
    </w:pPr>
    <w:rPr>
      <w:rFonts w:ascii="Arial" w:hAnsi="Arial" w:cs="Arial"/>
      <w:sz w:val="16"/>
      <w:szCs w:val="16"/>
      <w:lang w:val="es-MX"/>
    </w:rPr>
  </w:style>
  <w:style w:type="paragraph" w:customStyle="1" w:styleId="xl53">
    <w:name w:val="xl53"/>
    <w:basedOn w:val="Normal"/>
    <w:rsid w:val="00A16F9D"/>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54">
    <w:name w:val="xl54"/>
    <w:basedOn w:val="Normal"/>
    <w:rsid w:val="00A16F9D"/>
    <w:pPr>
      <w:pBdr>
        <w:left w:val="single" w:sz="4" w:space="0" w:color="auto"/>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55">
    <w:name w:val="xl55"/>
    <w:basedOn w:val="Normal"/>
    <w:rsid w:val="00A16F9D"/>
    <w:pPr>
      <w:pBdr>
        <w:left w:val="single" w:sz="4" w:space="0" w:color="auto"/>
      </w:pBdr>
      <w:spacing w:before="100" w:beforeAutospacing="1" w:after="100" w:afterAutospacing="1"/>
    </w:pPr>
    <w:rPr>
      <w:rFonts w:ascii="Arial" w:hAnsi="Arial" w:cs="Arial"/>
      <w:sz w:val="12"/>
      <w:szCs w:val="12"/>
      <w:lang w:val="es-MX"/>
    </w:rPr>
  </w:style>
  <w:style w:type="paragraph" w:customStyle="1" w:styleId="xl56">
    <w:name w:val="xl56"/>
    <w:basedOn w:val="Normal"/>
    <w:rsid w:val="00A16F9D"/>
    <w:pPr>
      <w:pBdr>
        <w:top w:val="single" w:sz="4" w:space="0" w:color="auto"/>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57">
    <w:name w:val="xl57"/>
    <w:basedOn w:val="Normal"/>
    <w:rsid w:val="00A16F9D"/>
    <w:pPr>
      <w:pBdr>
        <w:right w:val="single" w:sz="4" w:space="0" w:color="auto"/>
      </w:pBdr>
      <w:spacing w:before="100" w:beforeAutospacing="1" w:after="100" w:afterAutospacing="1"/>
      <w:jc w:val="center"/>
    </w:pPr>
    <w:rPr>
      <w:rFonts w:ascii="Arial" w:hAnsi="Arial" w:cs="Arial"/>
      <w:sz w:val="16"/>
      <w:szCs w:val="16"/>
      <w:lang w:val="es-MX"/>
    </w:rPr>
  </w:style>
  <w:style w:type="paragraph" w:customStyle="1" w:styleId="xl58">
    <w:name w:val="xl58"/>
    <w:basedOn w:val="Normal"/>
    <w:rsid w:val="00A16F9D"/>
    <w:pPr>
      <w:pBdr>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59">
    <w:name w:val="xl59"/>
    <w:basedOn w:val="Normal"/>
    <w:rsid w:val="00A16F9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60">
    <w:name w:val="xl60"/>
    <w:basedOn w:val="Normal"/>
    <w:rsid w:val="00A16F9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rPr>
  </w:style>
  <w:style w:type="paragraph" w:customStyle="1" w:styleId="xl61">
    <w:name w:val="xl61"/>
    <w:basedOn w:val="Normal"/>
    <w:rsid w:val="00A16F9D"/>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rPr>
  </w:style>
  <w:style w:type="paragraph" w:customStyle="1" w:styleId="xl62">
    <w:name w:val="xl62"/>
    <w:basedOn w:val="Normal"/>
    <w:rsid w:val="00A16F9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rPr>
  </w:style>
  <w:style w:type="paragraph" w:customStyle="1" w:styleId="xl63">
    <w:name w:val="xl63"/>
    <w:basedOn w:val="Normal"/>
    <w:rsid w:val="00A16F9D"/>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64">
    <w:name w:val="xl64"/>
    <w:basedOn w:val="Normal"/>
    <w:rsid w:val="00A16F9D"/>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65">
    <w:name w:val="xl65"/>
    <w:basedOn w:val="Normal"/>
    <w:rsid w:val="00A16F9D"/>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66">
    <w:name w:val="xl66"/>
    <w:basedOn w:val="Normal"/>
    <w:rsid w:val="00A16F9D"/>
    <w:pPr>
      <w:spacing w:before="100" w:beforeAutospacing="1" w:after="100" w:afterAutospacing="1"/>
      <w:jc w:val="center"/>
    </w:pPr>
    <w:rPr>
      <w:rFonts w:ascii="Arial" w:hAnsi="Arial" w:cs="Arial"/>
      <w:b/>
      <w:bCs/>
      <w:lang w:val="es-MX"/>
    </w:rPr>
  </w:style>
  <w:style w:type="paragraph" w:styleId="Epgrafe">
    <w:name w:val="caption"/>
    <w:basedOn w:val="Normal"/>
    <w:next w:val="Normal"/>
    <w:qFormat/>
    <w:rsid w:val="00A16F9D"/>
    <w:pPr>
      <w:spacing w:before="120" w:after="120"/>
    </w:pPr>
    <w:rPr>
      <w:rFonts w:ascii="Times New Roman" w:hAnsi="Times New Roman"/>
      <w:b/>
      <w:bCs/>
      <w:sz w:val="20"/>
      <w:szCs w:val="20"/>
      <w:lang w:val="es-MX"/>
    </w:rPr>
  </w:style>
  <w:style w:type="paragraph" w:styleId="Textoindependiente2">
    <w:name w:val="Body Text 2"/>
    <w:basedOn w:val="Normal"/>
    <w:link w:val="Textoindependiente2Car"/>
    <w:rsid w:val="00A16F9D"/>
    <w:rPr>
      <w:rFonts w:ascii="Arial" w:hAnsi="Arial"/>
      <w:b/>
      <w:bCs/>
      <w:sz w:val="28"/>
      <w:szCs w:val="20"/>
      <w:lang w:val="es-MX"/>
    </w:rPr>
  </w:style>
  <w:style w:type="character" w:customStyle="1" w:styleId="Textoindependiente2Car">
    <w:name w:val="Texto independiente 2 Car"/>
    <w:link w:val="Textoindependiente2"/>
    <w:rsid w:val="00A16F9D"/>
    <w:rPr>
      <w:rFonts w:ascii="Arial" w:eastAsia="Times New Roman" w:hAnsi="Arial" w:cs="Arial"/>
      <w:b/>
      <w:bCs/>
      <w:sz w:val="28"/>
      <w:lang w:val="es-MX"/>
    </w:rPr>
  </w:style>
  <w:style w:type="paragraph" w:styleId="Lista">
    <w:name w:val="List"/>
    <w:basedOn w:val="Normal"/>
    <w:rsid w:val="00A16F9D"/>
    <w:pPr>
      <w:ind w:left="283" w:hanging="283"/>
    </w:pPr>
    <w:rPr>
      <w:rFonts w:ascii="Times New Roman" w:hAnsi="Times New Roman"/>
      <w:sz w:val="20"/>
      <w:szCs w:val="20"/>
      <w:lang w:val="es-MX"/>
    </w:rPr>
  </w:style>
  <w:style w:type="paragraph" w:styleId="Sangradetextonormal">
    <w:name w:val="Body Text Indent"/>
    <w:basedOn w:val="Normal"/>
    <w:link w:val="SangradetextonormalCar"/>
    <w:rsid w:val="00A16F9D"/>
    <w:pPr>
      <w:ind w:left="709" w:hanging="709"/>
    </w:pPr>
    <w:rPr>
      <w:rFonts w:ascii="Arial" w:hAnsi="Arial"/>
      <w:b/>
      <w:bCs/>
      <w:sz w:val="28"/>
      <w:szCs w:val="20"/>
      <w:lang w:val="es-MX"/>
    </w:rPr>
  </w:style>
  <w:style w:type="character" w:customStyle="1" w:styleId="SangradetextonormalCar">
    <w:name w:val="Sangría de texto normal Car"/>
    <w:link w:val="Sangradetextonormal"/>
    <w:rsid w:val="00A16F9D"/>
    <w:rPr>
      <w:rFonts w:ascii="Arial" w:eastAsia="Times New Roman" w:hAnsi="Arial" w:cs="Arial"/>
      <w:b/>
      <w:bCs/>
      <w:sz w:val="28"/>
      <w:lang w:val="es-MX"/>
    </w:rPr>
  </w:style>
  <w:style w:type="paragraph" w:styleId="Textoindependiente3">
    <w:name w:val="Body Text 3"/>
    <w:basedOn w:val="Normal"/>
    <w:link w:val="Textoindependiente3Car"/>
    <w:rsid w:val="00A16F9D"/>
    <w:pPr>
      <w:jc w:val="both"/>
    </w:pPr>
    <w:rPr>
      <w:rFonts w:ascii="Arial" w:hAnsi="Arial"/>
      <w:snapToGrid w:val="0"/>
      <w:szCs w:val="20"/>
      <w:lang w:val="es-MX"/>
    </w:rPr>
  </w:style>
  <w:style w:type="character" w:customStyle="1" w:styleId="Textoindependiente3Car">
    <w:name w:val="Texto independiente 3 Car"/>
    <w:link w:val="Textoindependiente3"/>
    <w:rsid w:val="00A16F9D"/>
    <w:rPr>
      <w:rFonts w:ascii="Arial" w:eastAsia="Times New Roman" w:hAnsi="Arial"/>
      <w:snapToGrid w:val="0"/>
      <w:sz w:val="24"/>
      <w:lang w:val="es-MX"/>
    </w:rPr>
  </w:style>
  <w:style w:type="paragraph" w:styleId="Sangra2detindependiente">
    <w:name w:val="Body Text Indent 2"/>
    <w:basedOn w:val="Normal"/>
    <w:link w:val="Sangra2detindependienteCar"/>
    <w:rsid w:val="00A16F9D"/>
    <w:pPr>
      <w:spacing w:after="120" w:line="360" w:lineRule="auto"/>
      <w:ind w:firstLine="709"/>
      <w:jc w:val="both"/>
    </w:pPr>
    <w:rPr>
      <w:rFonts w:ascii="Arial" w:hAnsi="Arial"/>
      <w:szCs w:val="20"/>
      <w:lang w:val="es-MX"/>
    </w:rPr>
  </w:style>
  <w:style w:type="character" w:customStyle="1" w:styleId="Sangra2detindependienteCar">
    <w:name w:val="Sangría 2 de t. independiente Car"/>
    <w:link w:val="Sangra2detindependiente"/>
    <w:rsid w:val="00A16F9D"/>
    <w:rPr>
      <w:rFonts w:ascii="Arial" w:eastAsia="Times New Roman" w:hAnsi="Arial" w:cs="Arial"/>
      <w:sz w:val="24"/>
      <w:lang w:val="es-MX"/>
    </w:rPr>
  </w:style>
  <w:style w:type="paragraph" w:styleId="Sangra3detindependiente">
    <w:name w:val="Body Text Indent 3"/>
    <w:basedOn w:val="Normal"/>
    <w:link w:val="Sangra3detindependienteCar"/>
    <w:rsid w:val="00A16F9D"/>
    <w:pPr>
      <w:spacing w:after="120" w:line="360" w:lineRule="auto"/>
      <w:ind w:firstLine="709"/>
      <w:jc w:val="both"/>
    </w:pPr>
    <w:rPr>
      <w:rFonts w:ascii="Arial" w:hAnsi="Arial"/>
      <w:b/>
      <w:bCs/>
      <w:szCs w:val="20"/>
      <w:lang w:val="es-MX"/>
    </w:rPr>
  </w:style>
  <w:style w:type="character" w:customStyle="1" w:styleId="Sangra3detindependienteCar">
    <w:name w:val="Sangría 3 de t. independiente Car"/>
    <w:link w:val="Sangra3detindependiente"/>
    <w:rsid w:val="00A16F9D"/>
    <w:rPr>
      <w:rFonts w:ascii="Arial" w:eastAsia="Times New Roman" w:hAnsi="Arial"/>
      <w:b/>
      <w:bCs/>
      <w:sz w:val="24"/>
      <w:lang w:val="es-MX"/>
    </w:rPr>
  </w:style>
  <w:style w:type="character" w:styleId="Hipervnculo">
    <w:name w:val="Hyperlink"/>
    <w:uiPriority w:val="99"/>
    <w:rsid w:val="00A16F9D"/>
    <w:rPr>
      <w:color w:val="0000FF"/>
      <w:u w:val="single"/>
    </w:rPr>
  </w:style>
  <w:style w:type="paragraph" w:customStyle="1" w:styleId="font5">
    <w:name w:val="font5"/>
    <w:basedOn w:val="Normal"/>
    <w:rsid w:val="00A16F9D"/>
    <w:pPr>
      <w:spacing w:before="100" w:beforeAutospacing="1" w:after="100" w:afterAutospacing="1"/>
    </w:pPr>
    <w:rPr>
      <w:rFonts w:ascii="Arial" w:eastAsia="Arial Unicode MS" w:hAnsi="Arial" w:cs="Arial"/>
      <w:sz w:val="16"/>
      <w:szCs w:val="16"/>
      <w:lang w:val="es-MX"/>
    </w:rPr>
  </w:style>
  <w:style w:type="character" w:styleId="Hipervnculovisitado">
    <w:name w:val="FollowedHyperlink"/>
    <w:uiPriority w:val="99"/>
    <w:rsid w:val="00A16F9D"/>
    <w:rPr>
      <w:color w:val="800080"/>
      <w:u w:val="single"/>
    </w:rPr>
  </w:style>
  <w:style w:type="paragraph" w:customStyle="1" w:styleId="xl67">
    <w:name w:val="xl67"/>
    <w:basedOn w:val="Normal"/>
    <w:rsid w:val="00A16F9D"/>
    <w:pPr>
      <w:pBdr>
        <w:right w:val="single" w:sz="4" w:space="0" w:color="auto"/>
      </w:pBdr>
      <w:spacing w:before="100" w:beforeAutospacing="1" w:after="100" w:afterAutospacing="1"/>
    </w:pPr>
    <w:rPr>
      <w:rFonts w:ascii="Arial" w:eastAsia="Arial Unicode MS" w:hAnsi="Arial" w:cs="Arial"/>
      <w:sz w:val="16"/>
      <w:szCs w:val="16"/>
      <w:lang w:val="es-MX"/>
    </w:rPr>
  </w:style>
  <w:style w:type="paragraph" w:customStyle="1" w:styleId="xl68">
    <w:name w:val="xl68"/>
    <w:basedOn w:val="Normal"/>
    <w:rsid w:val="00A16F9D"/>
    <w:pPr>
      <w:pBdr>
        <w:left w:val="single" w:sz="4" w:space="0" w:color="auto"/>
      </w:pBdr>
      <w:spacing w:before="100" w:beforeAutospacing="1" w:after="100" w:afterAutospacing="1"/>
    </w:pPr>
    <w:rPr>
      <w:rFonts w:ascii="Arial" w:eastAsia="Arial Unicode MS" w:hAnsi="Arial" w:cs="Arial"/>
      <w:sz w:val="16"/>
      <w:szCs w:val="16"/>
      <w:lang w:val="es-MX"/>
    </w:rPr>
  </w:style>
  <w:style w:type="paragraph" w:customStyle="1" w:styleId="xl69">
    <w:name w:val="xl69"/>
    <w:basedOn w:val="Normal"/>
    <w:rsid w:val="00A16F9D"/>
    <w:pPr>
      <w:pBdr>
        <w:bottom w:val="single" w:sz="4" w:space="0" w:color="auto"/>
        <w:right w:val="single" w:sz="4" w:space="0" w:color="auto"/>
      </w:pBdr>
      <w:spacing w:before="100" w:beforeAutospacing="1" w:after="100" w:afterAutospacing="1"/>
    </w:pPr>
    <w:rPr>
      <w:rFonts w:ascii="Times New Roman" w:eastAsia="Arial Unicode MS" w:hAnsi="Times New Roman"/>
      <w:lang w:val="es-MX"/>
    </w:rPr>
  </w:style>
  <w:style w:type="paragraph" w:customStyle="1" w:styleId="xl70">
    <w:name w:val="xl70"/>
    <w:basedOn w:val="Normal"/>
    <w:rsid w:val="00A16F9D"/>
    <w:pPr>
      <w:pBdr>
        <w:left w:val="single" w:sz="4" w:space="0" w:color="auto"/>
        <w:bottom w:val="single" w:sz="4" w:space="0" w:color="auto"/>
      </w:pBdr>
      <w:spacing w:before="100" w:beforeAutospacing="1" w:after="100" w:afterAutospacing="1"/>
      <w:jc w:val="right"/>
    </w:pPr>
    <w:rPr>
      <w:rFonts w:ascii="Times New Roman" w:eastAsia="Arial Unicode MS" w:hAnsi="Times New Roman"/>
      <w:lang w:val="es-MX"/>
    </w:rPr>
  </w:style>
  <w:style w:type="paragraph" w:customStyle="1" w:styleId="xl71">
    <w:name w:val="xl71"/>
    <w:basedOn w:val="Normal"/>
    <w:rsid w:val="00A16F9D"/>
    <w:pPr>
      <w:pBdr>
        <w:bottom w:val="single" w:sz="4" w:space="0" w:color="auto"/>
        <w:right w:val="single" w:sz="4" w:space="0" w:color="auto"/>
      </w:pBdr>
      <w:spacing w:before="100" w:beforeAutospacing="1" w:after="100" w:afterAutospacing="1"/>
      <w:jc w:val="right"/>
    </w:pPr>
    <w:rPr>
      <w:rFonts w:ascii="Times New Roman" w:eastAsia="Arial Unicode MS" w:hAnsi="Times New Roman"/>
      <w:lang w:val="es-MX"/>
    </w:rPr>
  </w:style>
  <w:style w:type="paragraph" w:customStyle="1" w:styleId="xl72">
    <w:name w:val="xl72"/>
    <w:basedOn w:val="Normal"/>
    <w:rsid w:val="00A16F9D"/>
    <w:pPr>
      <w:pBdr>
        <w:left w:val="single" w:sz="4" w:space="0" w:color="auto"/>
      </w:pBdr>
      <w:spacing w:before="100" w:beforeAutospacing="1" w:after="100" w:afterAutospacing="1"/>
      <w:jc w:val="right"/>
    </w:pPr>
    <w:rPr>
      <w:rFonts w:ascii="Arial" w:eastAsia="Arial Unicode MS" w:hAnsi="Arial" w:cs="Arial"/>
      <w:b/>
      <w:bCs/>
      <w:sz w:val="16"/>
      <w:szCs w:val="16"/>
      <w:lang w:val="es-MX"/>
    </w:rPr>
  </w:style>
  <w:style w:type="paragraph" w:customStyle="1" w:styleId="xl73">
    <w:name w:val="xl73"/>
    <w:basedOn w:val="Normal"/>
    <w:rsid w:val="00A16F9D"/>
    <w:pPr>
      <w:pBdr>
        <w:right w:val="single" w:sz="4" w:space="0" w:color="auto"/>
      </w:pBdr>
      <w:spacing w:before="100" w:beforeAutospacing="1" w:after="100" w:afterAutospacing="1"/>
      <w:jc w:val="right"/>
    </w:pPr>
    <w:rPr>
      <w:rFonts w:ascii="Arial" w:eastAsia="Arial Unicode MS" w:hAnsi="Arial" w:cs="Arial"/>
      <w:b/>
      <w:bCs/>
      <w:sz w:val="16"/>
      <w:szCs w:val="16"/>
      <w:lang w:val="es-MX"/>
    </w:rPr>
  </w:style>
  <w:style w:type="paragraph" w:customStyle="1" w:styleId="xl74">
    <w:name w:val="xl74"/>
    <w:basedOn w:val="Normal"/>
    <w:rsid w:val="00A16F9D"/>
    <w:pPr>
      <w:pBdr>
        <w:left w:val="single" w:sz="4" w:space="0" w:color="auto"/>
      </w:pBdr>
      <w:spacing w:before="100" w:beforeAutospacing="1" w:after="100" w:afterAutospacing="1"/>
      <w:jc w:val="right"/>
    </w:pPr>
    <w:rPr>
      <w:rFonts w:ascii="Arial" w:eastAsia="Arial Unicode MS" w:hAnsi="Arial" w:cs="Arial"/>
      <w:b/>
      <w:bCs/>
      <w:sz w:val="16"/>
      <w:szCs w:val="16"/>
      <w:u w:val="single"/>
      <w:lang w:val="es-MX"/>
    </w:rPr>
  </w:style>
  <w:style w:type="paragraph" w:customStyle="1" w:styleId="xl75">
    <w:name w:val="xl75"/>
    <w:basedOn w:val="Normal"/>
    <w:rsid w:val="00A16F9D"/>
    <w:pPr>
      <w:pBdr>
        <w:right w:val="single" w:sz="4" w:space="0" w:color="auto"/>
      </w:pBdr>
      <w:spacing w:before="100" w:beforeAutospacing="1" w:after="100" w:afterAutospacing="1"/>
      <w:jc w:val="right"/>
    </w:pPr>
    <w:rPr>
      <w:rFonts w:ascii="Arial" w:eastAsia="Arial Unicode MS" w:hAnsi="Arial" w:cs="Arial"/>
      <w:b/>
      <w:bCs/>
      <w:sz w:val="16"/>
      <w:szCs w:val="16"/>
      <w:u w:val="single"/>
      <w:lang w:val="es-MX"/>
    </w:rPr>
  </w:style>
  <w:style w:type="paragraph" w:customStyle="1" w:styleId="xl76">
    <w:name w:val="xl76"/>
    <w:basedOn w:val="Normal"/>
    <w:rsid w:val="00A16F9D"/>
    <w:pPr>
      <w:pBdr>
        <w:left w:val="single" w:sz="4" w:space="0" w:color="auto"/>
      </w:pBdr>
      <w:spacing w:before="100" w:beforeAutospacing="1" w:after="100" w:afterAutospacing="1"/>
      <w:jc w:val="right"/>
    </w:pPr>
    <w:rPr>
      <w:rFonts w:ascii="Arial" w:eastAsia="Arial Unicode MS" w:hAnsi="Arial" w:cs="Arial"/>
      <w:b/>
      <w:bCs/>
      <w:sz w:val="16"/>
      <w:szCs w:val="16"/>
      <w:u w:val="single"/>
      <w:lang w:val="es-MX"/>
    </w:rPr>
  </w:style>
  <w:style w:type="paragraph" w:customStyle="1" w:styleId="xl77">
    <w:name w:val="xl77"/>
    <w:basedOn w:val="Normal"/>
    <w:rsid w:val="00A16F9D"/>
    <w:pPr>
      <w:pBdr>
        <w:right w:val="single" w:sz="4" w:space="0" w:color="auto"/>
      </w:pBdr>
      <w:spacing w:before="100" w:beforeAutospacing="1" w:after="100" w:afterAutospacing="1"/>
      <w:jc w:val="right"/>
    </w:pPr>
    <w:rPr>
      <w:rFonts w:ascii="Arial" w:eastAsia="Arial Unicode MS" w:hAnsi="Arial" w:cs="Arial"/>
      <w:b/>
      <w:bCs/>
      <w:sz w:val="16"/>
      <w:szCs w:val="16"/>
      <w:u w:val="single"/>
      <w:lang w:val="es-MX"/>
    </w:rPr>
  </w:style>
  <w:style w:type="paragraph" w:customStyle="1" w:styleId="xl78">
    <w:name w:val="xl78"/>
    <w:basedOn w:val="Normal"/>
    <w:rsid w:val="00A16F9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6"/>
      <w:szCs w:val="16"/>
      <w:lang w:val="es-MX"/>
    </w:rPr>
  </w:style>
  <w:style w:type="paragraph" w:customStyle="1" w:styleId="xl79">
    <w:name w:val="xl79"/>
    <w:basedOn w:val="Normal"/>
    <w:rsid w:val="00A16F9D"/>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6"/>
      <w:szCs w:val="16"/>
      <w:lang w:val="es-MX"/>
    </w:rPr>
  </w:style>
  <w:style w:type="paragraph" w:customStyle="1" w:styleId="xl80">
    <w:name w:val="xl80"/>
    <w:basedOn w:val="Normal"/>
    <w:rsid w:val="00A16F9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6"/>
      <w:szCs w:val="16"/>
      <w:lang w:val="es-MX"/>
    </w:rPr>
  </w:style>
  <w:style w:type="paragraph" w:customStyle="1" w:styleId="font6">
    <w:name w:val="font6"/>
    <w:basedOn w:val="Normal"/>
    <w:rsid w:val="00A16F9D"/>
    <w:pPr>
      <w:spacing w:before="100" w:beforeAutospacing="1" w:after="100" w:afterAutospacing="1"/>
    </w:pPr>
    <w:rPr>
      <w:rFonts w:ascii="Arial" w:eastAsia="Arial Unicode MS" w:hAnsi="Arial" w:cs="Arial"/>
      <w:sz w:val="14"/>
      <w:szCs w:val="14"/>
      <w:lang w:val="es-MX"/>
    </w:rPr>
  </w:style>
  <w:style w:type="paragraph" w:customStyle="1" w:styleId="font7">
    <w:name w:val="font7"/>
    <w:basedOn w:val="Normal"/>
    <w:rsid w:val="00A16F9D"/>
    <w:pPr>
      <w:spacing w:before="100" w:beforeAutospacing="1" w:after="100" w:afterAutospacing="1"/>
    </w:pPr>
    <w:rPr>
      <w:rFonts w:ascii="Arial" w:eastAsia="Arial Unicode MS" w:hAnsi="Arial" w:cs="Arial"/>
      <w:sz w:val="14"/>
      <w:szCs w:val="14"/>
      <w:lang w:val="es-MX"/>
    </w:rPr>
  </w:style>
  <w:style w:type="paragraph" w:customStyle="1" w:styleId="font8">
    <w:name w:val="font8"/>
    <w:basedOn w:val="Normal"/>
    <w:rsid w:val="00A16F9D"/>
    <w:pPr>
      <w:spacing w:before="100" w:beforeAutospacing="1" w:after="100" w:afterAutospacing="1"/>
    </w:pPr>
    <w:rPr>
      <w:rFonts w:ascii="Arial" w:eastAsia="Arial Unicode MS" w:hAnsi="Arial" w:cs="Arial"/>
      <w:sz w:val="16"/>
      <w:szCs w:val="16"/>
      <w:lang w:val="es-MX"/>
    </w:rPr>
  </w:style>
  <w:style w:type="paragraph" w:styleId="Lista3">
    <w:name w:val="List 3"/>
    <w:basedOn w:val="Normal"/>
    <w:rsid w:val="00A16F9D"/>
    <w:pPr>
      <w:ind w:left="849" w:hanging="283"/>
    </w:pPr>
    <w:rPr>
      <w:rFonts w:ascii="Times New Roman" w:hAnsi="Times New Roman"/>
      <w:sz w:val="20"/>
      <w:szCs w:val="20"/>
    </w:rPr>
  </w:style>
  <w:style w:type="paragraph" w:styleId="Lista4">
    <w:name w:val="List 4"/>
    <w:basedOn w:val="Normal"/>
    <w:rsid w:val="00A16F9D"/>
    <w:pPr>
      <w:ind w:left="1132" w:hanging="283"/>
    </w:pPr>
    <w:rPr>
      <w:rFonts w:ascii="Times New Roman" w:hAnsi="Times New Roman"/>
      <w:sz w:val="20"/>
      <w:szCs w:val="20"/>
    </w:rPr>
  </w:style>
  <w:style w:type="paragraph" w:styleId="Saludo">
    <w:name w:val="Salutation"/>
    <w:basedOn w:val="Normal"/>
    <w:next w:val="Normal"/>
    <w:link w:val="SaludoCar"/>
    <w:rsid w:val="00A16F9D"/>
    <w:rPr>
      <w:rFonts w:ascii="Times New Roman" w:hAnsi="Times New Roman"/>
      <w:sz w:val="20"/>
      <w:szCs w:val="20"/>
    </w:rPr>
  </w:style>
  <w:style w:type="character" w:customStyle="1" w:styleId="SaludoCar">
    <w:name w:val="Saludo Car"/>
    <w:link w:val="Saludo"/>
    <w:rsid w:val="00A16F9D"/>
    <w:rPr>
      <w:rFonts w:ascii="Times New Roman" w:eastAsia="Times New Roman" w:hAnsi="Times New Roman"/>
    </w:rPr>
  </w:style>
  <w:style w:type="paragraph" w:styleId="Listaconvietas2">
    <w:name w:val="List Bullet 2"/>
    <w:basedOn w:val="Normal"/>
    <w:autoRedefine/>
    <w:rsid w:val="00A16F9D"/>
    <w:pPr>
      <w:numPr>
        <w:numId w:val="1"/>
      </w:numPr>
    </w:pPr>
    <w:rPr>
      <w:rFonts w:ascii="Times New Roman" w:hAnsi="Times New Roman"/>
      <w:sz w:val="20"/>
      <w:szCs w:val="20"/>
    </w:rPr>
  </w:style>
  <w:style w:type="paragraph" w:styleId="Continuarlista">
    <w:name w:val="List Continue"/>
    <w:basedOn w:val="Normal"/>
    <w:rsid w:val="00A16F9D"/>
    <w:pPr>
      <w:spacing w:after="120"/>
      <w:ind w:left="283"/>
    </w:pPr>
    <w:rPr>
      <w:rFonts w:ascii="Times New Roman" w:hAnsi="Times New Roman"/>
      <w:sz w:val="20"/>
      <w:szCs w:val="20"/>
    </w:rPr>
  </w:style>
  <w:style w:type="paragraph" w:styleId="Continuarlista2">
    <w:name w:val="List Continue 2"/>
    <w:basedOn w:val="Normal"/>
    <w:rsid w:val="00A16F9D"/>
    <w:pPr>
      <w:spacing w:after="120"/>
      <w:ind w:left="566"/>
    </w:pPr>
    <w:rPr>
      <w:rFonts w:ascii="Times New Roman" w:hAnsi="Times New Roman"/>
      <w:sz w:val="20"/>
      <w:szCs w:val="20"/>
    </w:rPr>
  </w:style>
  <w:style w:type="paragraph" w:customStyle="1" w:styleId="Lneadeasunto">
    <w:name w:val="Línea de asunto"/>
    <w:basedOn w:val="Normal"/>
    <w:rsid w:val="00A16F9D"/>
    <w:rPr>
      <w:rFonts w:ascii="Times New Roman" w:hAnsi="Times New Roman"/>
      <w:sz w:val="20"/>
      <w:szCs w:val="20"/>
    </w:rPr>
  </w:style>
  <w:style w:type="paragraph" w:customStyle="1" w:styleId="Infodocumentosadjuntos">
    <w:name w:val="Info documentos adjuntos"/>
    <w:basedOn w:val="Normal"/>
    <w:rsid w:val="00A16F9D"/>
    <w:rPr>
      <w:rFonts w:ascii="Times New Roman" w:hAnsi="Times New Roman"/>
      <w:sz w:val="20"/>
      <w:szCs w:val="20"/>
    </w:rPr>
  </w:style>
  <w:style w:type="paragraph" w:customStyle="1" w:styleId="TextoindependienteExpandido08pto">
    <w:name w:val="Texto independiente + Expandido  0.8 pto"/>
    <w:aliases w:val="Interlineado:  Múltiple 1.1 lín."/>
    <w:basedOn w:val="Normal"/>
    <w:rsid w:val="00A16F9D"/>
    <w:pPr>
      <w:jc w:val="both"/>
    </w:pPr>
    <w:rPr>
      <w:rFonts w:ascii="Arial" w:hAnsi="Arial" w:cs="Arial"/>
      <w:spacing w:val="16"/>
      <w:lang w:val="es-MX"/>
    </w:rPr>
  </w:style>
  <w:style w:type="paragraph" w:styleId="Textoindependienteprimerasangra2">
    <w:name w:val="Body Text First Indent 2"/>
    <w:basedOn w:val="Sangradetextonormal"/>
    <w:link w:val="Textoindependienteprimerasangra2Car"/>
    <w:rsid w:val="00A16F9D"/>
    <w:pPr>
      <w:spacing w:after="120"/>
      <w:ind w:left="283" w:firstLine="210"/>
    </w:pPr>
    <w:rPr>
      <w:rFonts w:ascii="Times New Roman" w:hAnsi="Times New Roman"/>
    </w:rPr>
  </w:style>
  <w:style w:type="character" w:customStyle="1" w:styleId="Textoindependienteprimerasangra2Car">
    <w:name w:val="Texto independiente primera sangría 2 Car"/>
    <w:link w:val="Textoindependienteprimerasangra2"/>
    <w:rsid w:val="00A16F9D"/>
    <w:rPr>
      <w:rFonts w:ascii="Times New Roman" w:eastAsia="Times New Roman" w:hAnsi="Times New Roman" w:cs="Arial"/>
      <w:b/>
      <w:bCs/>
      <w:sz w:val="28"/>
      <w:lang w:val="es-MX"/>
    </w:rPr>
  </w:style>
  <w:style w:type="paragraph" w:styleId="Ttulo">
    <w:name w:val="Title"/>
    <w:basedOn w:val="Normal"/>
    <w:link w:val="TtuloCar"/>
    <w:qFormat/>
    <w:rsid w:val="00A16F9D"/>
    <w:pPr>
      <w:jc w:val="center"/>
    </w:pPr>
    <w:rPr>
      <w:rFonts w:ascii="Tahoma" w:hAnsi="Tahoma"/>
      <w:b/>
      <w:szCs w:val="20"/>
    </w:rPr>
  </w:style>
  <w:style w:type="character" w:customStyle="1" w:styleId="TtuloCar">
    <w:name w:val="Título Car"/>
    <w:link w:val="Ttulo"/>
    <w:rsid w:val="00A16F9D"/>
    <w:rPr>
      <w:rFonts w:ascii="Tahoma" w:eastAsia="Times New Roman" w:hAnsi="Tahoma"/>
      <w:b/>
      <w:sz w:val="24"/>
    </w:rPr>
  </w:style>
  <w:style w:type="paragraph" w:customStyle="1" w:styleId="Normal0">
    <w:name w:val="[Normal]"/>
    <w:rsid w:val="00A16F9D"/>
    <w:pPr>
      <w:autoSpaceDE w:val="0"/>
      <w:autoSpaceDN w:val="0"/>
      <w:adjustRightInd w:val="0"/>
    </w:pPr>
    <w:rPr>
      <w:rFonts w:ascii="Arial" w:eastAsia="Times New Roman" w:hAnsi="Arial" w:cs="Arial"/>
      <w:sz w:val="24"/>
      <w:szCs w:val="24"/>
      <w:lang w:val="es-MX" w:eastAsia="es-MX"/>
    </w:rPr>
  </w:style>
  <w:style w:type="paragraph" w:styleId="Lista2">
    <w:name w:val="List 2"/>
    <w:basedOn w:val="Normal"/>
    <w:rsid w:val="00A16F9D"/>
    <w:pPr>
      <w:ind w:left="566" w:hanging="283"/>
      <w:contextualSpacing/>
    </w:pPr>
    <w:rPr>
      <w:rFonts w:ascii="Times New Roman" w:hAnsi="Times New Roman"/>
      <w:sz w:val="20"/>
      <w:szCs w:val="20"/>
      <w:lang w:val="es-MX"/>
    </w:rPr>
  </w:style>
  <w:style w:type="paragraph" w:styleId="Listaconvietas">
    <w:name w:val="List Bullet"/>
    <w:basedOn w:val="Normal"/>
    <w:rsid w:val="00A16F9D"/>
    <w:pPr>
      <w:numPr>
        <w:numId w:val="2"/>
      </w:numPr>
      <w:contextualSpacing/>
    </w:pPr>
    <w:rPr>
      <w:rFonts w:ascii="Times New Roman" w:hAnsi="Times New Roman"/>
      <w:sz w:val="20"/>
      <w:szCs w:val="20"/>
      <w:lang w:val="es-MX"/>
    </w:rPr>
  </w:style>
  <w:style w:type="paragraph" w:styleId="Listaconvietas3">
    <w:name w:val="List Bullet 3"/>
    <w:basedOn w:val="Normal"/>
    <w:rsid w:val="00A16F9D"/>
    <w:pPr>
      <w:numPr>
        <w:numId w:val="3"/>
      </w:numPr>
      <w:contextualSpacing/>
    </w:pPr>
    <w:rPr>
      <w:rFonts w:ascii="Times New Roman" w:hAnsi="Times New Roman"/>
      <w:sz w:val="20"/>
      <w:szCs w:val="20"/>
      <w:lang w:val="es-MX"/>
    </w:rPr>
  </w:style>
  <w:style w:type="paragraph" w:styleId="Textoindependienteprimerasangra">
    <w:name w:val="Body Text First Indent"/>
    <w:basedOn w:val="Textoindependiente"/>
    <w:link w:val="TextoindependienteprimerasangraCar"/>
    <w:rsid w:val="00A16F9D"/>
    <w:pPr>
      <w:spacing w:line="240" w:lineRule="auto"/>
      <w:ind w:firstLine="360"/>
      <w:jc w:val="left"/>
    </w:pPr>
    <w:rPr>
      <w:rFonts w:ascii="Times New Roman" w:hAnsi="Times New Roman"/>
    </w:rPr>
  </w:style>
  <w:style w:type="character" w:customStyle="1" w:styleId="TextoindependienteprimerasangraCar">
    <w:name w:val="Texto independiente primera sangría Car"/>
    <w:link w:val="Textoindependienteprimerasangra"/>
    <w:rsid w:val="00A16F9D"/>
    <w:rPr>
      <w:rFonts w:ascii="Times New Roman" w:eastAsia="Times New Roman" w:hAnsi="Times New Roman" w:cs="Arial"/>
      <w:spacing w:val="20"/>
      <w:sz w:val="24"/>
      <w:lang w:val="es-MX"/>
    </w:rPr>
  </w:style>
  <w:style w:type="paragraph" w:styleId="Sinespaciado">
    <w:name w:val="No Spacing"/>
    <w:link w:val="SinespaciadoCar"/>
    <w:uiPriority w:val="1"/>
    <w:qFormat/>
    <w:rsid w:val="00A16F9D"/>
    <w:rPr>
      <w:rFonts w:ascii="Calibri" w:eastAsia="Times New Roman" w:hAnsi="Calibri"/>
      <w:sz w:val="22"/>
      <w:szCs w:val="22"/>
    </w:rPr>
  </w:style>
  <w:style w:type="character" w:customStyle="1" w:styleId="SinespaciadoCar">
    <w:name w:val="Sin espaciado Car"/>
    <w:basedOn w:val="Fuentedeprrafopredeter"/>
    <w:link w:val="Sinespaciado"/>
    <w:uiPriority w:val="1"/>
    <w:rsid w:val="007414EC"/>
    <w:rPr>
      <w:rFonts w:ascii="Calibri" w:eastAsia="Times New Roman" w:hAnsi="Calibri"/>
      <w:sz w:val="22"/>
      <w:szCs w:val="22"/>
    </w:rPr>
  </w:style>
  <w:style w:type="paragraph" w:customStyle="1" w:styleId="Textodenotaalfinal">
    <w:name w:val="Texto de nota al final"/>
    <w:basedOn w:val="Normal"/>
    <w:rsid w:val="00A16F9D"/>
    <w:pPr>
      <w:widowControl w:val="0"/>
    </w:pPr>
    <w:rPr>
      <w:rFonts w:ascii="Courier New" w:hAnsi="Courier New"/>
      <w:snapToGrid w:val="0"/>
      <w:szCs w:val="20"/>
    </w:rPr>
  </w:style>
  <w:style w:type="paragraph" w:customStyle="1" w:styleId="a">
    <w:name w:val="ñññ"/>
    <w:basedOn w:val="Default"/>
    <w:next w:val="Default"/>
    <w:uiPriority w:val="99"/>
    <w:rsid w:val="00A16F9D"/>
    <w:rPr>
      <w:rFonts w:eastAsia="Calibri"/>
      <w:color w:val="auto"/>
      <w:lang w:eastAsia="en-US"/>
    </w:rPr>
  </w:style>
  <w:style w:type="character" w:styleId="nfasisintenso">
    <w:name w:val="Intense Emphasis"/>
    <w:uiPriority w:val="21"/>
    <w:qFormat/>
    <w:rsid w:val="00A16F9D"/>
    <w:rPr>
      <w:b/>
      <w:bCs/>
      <w:i/>
      <w:iCs/>
      <w:color w:val="4F81BD"/>
    </w:rPr>
  </w:style>
  <w:style w:type="character" w:styleId="nfasis">
    <w:name w:val="Emphasis"/>
    <w:qFormat/>
    <w:rsid w:val="00A16F9D"/>
    <w:rPr>
      <w:i/>
      <w:iCs/>
    </w:rPr>
  </w:style>
  <w:style w:type="paragraph" w:styleId="Mapadeldocumento">
    <w:name w:val="Document Map"/>
    <w:basedOn w:val="Normal"/>
    <w:link w:val="MapadeldocumentoCar"/>
    <w:rsid w:val="00A16F9D"/>
    <w:rPr>
      <w:rFonts w:ascii="Tahoma" w:hAnsi="Tahoma"/>
      <w:sz w:val="16"/>
      <w:szCs w:val="16"/>
      <w:lang w:val="es-MX"/>
    </w:rPr>
  </w:style>
  <w:style w:type="character" w:customStyle="1" w:styleId="MapadeldocumentoCar">
    <w:name w:val="Mapa del documento Car"/>
    <w:link w:val="Mapadeldocumento"/>
    <w:rsid w:val="00A16F9D"/>
    <w:rPr>
      <w:rFonts w:ascii="Tahoma" w:eastAsia="Times New Roman" w:hAnsi="Tahoma" w:cs="Tahoma"/>
      <w:sz w:val="16"/>
      <w:szCs w:val="16"/>
      <w:lang w:val="es-MX"/>
    </w:rPr>
  </w:style>
  <w:style w:type="table" w:styleId="Tablaconcuadrcula">
    <w:name w:val="Table Grid"/>
    <w:basedOn w:val="Tablanormal"/>
    <w:uiPriority w:val="59"/>
    <w:rsid w:val="00B71BD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9F094D"/>
    <w:rPr>
      <w:b/>
      <w:bCs/>
    </w:rPr>
  </w:style>
  <w:style w:type="table" w:styleId="Sombreadomedio1-nfasis3">
    <w:name w:val="Medium Shading 1 Accent 3"/>
    <w:basedOn w:val="Tablanormal"/>
    <w:uiPriority w:val="63"/>
    <w:rsid w:val="00975920"/>
    <w:rPr>
      <w:rFonts w:asciiTheme="minorHAnsi" w:eastAsiaTheme="minorHAnsi" w:hAnsiTheme="minorHAnsi" w:cstheme="minorBidi"/>
      <w:sz w:val="22"/>
      <w:szCs w:val="22"/>
      <w:lang w:val="es-MX"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xl81">
    <w:name w:val="xl81"/>
    <w:basedOn w:val="Normal"/>
    <w:rsid w:val="003A69A4"/>
    <w:pPr>
      <w:pBdr>
        <w:top w:val="single" w:sz="8" w:space="0" w:color="F2F2F2"/>
        <w:left w:val="single" w:sz="8" w:space="0" w:color="F2F2F2"/>
        <w:right w:val="single" w:sz="8" w:space="0" w:color="F2F2F2"/>
      </w:pBdr>
      <w:shd w:val="clear" w:color="000000" w:fill="D8D8D8"/>
      <w:spacing w:before="100" w:beforeAutospacing="1" w:after="100" w:afterAutospacing="1"/>
      <w:jc w:val="center"/>
      <w:textAlignment w:val="center"/>
    </w:pPr>
    <w:rPr>
      <w:rFonts w:ascii="Calibri" w:hAnsi="Calibri"/>
      <w:b/>
      <w:bCs/>
      <w:sz w:val="16"/>
      <w:szCs w:val="16"/>
      <w:lang w:val="es-MX" w:eastAsia="es-MX"/>
    </w:rPr>
  </w:style>
  <w:style w:type="paragraph" w:customStyle="1" w:styleId="xl82">
    <w:name w:val="xl82"/>
    <w:basedOn w:val="Normal"/>
    <w:rsid w:val="003A69A4"/>
    <w:pPr>
      <w:pBdr>
        <w:top w:val="single" w:sz="8" w:space="0" w:color="F2F2F2"/>
        <w:right w:val="single" w:sz="8" w:space="0" w:color="F2F2F2"/>
      </w:pBdr>
      <w:spacing w:before="100" w:beforeAutospacing="1" w:after="100" w:afterAutospacing="1"/>
      <w:textAlignment w:val="center"/>
    </w:pPr>
    <w:rPr>
      <w:rFonts w:ascii="Calibri" w:hAnsi="Calibri"/>
      <w:sz w:val="16"/>
      <w:szCs w:val="16"/>
      <w:lang w:val="es-MX" w:eastAsia="es-MX"/>
    </w:rPr>
  </w:style>
  <w:style w:type="paragraph" w:customStyle="1" w:styleId="xl83">
    <w:name w:val="xl83"/>
    <w:basedOn w:val="Normal"/>
    <w:rsid w:val="003A69A4"/>
    <w:pPr>
      <w:pBdr>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84">
    <w:name w:val="xl84"/>
    <w:basedOn w:val="Normal"/>
    <w:rsid w:val="003A69A4"/>
    <w:pPr>
      <w:pBdr>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85">
    <w:name w:val="xl85"/>
    <w:basedOn w:val="Normal"/>
    <w:rsid w:val="003A69A4"/>
    <w:pPr>
      <w:pBdr>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86">
    <w:name w:val="xl86"/>
    <w:basedOn w:val="Normal"/>
    <w:rsid w:val="003A69A4"/>
    <w:pPr>
      <w:pBdr>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87">
    <w:name w:val="xl87"/>
    <w:basedOn w:val="Normal"/>
    <w:rsid w:val="003A69A4"/>
    <w:pPr>
      <w:pBdr>
        <w:bottom w:val="dotted" w:sz="4" w:space="0" w:color="969696"/>
      </w:pBdr>
      <w:spacing w:before="100" w:beforeAutospacing="1" w:after="100" w:afterAutospacing="1"/>
      <w:jc w:val="center"/>
      <w:textAlignment w:val="center"/>
    </w:pPr>
    <w:rPr>
      <w:rFonts w:ascii="Calibri" w:hAnsi="Calibri"/>
      <w:sz w:val="16"/>
      <w:szCs w:val="16"/>
      <w:lang w:val="es-MX" w:eastAsia="es-MX"/>
    </w:rPr>
  </w:style>
  <w:style w:type="paragraph" w:customStyle="1" w:styleId="xl88">
    <w:name w:val="xl88"/>
    <w:basedOn w:val="Normal"/>
    <w:rsid w:val="003A69A4"/>
    <w:pPr>
      <w:pBdr>
        <w:bottom w:val="dotted" w:sz="4" w:space="0" w:color="969696"/>
      </w:pBdr>
      <w:spacing w:before="100" w:beforeAutospacing="1" w:after="100" w:afterAutospacing="1"/>
      <w:jc w:val="center"/>
      <w:textAlignment w:val="center"/>
    </w:pPr>
    <w:rPr>
      <w:rFonts w:ascii="Calibri" w:hAnsi="Calibri"/>
      <w:sz w:val="16"/>
      <w:szCs w:val="16"/>
      <w:lang w:val="es-MX" w:eastAsia="es-MX"/>
    </w:rPr>
  </w:style>
  <w:style w:type="paragraph" w:customStyle="1" w:styleId="xl89">
    <w:name w:val="xl89"/>
    <w:basedOn w:val="Normal"/>
    <w:rsid w:val="003A69A4"/>
    <w:pPr>
      <w:pBdr>
        <w:top w:val="dotted" w:sz="4" w:space="0" w:color="969696"/>
        <w:bottom w:val="dotted" w:sz="4" w:space="0" w:color="969696"/>
      </w:pBdr>
      <w:spacing w:before="100" w:beforeAutospacing="1" w:after="100" w:afterAutospacing="1"/>
      <w:jc w:val="center"/>
      <w:textAlignment w:val="center"/>
    </w:pPr>
    <w:rPr>
      <w:rFonts w:ascii="Calibri" w:hAnsi="Calibri"/>
      <w:sz w:val="16"/>
      <w:szCs w:val="16"/>
      <w:lang w:val="es-MX" w:eastAsia="es-MX"/>
    </w:rPr>
  </w:style>
  <w:style w:type="paragraph" w:customStyle="1" w:styleId="xl90">
    <w:name w:val="xl90"/>
    <w:basedOn w:val="Normal"/>
    <w:rsid w:val="003A69A4"/>
    <w:pPr>
      <w:pBdr>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91">
    <w:name w:val="xl91"/>
    <w:basedOn w:val="Normal"/>
    <w:rsid w:val="003A69A4"/>
    <w:pPr>
      <w:pBdr>
        <w:top w:val="dotted" w:sz="4" w:space="0" w:color="969696"/>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92">
    <w:name w:val="xl92"/>
    <w:basedOn w:val="Normal"/>
    <w:rsid w:val="003A69A4"/>
    <w:pPr>
      <w:pBdr>
        <w:top w:val="dotted" w:sz="4" w:space="0" w:color="969696"/>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93">
    <w:name w:val="xl93"/>
    <w:basedOn w:val="Normal"/>
    <w:rsid w:val="003A69A4"/>
    <w:pPr>
      <w:pBdr>
        <w:top w:val="dotted" w:sz="4" w:space="0" w:color="969696"/>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94">
    <w:name w:val="xl94"/>
    <w:basedOn w:val="Normal"/>
    <w:rsid w:val="003A69A4"/>
    <w:pPr>
      <w:pBdr>
        <w:top w:val="dotted" w:sz="4" w:space="0" w:color="969696"/>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95">
    <w:name w:val="xl95"/>
    <w:basedOn w:val="Normal"/>
    <w:rsid w:val="003A69A4"/>
    <w:pPr>
      <w:pBdr>
        <w:top w:val="dotted" w:sz="4" w:space="0" w:color="969696"/>
        <w:bottom w:val="dotted" w:sz="4" w:space="0" w:color="969696"/>
      </w:pBdr>
      <w:spacing w:before="100" w:beforeAutospacing="1" w:after="100" w:afterAutospacing="1"/>
      <w:jc w:val="center"/>
      <w:textAlignment w:val="center"/>
    </w:pPr>
    <w:rPr>
      <w:rFonts w:ascii="Calibri" w:hAnsi="Calibri"/>
      <w:sz w:val="16"/>
      <w:szCs w:val="16"/>
      <w:lang w:val="es-MX" w:eastAsia="es-MX"/>
    </w:rPr>
  </w:style>
  <w:style w:type="paragraph" w:customStyle="1" w:styleId="xl96">
    <w:name w:val="xl96"/>
    <w:basedOn w:val="Normal"/>
    <w:rsid w:val="003A69A4"/>
    <w:pPr>
      <w:pBdr>
        <w:top w:val="dotted" w:sz="4" w:space="0" w:color="969696"/>
        <w:bottom w:val="dotted" w:sz="4" w:space="0" w:color="969696"/>
      </w:pBdr>
      <w:spacing w:before="100" w:beforeAutospacing="1" w:after="100" w:afterAutospacing="1"/>
      <w:jc w:val="center"/>
      <w:textAlignment w:val="center"/>
    </w:pPr>
    <w:rPr>
      <w:rFonts w:ascii="Calibri" w:hAnsi="Calibri"/>
      <w:sz w:val="16"/>
      <w:szCs w:val="16"/>
      <w:lang w:val="es-MX" w:eastAsia="es-MX"/>
    </w:rPr>
  </w:style>
  <w:style w:type="paragraph" w:customStyle="1" w:styleId="xl97">
    <w:name w:val="xl97"/>
    <w:basedOn w:val="Normal"/>
    <w:rsid w:val="003A69A4"/>
    <w:pPr>
      <w:pBdr>
        <w:top w:val="dotted" w:sz="4" w:space="0" w:color="969696"/>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98">
    <w:name w:val="xl98"/>
    <w:basedOn w:val="Normal"/>
    <w:rsid w:val="00A20B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99">
    <w:name w:val="xl99"/>
    <w:basedOn w:val="Normal"/>
    <w:rsid w:val="00A20B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0">
    <w:name w:val="xl100"/>
    <w:basedOn w:val="Normal"/>
    <w:rsid w:val="00A20B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1">
    <w:name w:val="xl101"/>
    <w:basedOn w:val="Normal"/>
    <w:rsid w:val="00A20B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2">
    <w:name w:val="xl102"/>
    <w:basedOn w:val="Normal"/>
    <w:rsid w:val="00A20B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3">
    <w:name w:val="xl103"/>
    <w:basedOn w:val="Normal"/>
    <w:rsid w:val="00A20B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4">
    <w:name w:val="xl104"/>
    <w:basedOn w:val="Normal"/>
    <w:rsid w:val="00A20B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5">
    <w:name w:val="xl105"/>
    <w:basedOn w:val="Normal"/>
    <w:rsid w:val="00A20B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6">
    <w:name w:val="xl106"/>
    <w:basedOn w:val="Normal"/>
    <w:rsid w:val="00A20B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7">
    <w:name w:val="xl107"/>
    <w:basedOn w:val="Normal"/>
    <w:rsid w:val="00A20B5F"/>
    <w:pPr>
      <w:pBdr>
        <w:top w:val="single" w:sz="4" w:space="0" w:color="auto"/>
        <w:left w:val="single" w:sz="4" w:space="0" w:color="auto"/>
        <w:bottom w:val="single" w:sz="4" w:space="0" w:color="auto"/>
      </w:pBdr>
      <w:shd w:val="clear" w:color="000000" w:fill="E7E5C3"/>
      <w:spacing w:before="100" w:beforeAutospacing="1" w:after="100" w:afterAutospacing="1"/>
      <w:textAlignment w:val="center"/>
    </w:pPr>
    <w:rPr>
      <w:rFonts w:ascii="Arial" w:hAnsi="Arial" w:cs="Arial"/>
      <w:b/>
      <w:bCs/>
      <w:sz w:val="12"/>
      <w:szCs w:val="12"/>
      <w:lang w:val="es-MX" w:eastAsia="es-MX"/>
    </w:rPr>
  </w:style>
  <w:style w:type="paragraph" w:customStyle="1" w:styleId="xl108">
    <w:name w:val="xl108"/>
    <w:basedOn w:val="Normal"/>
    <w:rsid w:val="00A20B5F"/>
    <w:pPr>
      <w:pBdr>
        <w:top w:val="single" w:sz="4" w:space="0" w:color="auto"/>
        <w:bottom w:val="single" w:sz="4" w:space="0" w:color="auto"/>
      </w:pBdr>
      <w:shd w:val="clear" w:color="000000" w:fill="E7E5C3"/>
      <w:spacing w:before="100" w:beforeAutospacing="1" w:after="100" w:afterAutospacing="1"/>
      <w:textAlignment w:val="center"/>
    </w:pPr>
    <w:rPr>
      <w:rFonts w:ascii="Arial" w:hAnsi="Arial" w:cs="Arial"/>
      <w:b/>
      <w:bCs/>
      <w:sz w:val="12"/>
      <w:szCs w:val="12"/>
      <w:lang w:val="es-MX" w:eastAsia="es-MX"/>
    </w:rPr>
  </w:style>
  <w:style w:type="paragraph" w:customStyle="1" w:styleId="xl109">
    <w:name w:val="xl109"/>
    <w:basedOn w:val="Normal"/>
    <w:rsid w:val="00A20B5F"/>
    <w:pPr>
      <w:pBdr>
        <w:top w:val="single" w:sz="4" w:space="0" w:color="auto"/>
        <w:bottom w:val="single" w:sz="4" w:space="0" w:color="auto"/>
        <w:right w:val="single" w:sz="4" w:space="0" w:color="auto"/>
      </w:pBdr>
      <w:shd w:val="clear" w:color="000000" w:fill="E7E5C3"/>
      <w:spacing w:before="100" w:beforeAutospacing="1" w:after="100" w:afterAutospacing="1"/>
      <w:textAlignment w:val="center"/>
    </w:pPr>
    <w:rPr>
      <w:rFonts w:ascii="Arial" w:hAnsi="Arial" w:cs="Arial"/>
      <w:b/>
      <w:bCs/>
      <w:sz w:val="12"/>
      <w:szCs w:val="12"/>
      <w:lang w:val="es-MX" w:eastAsia="es-MX"/>
    </w:rPr>
  </w:style>
  <w:style w:type="paragraph" w:customStyle="1" w:styleId="xl110">
    <w:name w:val="xl110"/>
    <w:basedOn w:val="Normal"/>
    <w:rsid w:val="00A20B5F"/>
    <w:pPr>
      <w:pBdr>
        <w:top w:val="single" w:sz="8" w:space="0" w:color="auto"/>
        <w:left w:val="single" w:sz="4" w:space="0" w:color="auto"/>
        <w:bottom w:val="single" w:sz="8" w:space="0" w:color="auto"/>
        <w:right w:val="single" w:sz="4" w:space="0" w:color="auto"/>
      </w:pBdr>
      <w:shd w:val="clear" w:color="000000" w:fill="C4C06A"/>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111">
    <w:name w:val="xl111"/>
    <w:basedOn w:val="Normal"/>
    <w:rsid w:val="00A20B5F"/>
    <w:pPr>
      <w:pBdr>
        <w:top w:val="single" w:sz="8" w:space="0" w:color="auto"/>
        <w:left w:val="single" w:sz="4" w:space="0" w:color="auto"/>
        <w:bottom w:val="single" w:sz="8" w:space="0" w:color="auto"/>
        <w:right w:val="single" w:sz="4" w:space="0" w:color="auto"/>
      </w:pBdr>
      <w:shd w:val="clear" w:color="000000" w:fill="C4C06A"/>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112">
    <w:name w:val="xl112"/>
    <w:basedOn w:val="Normal"/>
    <w:rsid w:val="00A20B5F"/>
    <w:pPr>
      <w:pBdr>
        <w:top w:val="single" w:sz="8" w:space="0" w:color="auto"/>
        <w:left w:val="single" w:sz="4" w:space="0" w:color="auto"/>
        <w:bottom w:val="single" w:sz="8" w:space="0" w:color="auto"/>
        <w:right w:val="single" w:sz="8" w:space="0" w:color="auto"/>
      </w:pBdr>
      <w:shd w:val="clear" w:color="000000" w:fill="C4C06A"/>
      <w:spacing w:before="100" w:beforeAutospacing="1" w:after="100" w:afterAutospacing="1"/>
      <w:jc w:val="center"/>
      <w:textAlignment w:val="center"/>
    </w:pPr>
    <w:rPr>
      <w:rFonts w:ascii="Arial" w:hAnsi="Arial" w:cs="Arial"/>
      <w:b/>
      <w:bCs/>
      <w:sz w:val="12"/>
      <w:szCs w:val="12"/>
      <w:lang w:val="es-MX" w:eastAsia="es-MX"/>
    </w:rPr>
  </w:style>
  <w:style w:type="paragraph" w:customStyle="1" w:styleId="Sinespaciado1">
    <w:name w:val="Sin espaciado1"/>
    <w:uiPriority w:val="1"/>
    <w:qFormat/>
    <w:rsid w:val="007414EC"/>
    <w:rPr>
      <w:rFonts w:ascii="Calibri" w:eastAsia="Times New Roman" w:hAnsi="Calibri"/>
      <w:sz w:val="22"/>
      <w:szCs w:val="22"/>
      <w:lang w:eastAsia="en-US"/>
    </w:rPr>
  </w:style>
  <w:style w:type="paragraph" w:customStyle="1" w:styleId="ANOTACION">
    <w:name w:val="ANOTACION"/>
    <w:basedOn w:val="Normal"/>
    <w:rsid w:val="007414EC"/>
    <w:pPr>
      <w:spacing w:before="101" w:after="101"/>
      <w:jc w:val="center"/>
    </w:pPr>
    <w:rPr>
      <w:rFonts w:ascii="Times New Roman" w:hAnsi="Times New Roman"/>
      <w:b/>
      <w:sz w:val="18"/>
      <w:szCs w:val="20"/>
    </w:rPr>
  </w:style>
  <w:style w:type="character" w:customStyle="1" w:styleId="st">
    <w:name w:val="st"/>
    <w:basedOn w:val="Fuentedeprrafopredeter"/>
    <w:rsid w:val="007414EC"/>
  </w:style>
  <w:style w:type="character" w:customStyle="1" w:styleId="unsafesenderemail">
    <w:name w:val="unsafesenderemail"/>
    <w:basedOn w:val="Fuentedeprrafopredeter"/>
    <w:rsid w:val="007414EC"/>
  </w:style>
  <w:style w:type="paragraph" w:customStyle="1" w:styleId="Encabezadodetabladecontenido1">
    <w:name w:val="Encabezado de tabla de contenido1"/>
    <w:basedOn w:val="Ttulo1"/>
    <w:next w:val="Normal"/>
    <w:uiPriority w:val="39"/>
    <w:unhideWhenUsed/>
    <w:qFormat/>
    <w:rsid w:val="007414EC"/>
    <w:pPr>
      <w:keepLines/>
      <w:spacing w:before="480" w:line="276" w:lineRule="auto"/>
      <w:jc w:val="left"/>
      <w:outlineLvl w:val="9"/>
    </w:pPr>
    <w:rPr>
      <w:rFonts w:ascii="Cambria" w:hAnsi="Cambria"/>
      <w:bCs/>
      <w:color w:val="365F91"/>
      <w:sz w:val="28"/>
      <w:szCs w:val="28"/>
      <w:lang w:eastAsia="en-US"/>
    </w:rPr>
  </w:style>
  <w:style w:type="paragraph" w:styleId="TDC1">
    <w:name w:val="toc 1"/>
    <w:basedOn w:val="Normal"/>
    <w:next w:val="Normal"/>
    <w:autoRedefine/>
    <w:uiPriority w:val="39"/>
    <w:unhideWhenUsed/>
    <w:rsid w:val="007414EC"/>
    <w:pPr>
      <w:spacing w:after="100"/>
      <w:jc w:val="both"/>
    </w:pPr>
    <w:rPr>
      <w:rFonts w:ascii="Arial" w:eastAsia="Calibri" w:hAnsi="Arial"/>
      <w:szCs w:val="22"/>
      <w:lang w:val="es-MX" w:eastAsia="en-US"/>
    </w:rPr>
  </w:style>
  <w:style w:type="paragraph" w:customStyle="1" w:styleId="Listavistosa-nfasis11">
    <w:name w:val="Lista vistosa - Énfasis 11"/>
    <w:basedOn w:val="Normal"/>
    <w:uiPriority w:val="34"/>
    <w:qFormat/>
    <w:rsid w:val="007414EC"/>
    <w:pPr>
      <w:spacing w:after="200"/>
      <w:ind w:left="720"/>
      <w:contextualSpacing/>
      <w:jc w:val="both"/>
    </w:pPr>
    <w:rPr>
      <w:rFonts w:ascii="Arial" w:eastAsia="Calibri" w:hAnsi="Arial"/>
      <w:szCs w:val="22"/>
      <w:lang w:val="es-MX" w:eastAsia="en-US"/>
    </w:rPr>
  </w:style>
  <w:style w:type="character" w:customStyle="1" w:styleId="TextocomentarioCar">
    <w:name w:val="Texto comentario Car"/>
    <w:basedOn w:val="Fuentedeprrafopredeter"/>
    <w:link w:val="Textocomentario"/>
    <w:uiPriority w:val="99"/>
    <w:semiHidden/>
    <w:rsid w:val="007414EC"/>
    <w:rPr>
      <w:rFonts w:ascii="Arial" w:eastAsia="Calibri" w:hAnsi="Arial"/>
      <w:lang w:val="es-MX" w:eastAsia="en-US"/>
    </w:rPr>
  </w:style>
  <w:style w:type="paragraph" w:styleId="Textocomentario">
    <w:name w:val="annotation text"/>
    <w:basedOn w:val="Normal"/>
    <w:link w:val="TextocomentarioCar"/>
    <w:uiPriority w:val="99"/>
    <w:semiHidden/>
    <w:unhideWhenUsed/>
    <w:rsid w:val="007414EC"/>
    <w:pPr>
      <w:spacing w:after="200"/>
      <w:jc w:val="both"/>
    </w:pPr>
    <w:rPr>
      <w:rFonts w:ascii="Arial" w:eastAsia="Calibri" w:hAnsi="Arial"/>
      <w:sz w:val="20"/>
      <w:szCs w:val="20"/>
      <w:lang w:val="es-MX" w:eastAsia="en-US"/>
    </w:rPr>
  </w:style>
  <w:style w:type="character" w:customStyle="1" w:styleId="TextocomentarioCar1">
    <w:name w:val="Texto comentario Car1"/>
    <w:basedOn w:val="Fuentedeprrafopredeter"/>
    <w:link w:val="Textocomentario"/>
    <w:uiPriority w:val="99"/>
    <w:semiHidden/>
    <w:rsid w:val="007414EC"/>
    <w:rPr>
      <w:rFonts w:ascii="Helvetica" w:eastAsia="Times New Roman" w:hAnsi="Helvetica"/>
    </w:rPr>
  </w:style>
  <w:style w:type="character" w:customStyle="1" w:styleId="AsuntodelcomentarioCar">
    <w:name w:val="Asunto del comentario Car"/>
    <w:basedOn w:val="TextocomentarioCar"/>
    <w:link w:val="Asuntodelcomentario"/>
    <w:uiPriority w:val="99"/>
    <w:semiHidden/>
    <w:rsid w:val="007414EC"/>
    <w:rPr>
      <w:b/>
      <w:bCs/>
    </w:rPr>
  </w:style>
  <w:style w:type="paragraph" w:styleId="Asuntodelcomentario">
    <w:name w:val="annotation subject"/>
    <w:basedOn w:val="Textocomentario"/>
    <w:next w:val="Textocomentario"/>
    <w:link w:val="AsuntodelcomentarioCar"/>
    <w:uiPriority w:val="99"/>
    <w:semiHidden/>
    <w:unhideWhenUsed/>
    <w:rsid w:val="007414EC"/>
    <w:rPr>
      <w:b/>
      <w:bCs/>
    </w:rPr>
  </w:style>
  <w:style w:type="character" w:customStyle="1" w:styleId="AsuntodelcomentarioCar1">
    <w:name w:val="Asunto del comentario Car1"/>
    <w:basedOn w:val="TextocomentarioCar1"/>
    <w:link w:val="Asuntodelcomentario"/>
    <w:uiPriority w:val="99"/>
    <w:semiHidden/>
    <w:rsid w:val="007414EC"/>
    <w:rPr>
      <w:b/>
      <w:bCs/>
    </w:rPr>
  </w:style>
  <w:style w:type="paragraph" w:styleId="TtulodeTDC">
    <w:name w:val="TOC Heading"/>
    <w:basedOn w:val="Ttulo1"/>
    <w:next w:val="Normal"/>
    <w:uiPriority w:val="39"/>
    <w:unhideWhenUsed/>
    <w:qFormat/>
    <w:rsid w:val="007414E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en-US"/>
    </w:rPr>
  </w:style>
  <w:style w:type="paragraph" w:styleId="TDC2">
    <w:name w:val="toc 2"/>
    <w:basedOn w:val="Normal"/>
    <w:next w:val="Normal"/>
    <w:autoRedefine/>
    <w:uiPriority w:val="39"/>
    <w:unhideWhenUsed/>
    <w:rsid w:val="007414EC"/>
    <w:pPr>
      <w:spacing w:after="100"/>
      <w:ind w:left="240"/>
      <w:jc w:val="both"/>
    </w:pPr>
    <w:rPr>
      <w:rFonts w:ascii="Arial" w:eastAsia="Calibri" w:hAnsi="Arial"/>
      <w:szCs w:val="22"/>
      <w:lang w:val="es-MX" w:eastAsia="en-US"/>
    </w:rPr>
  </w:style>
  <w:style w:type="paragraph" w:customStyle="1" w:styleId="cuerpodetexto">
    <w:name w:val="cuerpo de texto"/>
    <w:basedOn w:val="Normal"/>
    <w:uiPriority w:val="99"/>
    <w:rsid w:val="007414EC"/>
    <w:pPr>
      <w:widowControl w:val="0"/>
      <w:autoSpaceDE w:val="0"/>
      <w:autoSpaceDN w:val="0"/>
      <w:adjustRightInd w:val="0"/>
      <w:spacing w:line="294" w:lineRule="atLeast"/>
      <w:ind w:firstLine="567"/>
      <w:jc w:val="both"/>
      <w:textAlignment w:val="center"/>
    </w:pPr>
    <w:rPr>
      <w:rFonts w:ascii="FranklinGothic-Book" w:eastAsiaTheme="minorEastAsia" w:hAnsi="FranklinGothic-Book" w:cs="FranklinGothic-Book"/>
      <w:color w:val="000000"/>
      <w:lang w:val="es-ES_tradnl"/>
    </w:rPr>
  </w:style>
  <w:style w:type="paragraph" w:customStyle="1" w:styleId="ENLISTADO">
    <w:name w:val="ENLISTADO"/>
    <w:basedOn w:val="Normal"/>
    <w:uiPriority w:val="99"/>
    <w:rsid w:val="007414EC"/>
    <w:pPr>
      <w:widowControl w:val="0"/>
      <w:suppressAutoHyphens/>
      <w:autoSpaceDE w:val="0"/>
      <w:autoSpaceDN w:val="0"/>
      <w:adjustRightInd w:val="0"/>
      <w:spacing w:line="294" w:lineRule="atLeast"/>
      <w:ind w:left="1100" w:hanging="320"/>
      <w:jc w:val="both"/>
      <w:textAlignment w:val="center"/>
    </w:pPr>
    <w:rPr>
      <w:rFonts w:ascii="FranklinGothic-Book" w:eastAsiaTheme="minorEastAsia" w:hAnsi="FranklinGothic-Book" w:cs="FranklinGothic-Book"/>
      <w:color w:val="000000"/>
      <w:lang w:val="es-ES_tradnl"/>
    </w:rPr>
  </w:style>
  <w:style w:type="character" w:customStyle="1" w:styleId="negritas">
    <w:name w:val="negritas"/>
    <w:uiPriority w:val="99"/>
    <w:rsid w:val="007414EC"/>
    <w:rPr>
      <w:rFonts w:ascii="FranklinGothic-Medium" w:hAnsi="FranklinGothic-Medium" w:cs="FranklinGothic-Medium"/>
      <w:color w:val="000000"/>
      <w:spacing w:val="0"/>
      <w:sz w:val="24"/>
      <w:szCs w:val="24"/>
    </w:rPr>
  </w:style>
  <w:style w:type="character" w:customStyle="1" w:styleId="fccc">
    <w:name w:val="fccc"/>
    <w:uiPriority w:val="99"/>
    <w:rsid w:val="007414EC"/>
  </w:style>
  <w:style w:type="paragraph" w:customStyle="1" w:styleId="Prrafobsico">
    <w:name w:val="[Párrafo básico]"/>
    <w:basedOn w:val="Normal"/>
    <w:uiPriority w:val="99"/>
    <w:rsid w:val="007414EC"/>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rPr>
  </w:style>
  <w:style w:type="character" w:customStyle="1" w:styleId="Subtitular1">
    <w:name w:val="Subtitular 1"/>
    <w:uiPriority w:val="99"/>
    <w:rsid w:val="007414EC"/>
    <w:rPr>
      <w:rFonts w:ascii="FranklinGothic-Demi" w:hAnsi="FranklinGothic-Demi" w:cs="FranklinGothic-Demi"/>
      <w:caps/>
      <w:color w:val="9F0014"/>
      <w:sz w:val="34"/>
      <w:szCs w:val="34"/>
    </w:rPr>
  </w:style>
  <w:style w:type="character" w:customStyle="1" w:styleId="sub2">
    <w:name w:val="sub2"/>
    <w:basedOn w:val="Subtitular1"/>
    <w:uiPriority w:val="99"/>
    <w:rsid w:val="007414EC"/>
    <w:rPr>
      <w:sz w:val="28"/>
      <w:szCs w:val="28"/>
    </w:rPr>
  </w:style>
  <w:style w:type="paragraph" w:customStyle="1" w:styleId="xl118">
    <w:name w:val="xl118"/>
    <w:basedOn w:val="Normal"/>
    <w:rsid w:val="007414EC"/>
    <w:pPr>
      <w:spacing w:before="100" w:beforeAutospacing="1" w:after="100" w:afterAutospacing="1"/>
      <w:jc w:val="center"/>
    </w:pPr>
    <w:rPr>
      <w:rFonts w:ascii="Arial" w:hAnsi="Arial" w:cs="Arial"/>
      <w:b/>
      <w:bCs/>
      <w:sz w:val="18"/>
      <w:szCs w:val="18"/>
      <w:lang w:val="es-MX" w:eastAsia="es-MX"/>
    </w:rPr>
  </w:style>
  <w:style w:type="paragraph" w:customStyle="1" w:styleId="xl119">
    <w:name w:val="xl119"/>
    <w:basedOn w:val="Normal"/>
    <w:rsid w:val="007414EC"/>
    <w:pPr>
      <w:spacing w:before="100" w:beforeAutospacing="1" w:after="100" w:afterAutospacing="1"/>
    </w:pPr>
    <w:rPr>
      <w:rFonts w:ascii="Arial" w:hAnsi="Arial" w:cs="Arial"/>
      <w:sz w:val="20"/>
      <w:szCs w:val="20"/>
      <w:lang w:val="es-MX" w:eastAsia="es-MX"/>
    </w:rPr>
  </w:style>
  <w:style w:type="paragraph" w:customStyle="1" w:styleId="xl120">
    <w:name w:val="xl120"/>
    <w:basedOn w:val="Normal"/>
    <w:rsid w:val="007414EC"/>
    <w:pPr>
      <w:spacing w:before="100" w:beforeAutospacing="1" w:after="100" w:afterAutospacing="1"/>
      <w:jc w:val="center"/>
    </w:pPr>
    <w:rPr>
      <w:rFonts w:ascii="Arial" w:hAnsi="Arial" w:cs="Arial"/>
      <w:sz w:val="18"/>
      <w:szCs w:val="18"/>
      <w:lang w:val="es-MX" w:eastAsia="es-MX"/>
    </w:rPr>
  </w:style>
  <w:style w:type="paragraph" w:customStyle="1" w:styleId="xl121">
    <w:name w:val="xl121"/>
    <w:basedOn w:val="Normal"/>
    <w:rsid w:val="007414EC"/>
    <w:pPr>
      <w:spacing w:before="100" w:beforeAutospacing="1" w:after="100" w:afterAutospacing="1"/>
      <w:jc w:val="center"/>
    </w:pPr>
    <w:rPr>
      <w:rFonts w:ascii="Times New Roman" w:hAnsi="Times New Roman"/>
      <w:sz w:val="20"/>
      <w:szCs w:val="20"/>
      <w:lang w:val="es-MX" w:eastAsia="es-MX"/>
    </w:rPr>
  </w:style>
  <w:style w:type="paragraph" w:customStyle="1" w:styleId="xl122">
    <w:name w:val="xl122"/>
    <w:basedOn w:val="Normal"/>
    <w:rsid w:val="007414EC"/>
    <w:pPr>
      <w:pBdr>
        <w:top w:val="single" w:sz="4" w:space="0" w:color="auto"/>
        <w:lef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23">
    <w:name w:val="xl123"/>
    <w:basedOn w:val="Normal"/>
    <w:rsid w:val="007414EC"/>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24">
    <w:name w:val="xl124"/>
    <w:basedOn w:val="Normal"/>
    <w:rsid w:val="007414EC"/>
    <w:pPr>
      <w:pBdr>
        <w:top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25">
    <w:name w:val="xl125"/>
    <w:basedOn w:val="Normal"/>
    <w:rsid w:val="007414EC"/>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u w:val="single"/>
      <w:lang w:val="es-MX" w:eastAsia="es-MX"/>
    </w:rPr>
  </w:style>
  <w:style w:type="paragraph" w:customStyle="1" w:styleId="xl126">
    <w:name w:val="xl126"/>
    <w:basedOn w:val="Normal"/>
    <w:rsid w:val="007414EC"/>
    <w:pPr>
      <w:pBdr>
        <w:top w:val="single" w:sz="4" w:space="0" w:color="auto"/>
        <w:right w:val="single" w:sz="4" w:space="0" w:color="auto"/>
      </w:pBdr>
      <w:spacing w:before="100" w:beforeAutospacing="1" w:after="100" w:afterAutospacing="1"/>
      <w:jc w:val="right"/>
    </w:pPr>
    <w:rPr>
      <w:rFonts w:ascii="Arial" w:hAnsi="Arial" w:cs="Arial"/>
      <w:b/>
      <w:bCs/>
      <w:sz w:val="16"/>
      <w:szCs w:val="16"/>
      <w:u w:val="single"/>
      <w:lang w:val="es-MX" w:eastAsia="es-MX"/>
    </w:rPr>
  </w:style>
  <w:style w:type="paragraph" w:customStyle="1" w:styleId="xl127">
    <w:name w:val="xl127"/>
    <w:basedOn w:val="Normal"/>
    <w:rsid w:val="007414EC"/>
    <w:pPr>
      <w:pBdr>
        <w:top w:val="single" w:sz="4" w:space="0" w:color="auto"/>
        <w:right w:val="single" w:sz="4" w:space="0" w:color="auto"/>
      </w:pBdr>
      <w:spacing w:before="100" w:beforeAutospacing="1" w:after="100" w:afterAutospacing="1"/>
      <w:jc w:val="right"/>
    </w:pPr>
    <w:rPr>
      <w:rFonts w:ascii="Arial" w:hAnsi="Arial" w:cs="Arial"/>
      <w:b/>
      <w:bCs/>
      <w:sz w:val="16"/>
      <w:szCs w:val="16"/>
      <w:u w:val="single"/>
      <w:lang w:val="es-MX" w:eastAsia="es-MX"/>
    </w:rPr>
  </w:style>
  <w:style w:type="paragraph" w:customStyle="1" w:styleId="xl128">
    <w:name w:val="xl128"/>
    <w:basedOn w:val="Normal"/>
    <w:rsid w:val="007414EC"/>
    <w:pPr>
      <w:pBdr>
        <w:left w:val="single" w:sz="4" w:space="0" w:color="auto"/>
        <w:right w:val="single" w:sz="4" w:space="0" w:color="auto"/>
      </w:pBdr>
      <w:spacing w:before="100" w:beforeAutospacing="1" w:after="100" w:afterAutospacing="1"/>
    </w:pPr>
    <w:rPr>
      <w:rFonts w:ascii="Arial" w:hAnsi="Arial" w:cs="Arial"/>
      <w:b/>
      <w:bCs/>
      <w:sz w:val="16"/>
      <w:szCs w:val="16"/>
      <w:u w:val="single"/>
      <w:lang w:val="es-MX" w:eastAsia="es-MX"/>
    </w:rPr>
  </w:style>
  <w:style w:type="paragraph" w:customStyle="1" w:styleId="xl129">
    <w:name w:val="xl129"/>
    <w:basedOn w:val="Normal"/>
    <w:rsid w:val="007414EC"/>
    <w:pPr>
      <w:pBdr>
        <w:right w:val="single" w:sz="4" w:space="0" w:color="auto"/>
      </w:pBdr>
      <w:spacing w:before="100" w:beforeAutospacing="1" w:after="100" w:afterAutospacing="1"/>
      <w:jc w:val="right"/>
    </w:pPr>
    <w:rPr>
      <w:rFonts w:ascii="Arial" w:hAnsi="Arial" w:cs="Arial"/>
      <w:b/>
      <w:bCs/>
      <w:sz w:val="16"/>
      <w:szCs w:val="16"/>
      <w:u w:val="single"/>
      <w:lang w:val="es-MX" w:eastAsia="es-MX"/>
    </w:rPr>
  </w:style>
  <w:style w:type="paragraph" w:customStyle="1" w:styleId="xl130">
    <w:name w:val="xl130"/>
    <w:basedOn w:val="Normal"/>
    <w:rsid w:val="007414EC"/>
    <w:pPr>
      <w:pBdr>
        <w:right w:val="single" w:sz="4" w:space="0" w:color="auto"/>
      </w:pBdr>
      <w:spacing w:before="100" w:beforeAutospacing="1" w:after="100" w:afterAutospacing="1"/>
      <w:jc w:val="right"/>
    </w:pPr>
    <w:rPr>
      <w:rFonts w:ascii="Arial" w:hAnsi="Arial" w:cs="Arial"/>
      <w:b/>
      <w:bCs/>
      <w:sz w:val="16"/>
      <w:szCs w:val="16"/>
      <w:lang w:val="es-MX" w:eastAsia="es-MX"/>
    </w:rPr>
  </w:style>
  <w:style w:type="paragraph" w:customStyle="1" w:styleId="xl131">
    <w:name w:val="xl131"/>
    <w:basedOn w:val="Normal"/>
    <w:rsid w:val="007414EC"/>
    <w:pPr>
      <w:pBdr>
        <w:left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2">
    <w:name w:val="xl132"/>
    <w:basedOn w:val="Normal"/>
    <w:rsid w:val="007414EC"/>
    <w:pPr>
      <w:pBdr>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3">
    <w:name w:val="xl133"/>
    <w:basedOn w:val="Normal"/>
    <w:rsid w:val="007414EC"/>
    <w:pPr>
      <w:pBdr>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4">
    <w:name w:val="xl134"/>
    <w:basedOn w:val="Normal"/>
    <w:rsid w:val="007414EC"/>
    <w:pPr>
      <w:spacing w:before="100" w:beforeAutospacing="1" w:after="100" w:afterAutospacing="1"/>
      <w:textAlignment w:val="top"/>
    </w:pPr>
    <w:rPr>
      <w:rFonts w:ascii="Arial" w:hAnsi="Arial" w:cs="Arial"/>
      <w:sz w:val="20"/>
      <w:szCs w:val="20"/>
      <w:lang w:val="es-MX" w:eastAsia="es-MX"/>
    </w:rPr>
  </w:style>
  <w:style w:type="paragraph" w:customStyle="1" w:styleId="xl135">
    <w:name w:val="xl135"/>
    <w:basedOn w:val="Normal"/>
    <w:rsid w:val="007414EC"/>
    <w:pPr>
      <w:pBdr>
        <w:left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6">
    <w:name w:val="xl136"/>
    <w:basedOn w:val="Normal"/>
    <w:rsid w:val="007414EC"/>
    <w:pPr>
      <w:pBdr>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7">
    <w:name w:val="xl137"/>
    <w:basedOn w:val="Normal"/>
    <w:rsid w:val="007414EC"/>
    <w:pPr>
      <w:pBdr>
        <w:lef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8">
    <w:name w:val="xl138"/>
    <w:basedOn w:val="Normal"/>
    <w:rsid w:val="007414EC"/>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9">
    <w:name w:val="xl139"/>
    <w:basedOn w:val="Normal"/>
    <w:rsid w:val="007414EC"/>
    <w:pPr>
      <w:pBdr>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40">
    <w:name w:val="xl140"/>
    <w:basedOn w:val="Normal"/>
    <w:rsid w:val="007414EC"/>
    <w:pPr>
      <w:pBdr>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ROMANOS">
    <w:name w:val="ROMANOS"/>
    <w:basedOn w:val="Normal"/>
    <w:rsid w:val="007414EC"/>
    <w:pPr>
      <w:tabs>
        <w:tab w:val="left" w:pos="720"/>
      </w:tabs>
      <w:spacing w:after="101" w:line="216" w:lineRule="exact"/>
      <w:ind w:left="720" w:hanging="432"/>
      <w:jc w:val="both"/>
    </w:pPr>
    <w:rPr>
      <w:rFonts w:ascii="Arial" w:hAnsi="Arial" w:cs="Arial"/>
      <w:sz w:val="18"/>
      <w:szCs w:val="18"/>
      <w:lang w:val="es-MX" w:eastAsia="es-MX"/>
    </w:rPr>
  </w:style>
  <w:style w:type="paragraph" w:customStyle="1" w:styleId="INCISO">
    <w:name w:val="INCISO"/>
    <w:basedOn w:val="Normal"/>
    <w:rsid w:val="007414EC"/>
    <w:pPr>
      <w:tabs>
        <w:tab w:val="left" w:pos="1080"/>
      </w:tabs>
      <w:spacing w:after="101" w:line="216" w:lineRule="exact"/>
      <w:ind w:left="1080" w:hanging="360"/>
      <w:jc w:val="both"/>
    </w:pPr>
    <w:rPr>
      <w:rFonts w:ascii="Arial" w:hAnsi="Arial" w:cs="Arial"/>
      <w:sz w:val="18"/>
      <w:szCs w:val="18"/>
      <w:lang w:val="es-MX" w:eastAsia="es-MX"/>
    </w:rPr>
  </w:style>
  <w:style w:type="paragraph" w:customStyle="1" w:styleId="SUPTITULOSJAVIER">
    <w:name w:val="SUPTITULOS JAVIER"/>
    <w:basedOn w:val="Normal"/>
    <w:link w:val="SUPTITULOSJAVIERCar"/>
    <w:qFormat/>
    <w:rsid w:val="000D513F"/>
    <w:pPr>
      <w:spacing w:after="200" w:line="22" w:lineRule="atLeast"/>
      <w:contextualSpacing/>
      <w:jc w:val="both"/>
    </w:pPr>
    <w:rPr>
      <w:rFonts w:ascii="Arial" w:hAnsi="Arial" w:cs="Arial"/>
      <w:b/>
      <w:spacing w:val="20"/>
    </w:rPr>
  </w:style>
  <w:style w:type="character" w:customStyle="1" w:styleId="SUPTITULOSJAVIERCar">
    <w:name w:val="SUPTITULOS JAVIER Car"/>
    <w:basedOn w:val="Fuentedeprrafopredeter"/>
    <w:link w:val="SUPTITULOSJAVIER"/>
    <w:rsid w:val="000D513F"/>
    <w:rPr>
      <w:rFonts w:ascii="Arial" w:eastAsia="Times New Roman" w:hAnsi="Arial" w:cs="Arial"/>
      <w:b/>
      <w:spacing w:val="20"/>
      <w:sz w:val="24"/>
      <w:szCs w:val="24"/>
    </w:rPr>
  </w:style>
  <w:style w:type="paragraph" w:customStyle="1" w:styleId="TEXTOJAVIER">
    <w:name w:val="TEXTO JAVIER"/>
    <w:basedOn w:val="Normal"/>
    <w:link w:val="TEXTOJAVIERCar"/>
    <w:qFormat/>
    <w:rsid w:val="000D513F"/>
    <w:pPr>
      <w:spacing w:line="360" w:lineRule="auto"/>
      <w:jc w:val="both"/>
    </w:pPr>
    <w:rPr>
      <w:rFonts w:ascii="Arial" w:hAnsi="Arial" w:cs="Arial"/>
      <w:bCs/>
      <w:sz w:val="22"/>
      <w:szCs w:val="22"/>
    </w:rPr>
  </w:style>
  <w:style w:type="character" w:customStyle="1" w:styleId="TEXTOJAVIERCar">
    <w:name w:val="TEXTO JAVIER Car"/>
    <w:basedOn w:val="Fuentedeprrafopredeter"/>
    <w:link w:val="TEXTOJAVIER"/>
    <w:rsid w:val="000D513F"/>
    <w:rPr>
      <w:rFonts w:ascii="Arial" w:eastAsia="Times New Roman" w:hAnsi="Arial" w:cs="Arial"/>
      <w:bCs/>
      <w:sz w:val="22"/>
      <w:szCs w:val="22"/>
    </w:rPr>
  </w:style>
</w:styles>
</file>

<file path=word/webSettings.xml><?xml version="1.0" encoding="utf-8"?>
<w:webSettings xmlns:r="http://schemas.openxmlformats.org/officeDocument/2006/relationships" xmlns:w="http://schemas.openxmlformats.org/wordprocessingml/2006/main">
  <w:divs>
    <w:div w:id="7027022">
      <w:bodyDiv w:val="1"/>
      <w:marLeft w:val="0"/>
      <w:marRight w:val="0"/>
      <w:marTop w:val="0"/>
      <w:marBottom w:val="0"/>
      <w:divBdr>
        <w:top w:val="none" w:sz="0" w:space="0" w:color="auto"/>
        <w:left w:val="none" w:sz="0" w:space="0" w:color="auto"/>
        <w:bottom w:val="none" w:sz="0" w:space="0" w:color="auto"/>
        <w:right w:val="none" w:sz="0" w:space="0" w:color="auto"/>
      </w:divBdr>
    </w:div>
    <w:div w:id="16927926">
      <w:bodyDiv w:val="1"/>
      <w:marLeft w:val="0"/>
      <w:marRight w:val="0"/>
      <w:marTop w:val="0"/>
      <w:marBottom w:val="0"/>
      <w:divBdr>
        <w:top w:val="none" w:sz="0" w:space="0" w:color="auto"/>
        <w:left w:val="none" w:sz="0" w:space="0" w:color="auto"/>
        <w:bottom w:val="none" w:sz="0" w:space="0" w:color="auto"/>
        <w:right w:val="none" w:sz="0" w:space="0" w:color="auto"/>
      </w:divBdr>
    </w:div>
    <w:div w:id="56707523">
      <w:bodyDiv w:val="1"/>
      <w:marLeft w:val="0"/>
      <w:marRight w:val="0"/>
      <w:marTop w:val="0"/>
      <w:marBottom w:val="0"/>
      <w:divBdr>
        <w:top w:val="none" w:sz="0" w:space="0" w:color="auto"/>
        <w:left w:val="none" w:sz="0" w:space="0" w:color="auto"/>
        <w:bottom w:val="none" w:sz="0" w:space="0" w:color="auto"/>
        <w:right w:val="none" w:sz="0" w:space="0" w:color="auto"/>
      </w:divBdr>
    </w:div>
    <w:div w:id="57751296">
      <w:bodyDiv w:val="1"/>
      <w:marLeft w:val="0"/>
      <w:marRight w:val="0"/>
      <w:marTop w:val="0"/>
      <w:marBottom w:val="0"/>
      <w:divBdr>
        <w:top w:val="none" w:sz="0" w:space="0" w:color="auto"/>
        <w:left w:val="none" w:sz="0" w:space="0" w:color="auto"/>
        <w:bottom w:val="none" w:sz="0" w:space="0" w:color="auto"/>
        <w:right w:val="none" w:sz="0" w:space="0" w:color="auto"/>
      </w:divBdr>
    </w:div>
    <w:div w:id="71241346">
      <w:bodyDiv w:val="1"/>
      <w:marLeft w:val="0"/>
      <w:marRight w:val="0"/>
      <w:marTop w:val="0"/>
      <w:marBottom w:val="0"/>
      <w:divBdr>
        <w:top w:val="none" w:sz="0" w:space="0" w:color="auto"/>
        <w:left w:val="none" w:sz="0" w:space="0" w:color="auto"/>
        <w:bottom w:val="none" w:sz="0" w:space="0" w:color="auto"/>
        <w:right w:val="none" w:sz="0" w:space="0" w:color="auto"/>
      </w:divBdr>
    </w:div>
    <w:div w:id="89088024">
      <w:bodyDiv w:val="1"/>
      <w:marLeft w:val="0"/>
      <w:marRight w:val="0"/>
      <w:marTop w:val="0"/>
      <w:marBottom w:val="0"/>
      <w:divBdr>
        <w:top w:val="none" w:sz="0" w:space="0" w:color="auto"/>
        <w:left w:val="none" w:sz="0" w:space="0" w:color="auto"/>
        <w:bottom w:val="none" w:sz="0" w:space="0" w:color="auto"/>
        <w:right w:val="none" w:sz="0" w:space="0" w:color="auto"/>
      </w:divBdr>
    </w:div>
    <w:div w:id="91781919">
      <w:bodyDiv w:val="1"/>
      <w:marLeft w:val="0"/>
      <w:marRight w:val="0"/>
      <w:marTop w:val="0"/>
      <w:marBottom w:val="0"/>
      <w:divBdr>
        <w:top w:val="none" w:sz="0" w:space="0" w:color="auto"/>
        <w:left w:val="none" w:sz="0" w:space="0" w:color="auto"/>
        <w:bottom w:val="none" w:sz="0" w:space="0" w:color="auto"/>
        <w:right w:val="none" w:sz="0" w:space="0" w:color="auto"/>
      </w:divBdr>
    </w:div>
    <w:div w:id="98765464">
      <w:bodyDiv w:val="1"/>
      <w:marLeft w:val="0"/>
      <w:marRight w:val="0"/>
      <w:marTop w:val="0"/>
      <w:marBottom w:val="0"/>
      <w:divBdr>
        <w:top w:val="none" w:sz="0" w:space="0" w:color="auto"/>
        <w:left w:val="none" w:sz="0" w:space="0" w:color="auto"/>
        <w:bottom w:val="none" w:sz="0" w:space="0" w:color="auto"/>
        <w:right w:val="none" w:sz="0" w:space="0" w:color="auto"/>
      </w:divBdr>
    </w:div>
    <w:div w:id="123890802">
      <w:bodyDiv w:val="1"/>
      <w:marLeft w:val="0"/>
      <w:marRight w:val="0"/>
      <w:marTop w:val="0"/>
      <w:marBottom w:val="0"/>
      <w:divBdr>
        <w:top w:val="none" w:sz="0" w:space="0" w:color="auto"/>
        <w:left w:val="none" w:sz="0" w:space="0" w:color="auto"/>
        <w:bottom w:val="none" w:sz="0" w:space="0" w:color="auto"/>
        <w:right w:val="none" w:sz="0" w:space="0" w:color="auto"/>
      </w:divBdr>
    </w:div>
    <w:div w:id="140584081">
      <w:bodyDiv w:val="1"/>
      <w:marLeft w:val="0"/>
      <w:marRight w:val="0"/>
      <w:marTop w:val="0"/>
      <w:marBottom w:val="0"/>
      <w:divBdr>
        <w:top w:val="none" w:sz="0" w:space="0" w:color="auto"/>
        <w:left w:val="none" w:sz="0" w:space="0" w:color="auto"/>
        <w:bottom w:val="none" w:sz="0" w:space="0" w:color="auto"/>
        <w:right w:val="none" w:sz="0" w:space="0" w:color="auto"/>
      </w:divBdr>
    </w:div>
    <w:div w:id="144784687">
      <w:bodyDiv w:val="1"/>
      <w:marLeft w:val="0"/>
      <w:marRight w:val="0"/>
      <w:marTop w:val="0"/>
      <w:marBottom w:val="0"/>
      <w:divBdr>
        <w:top w:val="none" w:sz="0" w:space="0" w:color="auto"/>
        <w:left w:val="none" w:sz="0" w:space="0" w:color="auto"/>
        <w:bottom w:val="none" w:sz="0" w:space="0" w:color="auto"/>
        <w:right w:val="none" w:sz="0" w:space="0" w:color="auto"/>
      </w:divBdr>
    </w:div>
    <w:div w:id="145167510">
      <w:bodyDiv w:val="1"/>
      <w:marLeft w:val="0"/>
      <w:marRight w:val="0"/>
      <w:marTop w:val="0"/>
      <w:marBottom w:val="0"/>
      <w:divBdr>
        <w:top w:val="none" w:sz="0" w:space="0" w:color="auto"/>
        <w:left w:val="none" w:sz="0" w:space="0" w:color="auto"/>
        <w:bottom w:val="none" w:sz="0" w:space="0" w:color="auto"/>
        <w:right w:val="none" w:sz="0" w:space="0" w:color="auto"/>
      </w:divBdr>
    </w:div>
    <w:div w:id="162428737">
      <w:bodyDiv w:val="1"/>
      <w:marLeft w:val="0"/>
      <w:marRight w:val="0"/>
      <w:marTop w:val="0"/>
      <w:marBottom w:val="0"/>
      <w:divBdr>
        <w:top w:val="none" w:sz="0" w:space="0" w:color="auto"/>
        <w:left w:val="none" w:sz="0" w:space="0" w:color="auto"/>
        <w:bottom w:val="none" w:sz="0" w:space="0" w:color="auto"/>
        <w:right w:val="none" w:sz="0" w:space="0" w:color="auto"/>
      </w:divBdr>
    </w:div>
    <w:div w:id="176233931">
      <w:bodyDiv w:val="1"/>
      <w:marLeft w:val="0"/>
      <w:marRight w:val="0"/>
      <w:marTop w:val="0"/>
      <w:marBottom w:val="0"/>
      <w:divBdr>
        <w:top w:val="none" w:sz="0" w:space="0" w:color="auto"/>
        <w:left w:val="none" w:sz="0" w:space="0" w:color="auto"/>
        <w:bottom w:val="none" w:sz="0" w:space="0" w:color="auto"/>
        <w:right w:val="none" w:sz="0" w:space="0" w:color="auto"/>
      </w:divBdr>
    </w:div>
    <w:div w:id="177550388">
      <w:bodyDiv w:val="1"/>
      <w:marLeft w:val="0"/>
      <w:marRight w:val="0"/>
      <w:marTop w:val="0"/>
      <w:marBottom w:val="0"/>
      <w:divBdr>
        <w:top w:val="none" w:sz="0" w:space="0" w:color="auto"/>
        <w:left w:val="none" w:sz="0" w:space="0" w:color="auto"/>
        <w:bottom w:val="none" w:sz="0" w:space="0" w:color="auto"/>
        <w:right w:val="none" w:sz="0" w:space="0" w:color="auto"/>
      </w:divBdr>
    </w:div>
    <w:div w:id="185484639">
      <w:bodyDiv w:val="1"/>
      <w:marLeft w:val="0"/>
      <w:marRight w:val="0"/>
      <w:marTop w:val="0"/>
      <w:marBottom w:val="0"/>
      <w:divBdr>
        <w:top w:val="none" w:sz="0" w:space="0" w:color="auto"/>
        <w:left w:val="none" w:sz="0" w:space="0" w:color="auto"/>
        <w:bottom w:val="none" w:sz="0" w:space="0" w:color="auto"/>
        <w:right w:val="none" w:sz="0" w:space="0" w:color="auto"/>
      </w:divBdr>
    </w:div>
    <w:div w:id="186990175">
      <w:bodyDiv w:val="1"/>
      <w:marLeft w:val="0"/>
      <w:marRight w:val="0"/>
      <w:marTop w:val="0"/>
      <w:marBottom w:val="0"/>
      <w:divBdr>
        <w:top w:val="none" w:sz="0" w:space="0" w:color="auto"/>
        <w:left w:val="none" w:sz="0" w:space="0" w:color="auto"/>
        <w:bottom w:val="none" w:sz="0" w:space="0" w:color="auto"/>
        <w:right w:val="none" w:sz="0" w:space="0" w:color="auto"/>
      </w:divBdr>
    </w:div>
    <w:div w:id="206065748">
      <w:bodyDiv w:val="1"/>
      <w:marLeft w:val="0"/>
      <w:marRight w:val="0"/>
      <w:marTop w:val="0"/>
      <w:marBottom w:val="0"/>
      <w:divBdr>
        <w:top w:val="none" w:sz="0" w:space="0" w:color="auto"/>
        <w:left w:val="none" w:sz="0" w:space="0" w:color="auto"/>
        <w:bottom w:val="none" w:sz="0" w:space="0" w:color="auto"/>
        <w:right w:val="none" w:sz="0" w:space="0" w:color="auto"/>
      </w:divBdr>
    </w:div>
    <w:div w:id="206339415">
      <w:bodyDiv w:val="1"/>
      <w:marLeft w:val="0"/>
      <w:marRight w:val="0"/>
      <w:marTop w:val="0"/>
      <w:marBottom w:val="0"/>
      <w:divBdr>
        <w:top w:val="none" w:sz="0" w:space="0" w:color="auto"/>
        <w:left w:val="none" w:sz="0" w:space="0" w:color="auto"/>
        <w:bottom w:val="none" w:sz="0" w:space="0" w:color="auto"/>
        <w:right w:val="none" w:sz="0" w:space="0" w:color="auto"/>
      </w:divBdr>
    </w:div>
    <w:div w:id="215631445">
      <w:bodyDiv w:val="1"/>
      <w:marLeft w:val="0"/>
      <w:marRight w:val="0"/>
      <w:marTop w:val="0"/>
      <w:marBottom w:val="0"/>
      <w:divBdr>
        <w:top w:val="none" w:sz="0" w:space="0" w:color="auto"/>
        <w:left w:val="none" w:sz="0" w:space="0" w:color="auto"/>
        <w:bottom w:val="none" w:sz="0" w:space="0" w:color="auto"/>
        <w:right w:val="none" w:sz="0" w:space="0" w:color="auto"/>
      </w:divBdr>
    </w:div>
    <w:div w:id="217668560">
      <w:bodyDiv w:val="1"/>
      <w:marLeft w:val="0"/>
      <w:marRight w:val="0"/>
      <w:marTop w:val="0"/>
      <w:marBottom w:val="0"/>
      <w:divBdr>
        <w:top w:val="none" w:sz="0" w:space="0" w:color="auto"/>
        <w:left w:val="none" w:sz="0" w:space="0" w:color="auto"/>
        <w:bottom w:val="none" w:sz="0" w:space="0" w:color="auto"/>
        <w:right w:val="none" w:sz="0" w:space="0" w:color="auto"/>
      </w:divBdr>
    </w:div>
    <w:div w:id="220099598">
      <w:bodyDiv w:val="1"/>
      <w:marLeft w:val="0"/>
      <w:marRight w:val="0"/>
      <w:marTop w:val="0"/>
      <w:marBottom w:val="0"/>
      <w:divBdr>
        <w:top w:val="none" w:sz="0" w:space="0" w:color="auto"/>
        <w:left w:val="none" w:sz="0" w:space="0" w:color="auto"/>
        <w:bottom w:val="none" w:sz="0" w:space="0" w:color="auto"/>
        <w:right w:val="none" w:sz="0" w:space="0" w:color="auto"/>
      </w:divBdr>
    </w:div>
    <w:div w:id="226189347">
      <w:bodyDiv w:val="1"/>
      <w:marLeft w:val="0"/>
      <w:marRight w:val="0"/>
      <w:marTop w:val="0"/>
      <w:marBottom w:val="0"/>
      <w:divBdr>
        <w:top w:val="none" w:sz="0" w:space="0" w:color="auto"/>
        <w:left w:val="none" w:sz="0" w:space="0" w:color="auto"/>
        <w:bottom w:val="none" w:sz="0" w:space="0" w:color="auto"/>
        <w:right w:val="none" w:sz="0" w:space="0" w:color="auto"/>
      </w:divBdr>
    </w:div>
    <w:div w:id="231237471">
      <w:bodyDiv w:val="1"/>
      <w:marLeft w:val="0"/>
      <w:marRight w:val="0"/>
      <w:marTop w:val="0"/>
      <w:marBottom w:val="0"/>
      <w:divBdr>
        <w:top w:val="none" w:sz="0" w:space="0" w:color="auto"/>
        <w:left w:val="none" w:sz="0" w:space="0" w:color="auto"/>
        <w:bottom w:val="none" w:sz="0" w:space="0" w:color="auto"/>
        <w:right w:val="none" w:sz="0" w:space="0" w:color="auto"/>
      </w:divBdr>
    </w:div>
    <w:div w:id="234434917">
      <w:bodyDiv w:val="1"/>
      <w:marLeft w:val="0"/>
      <w:marRight w:val="0"/>
      <w:marTop w:val="0"/>
      <w:marBottom w:val="0"/>
      <w:divBdr>
        <w:top w:val="none" w:sz="0" w:space="0" w:color="auto"/>
        <w:left w:val="none" w:sz="0" w:space="0" w:color="auto"/>
        <w:bottom w:val="none" w:sz="0" w:space="0" w:color="auto"/>
        <w:right w:val="none" w:sz="0" w:space="0" w:color="auto"/>
      </w:divBdr>
    </w:div>
    <w:div w:id="244147856">
      <w:bodyDiv w:val="1"/>
      <w:marLeft w:val="0"/>
      <w:marRight w:val="0"/>
      <w:marTop w:val="0"/>
      <w:marBottom w:val="0"/>
      <w:divBdr>
        <w:top w:val="none" w:sz="0" w:space="0" w:color="auto"/>
        <w:left w:val="none" w:sz="0" w:space="0" w:color="auto"/>
        <w:bottom w:val="none" w:sz="0" w:space="0" w:color="auto"/>
        <w:right w:val="none" w:sz="0" w:space="0" w:color="auto"/>
      </w:divBdr>
    </w:div>
    <w:div w:id="246812341">
      <w:bodyDiv w:val="1"/>
      <w:marLeft w:val="0"/>
      <w:marRight w:val="0"/>
      <w:marTop w:val="0"/>
      <w:marBottom w:val="0"/>
      <w:divBdr>
        <w:top w:val="none" w:sz="0" w:space="0" w:color="auto"/>
        <w:left w:val="none" w:sz="0" w:space="0" w:color="auto"/>
        <w:bottom w:val="none" w:sz="0" w:space="0" w:color="auto"/>
        <w:right w:val="none" w:sz="0" w:space="0" w:color="auto"/>
      </w:divBdr>
    </w:div>
    <w:div w:id="248924349">
      <w:bodyDiv w:val="1"/>
      <w:marLeft w:val="0"/>
      <w:marRight w:val="0"/>
      <w:marTop w:val="0"/>
      <w:marBottom w:val="0"/>
      <w:divBdr>
        <w:top w:val="none" w:sz="0" w:space="0" w:color="auto"/>
        <w:left w:val="none" w:sz="0" w:space="0" w:color="auto"/>
        <w:bottom w:val="none" w:sz="0" w:space="0" w:color="auto"/>
        <w:right w:val="none" w:sz="0" w:space="0" w:color="auto"/>
      </w:divBdr>
    </w:div>
    <w:div w:id="258373804">
      <w:bodyDiv w:val="1"/>
      <w:marLeft w:val="0"/>
      <w:marRight w:val="0"/>
      <w:marTop w:val="0"/>
      <w:marBottom w:val="0"/>
      <w:divBdr>
        <w:top w:val="none" w:sz="0" w:space="0" w:color="auto"/>
        <w:left w:val="none" w:sz="0" w:space="0" w:color="auto"/>
        <w:bottom w:val="none" w:sz="0" w:space="0" w:color="auto"/>
        <w:right w:val="none" w:sz="0" w:space="0" w:color="auto"/>
      </w:divBdr>
    </w:div>
    <w:div w:id="265967948">
      <w:bodyDiv w:val="1"/>
      <w:marLeft w:val="0"/>
      <w:marRight w:val="0"/>
      <w:marTop w:val="0"/>
      <w:marBottom w:val="0"/>
      <w:divBdr>
        <w:top w:val="none" w:sz="0" w:space="0" w:color="auto"/>
        <w:left w:val="none" w:sz="0" w:space="0" w:color="auto"/>
        <w:bottom w:val="none" w:sz="0" w:space="0" w:color="auto"/>
        <w:right w:val="none" w:sz="0" w:space="0" w:color="auto"/>
      </w:divBdr>
    </w:div>
    <w:div w:id="267128126">
      <w:bodyDiv w:val="1"/>
      <w:marLeft w:val="0"/>
      <w:marRight w:val="0"/>
      <w:marTop w:val="0"/>
      <w:marBottom w:val="0"/>
      <w:divBdr>
        <w:top w:val="none" w:sz="0" w:space="0" w:color="auto"/>
        <w:left w:val="none" w:sz="0" w:space="0" w:color="auto"/>
        <w:bottom w:val="none" w:sz="0" w:space="0" w:color="auto"/>
        <w:right w:val="none" w:sz="0" w:space="0" w:color="auto"/>
      </w:divBdr>
    </w:div>
    <w:div w:id="278610937">
      <w:bodyDiv w:val="1"/>
      <w:marLeft w:val="0"/>
      <w:marRight w:val="0"/>
      <w:marTop w:val="0"/>
      <w:marBottom w:val="0"/>
      <w:divBdr>
        <w:top w:val="none" w:sz="0" w:space="0" w:color="auto"/>
        <w:left w:val="none" w:sz="0" w:space="0" w:color="auto"/>
        <w:bottom w:val="none" w:sz="0" w:space="0" w:color="auto"/>
        <w:right w:val="none" w:sz="0" w:space="0" w:color="auto"/>
      </w:divBdr>
    </w:div>
    <w:div w:id="287471633">
      <w:bodyDiv w:val="1"/>
      <w:marLeft w:val="0"/>
      <w:marRight w:val="0"/>
      <w:marTop w:val="0"/>
      <w:marBottom w:val="0"/>
      <w:divBdr>
        <w:top w:val="none" w:sz="0" w:space="0" w:color="auto"/>
        <w:left w:val="none" w:sz="0" w:space="0" w:color="auto"/>
        <w:bottom w:val="none" w:sz="0" w:space="0" w:color="auto"/>
        <w:right w:val="none" w:sz="0" w:space="0" w:color="auto"/>
      </w:divBdr>
    </w:div>
    <w:div w:id="289750716">
      <w:bodyDiv w:val="1"/>
      <w:marLeft w:val="0"/>
      <w:marRight w:val="0"/>
      <w:marTop w:val="0"/>
      <w:marBottom w:val="0"/>
      <w:divBdr>
        <w:top w:val="none" w:sz="0" w:space="0" w:color="auto"/>
        <w:left w:val="none" w:sz="0" w:space="0" w:color="auto"/>
        <w:bottom w:val="none" w:sz="0" w:space="0" w:color="auto"/>
        <w:right w:val="none" w:sz="0" w:space="0" w:color="auto"/>
      </w:divBdr>
    </w:div>
    <w:div w:id="293566087">
      <w:bodyDiv w:val="1"/>
      <w:marLeft w:val="0"/>
      <w:marRight w:val="0"/>
      <w:marTop w:val="0"/>
      <w:marBottom w:val="0"/>
      <w:divBdr>
        <w:top w:val="none" w:sz="0" w:space="0" w:color="auto"/>
        <w:left w:val="none" w:sz="0" w:space="0" w:color="auto"/>
        <w:bottom w:val="none" w:sz="0" w:space="0" w:color="auto"/>
        <w:right w:val="none" w:sz="0" w:space="0" w:color="auto"/>
      </w:divBdr>
    </w:div>
    <w:div w:id="294913608">
      <w:bodyDiv w:val="1"/>
      <w:marLeft w:val="0"/>
      <w:marRight w:val="0"/>
      <w:marTop w:val="0"/>
      <w:marBottom w:val="0"/>
      <w:divBdr>
        <w:top w:val="none" w:sz="0" w:space="0" w:color="auto"/>
        <w:left w:val="none" w:sz="0" w:space="0" w:color="auto"/>
        <w:bottom w:val="none" w:sz="0" w:space="0" w:color="auto"/>
        <w:right w:val="none" w:sz="0" w:space="0" w:color="auto"/>
      </w:divBdr>
    </w:div>
    <w:div w:id="332996792">
      <w:bodyDiv w:val="1"/>
      <w:marLeft w:val="0"/>
      <w:marRight w:val="0"/>
      <w:marTop w:val="0"/>
      <w:marBottom w:val="0"/>
      <w:divBdr>
        <w:top w:val="none" w:sz="0" w:space="0" w:color="auto"/>
        <w:left w:val="none" w:sz="0" w:space="0" w:color="auto"/>
        <w:bottom w:val="none" w:sz="0" w:space="0" w:color="auto"/>
        <w:right w:val="none" w:sz="0" w:space="0" w:color="auto"/>
      </w:divBdr>
    </w:div>
    <w:div w:id="341473201">
      <w:bodyDiv w:val="1"/>
      <w:marLeft w:val="0"/>
      <w:marRight w:val="0"/>
      <w:marTop w:val="0"/>
      <w:marBottom w:val="0"/>
      <w:divBdr>
        <w:top w:val="none" w:sz="0" w:space="0" w:color="auto"/>
        <w:left w:val="none" w:sz="0" w:space="0" w:color="auto"/>
        <w:bottom w:val="none" w:sz="0" w:space="0" w:color="auto"/>
        <w:right w:val="none" w:sz="0" w:space="0" w:color="auto"/>
      </w:divBdr>
    </w:div>
    <w:div w:id="341475274">
      <w:bodyDiv w:val="1"/>
      <w:marLeft w:val="0"/>
      <w:marRight w:val="0"/>
      <w:marTop w:val="0"/>
      <w:marBottom w:val="0"/>
      <w:divBdr>
        <w:top w:val="none" w:sz="0" w:space="0" w:color="auto"/>
        <w:left w:val="none" w:sz="0" w:space="0" w:color="auto"/>
        <w:bottom w:val="none" w:sz="0" w:space="0" w:color="auto"/>
        <w:right w:val="none" w:sz="0" w:space="0" w:color="auto"/>
      </w:divBdr>
    </w:div>
    <w:div w:id="342779794">
      <w:bodyDiv w:val="1"/>
      <w:marLeft w:val="0"/>
      <w:marRight w:val="0"/>
      <w:marTop w:val="0"/>
      <w:marBottom w:val="0"/>
      <w:divBdr>
        <w:top w:val="none" w:sz="0" w:space="0" w:color="auto"/>
        <w:left w:val="none" w:sz="0" w:space="0" w:color="auto"/>
        <w:bottom w:val="none" w:sz="0" w:space="0" w:color="auto"/>
        <w:right w:val="none" w:sz="0" w:space="0" w:color="auto"/>
      </w:divBdr>
    </w:div>
    <w:div w:id="350641683">
      <w:bodyDiv w:val="1"/>
      <w:marLeft w:val="0"/>
      <w:marRight w:val="0"/>
      <w:marTop w:val="0"/>
      <w:marBottom w:val="0"/>
      <w:divBdr>
        <w:top w:val="none" w:sz="0" w:space="0" w:color="auto"/>
        <w:left w:val="none" w:sz="0" w:space="0" w:color="auto"/>
        <w:bottom w:val="none" w:sz="0" w:space="0" w:color="auto"/>
        <w:right w:val="none" w:sz="0" w:space="0" w:color="auto"/>
      </w:divBdr>
    </w:div>
    <w:div w:id="371999336">
      <w:bodyDiv w:val="1"/>
      <w:marLeft w:val="0"/>
      <w:marRight w:val="0"/>
      <w:marTop w:val="0"/>
      <w:marBottom w:val="0"/>
      <w:divBdr>
        <w:top w:val="none" w:sz="0" w:space="0" w:color="auto"/>
        <w:left w:val="none" w:sz="0" w:space="0" w:color="auto"/>
        <w:bottom w:val="none" w:sz="0" w:space="0" w:color="auto"/>
        <w:right w:val="none" w:sz="0" w:space="0" w:color="auto"/>
      </w:divBdr>
    </w:div>
    <w:div w:id="397483675">
      <w:bodyDiv w:val="1"/>
      <w:marLeft w:val="0"/>
      <w:marRight w:val="0"/>
      <w:marTop w:val="0"/>
      <w:marBottom w:val="0"/>
      <w:divBdr>
        <w:top w:val="none" w:sz="0" w:space="0" w:color="auto"/>
        <w:left w:val="none" w:sz="0" w:space="0" w:color="auto"/>
        <w:bottom w:val="none" w:sz="0" w:space="0" w:color="auto"/>
        <w:right w:val="none" w:sz="0" w:space="0" w:color="auto"/>
      </w:divBdr>
    </w:div>
    <w:div w:id="412045068">
      <w:bodyDiv w:val="1"/>
      <w:marLeft w:val="0"/>
      <w:marRight w:val="0"/>
      <w:marTop w:val="0"/>
      <w:marBottom w:val="0"/>
      <w:divBdr>
        <w:top w:val="none" w:sz="0" w:space="0" w:color="auto"/>
        <w:left w:val="none" w:sz="0" w:space="0" w:color="auto"/>
        <w:bottom w:val="none" w:sz="0" w:space="0" w:color="auto"/>
        <w:right w:val="none" w:sz="0" w:space="0" w:color="auto"/>
      </w:divBdr>
    </w:div>
    <w:div w:id="419181248">
      <w:bodyDiv w:val="1"/>
      <w:marLeft w:val="0"/>
      <w:marRight w:val="0"/>
      <w:marTop w:val="0"/>
      <w:marBottom w:val="0"/>
      <w:divBdr>
        <w:top w:val="none" w:sz="0" w:space="0" w:color="auto"/>
        <w:left w:val="none" w:sz="0" w:space="0" w:color="auto"/>
        <w:bottom w:val="none" w:sz="0" w:space="0" w:color="auto"/>
        <w:right w:val="none" w:sz="0" w:space="0" w:color="auto"/>
      </w:divBdr>
    </w:div>
    <w:div w:id="422839673">
      <w:bodyDiv w:val="1"/>
      <w:marLeft w:val="0"/>
      <w:marRight w:val="0"/>
      <w:marTop w:val="0"/>
      <w:marBottom w:val="0"/>
      <w:divBdr>
        <w:top w:val="none" w:sz="0" w:space="0" w:color="auto"/>
        <w:left w:val="none" w:sz="0" w:space="0" w:color="auto"/>
        <w:bottom w:val="none" w:sz="0" w:space="0" w:color="auto"/>
        <w:right w:val="none" w:sz="0" w:space="0" w:color="auto"/>
      </w:divBdr>
    </w:div>
    <w:div w:id="424114866">
      <w:bodyDiv w:val="1"/>
      <w:marLeft w:val="0"/>
      <w:marRight w:val="0"/>
      <w:marTop w:val="0"/>
      <w:marBottom w:val="0"/>
      <w:divBdr>
        <w:top w:val="none" w:sz="0" w:space="0" w:color="auto"/>
        <w:left w:val="none" w:sz="0" w:space="0" w:color="auto"/>
        <w:bottom w:val="none" w:sz="0" w:space="0" w:color="auto"/>
        <w:right w:val="none" w:sz="0" w:space="0" w:color="auto"/>
      </w:divBdr>
    </w:div>
    <w:div w:id="424765663">
      <w:bodyDiv w:val="1"/>
      <w:marLeft w:val="0"/>
      <w:marRight w:val="0"/>
      <w:marTop w:val="0"/>
      <w:marBottom w:val="0"/>
      <w:divBdr>
        <w:top w:val="none" w:sz="0" w:space="0" w:color="auto"/>
        <w:left w:val="none" w:sz="0" w:space="0" w:color="auto"/>
        <w:bottom w:val="none" w:sz="0" w:space="0" w:color="auto"/>
        <w:right w:val="none" w:sz="0" w:space="0" w:color="auto"/>
      </w:divBdr>
    </w:div>
    <w:div w:id="463736279">
      <w:bodyDiv w:val="1"/>
      <w:marLeft w:val="0"/>
      <w:marRight w:val="0"/>
      <w:marTop w:val="0"/>
      <w:marBottom w:val="0"/>
      <w:divBdr>
        <w:top w:val="none" w:sz="0" w:space="0" w:color="auto"/>
        <w:left w:val="none" w:sz="0" w:space="0" w:color="auto"/>
        <w:bottom w:val="none" w:sz="0" w:space="0" w:color="auto"/>
        <w:right w:val="none" w:sz="0" w:space="0" w:color="auto"/>
      </w:divBdr>
    </w:div>
    <w:div w:id="466552132">
      <w:bodyDiv w:val="1"/>
      <w:marLeft w:val="0"/>
      <w:marRight w:val="0"/>
      <w:marTop w:val="0"/>
      <w:marBottom w:val="0"/>
      <w:divBdr>
        <w:top w:val="none" w:sz="0" w:space="0" w:color="auto"/>
        <w:left w:val="none" w:sz="0" w:space="0" w:color="auto"/>
        <w:bottom w:val="none" w:sz="0" w:space="0" w:color="auto"/>
        <w:right w:val="none" w:sz="0" w:space="0" w:color="auto"/>
      </w:divBdr>
    </w:div>
    <w:div w:id="469829685">
      <w:bodyDiv w:val="1"/>
      <w:marLeft w:val="0"/>
      <w:marRight w:val="0"/>
      <w:marTop w:val="0"/>
      <w:marBottom w:val="0"/>
      <w:divBdr>
        <w:top w:val="none" w:sz="0" w:space="0" w:color="auto"/>
        <w:left w:val="none" w:sz="0" w:space="0" w:color="auto"/>
        <w:bottom w:val="none" w:sz="0" w:space="0" w:color="auto"/>
        <w:right w:val="none" w:sz="0" w:space="0" w:color="auto"/>
      </w:divBdr>
    </w:div>
    <w:div w:id="476000043">
      <w:bodyDiv w:val="1"/>
      <w:marLeft w:val="0"/>
      <w:marRight w:val="0"/>
      <w:marTop w:val="0"/>
      <w:marBottom w:val="0"/>
      <w:divBdr>
        <w:top w:val="none" w:sz="0" w:space="0" w:color="auto"/>
        <w:left w:val="none" w:sz="0" w:space="0" w:color="auto"/>
        <w:bottom w:val="none" w:sz="0" w:space="0" w:color="auto"/>
        <w:right w:val="none" w:sz="0" w:space="0" w:color="auto"/>
      </w:divBdr>
    </w:div>
    <w:div w:id="483744679">
      <w:bodyDiv w:val="1"/>
      <w:marLeft w:val="0"/>
      <w:marRight w:val="0"/>
      <w:marTop w:val="0"/>
      <w:marBottom w:val="0"/>
      <w:divBdr>
        <w:top w:val="none" w:sz="0" w:space="0" w:color="auto"/>
        <w:left w:val="none" w:sz="0" w:space="0" w:color="auto"/>
        <w:bottom w:val="none" w:sz="0" w:space="0" w:color="auto"/>
        <w:right w:val="none" w:sz="0" w:space="0" w:color="auto"/>
      </w:divBdr>
    </w:div>
    <w:div w:id="487326737">
      <w:bodyDiv w:val="1"/>
      <w:marLeft w:val="0"/>
      <w:marRight w:val="0"/>
      <w:marTop w:val="0"/>
      <w:marBottom w:val="0"/>
      <w:divBdr>
        <w:top w:val="none" w:sz="0" w:space="0" w:color="auto"/>
        <w:left w:val="none" w:sz="0" w:space="0" w:color="auto"/>
        <w:bottom w:val="none" w:sz="0" w:space="0" w:color="auto"/>
        <w:right w:val="none" w:sz="0" w:space="0" w:color="auto"/>
      </w:divBdr>
    </w:div>
    <w:div w:id="489715134">
      <w:bodyDiv w:val="1"/>
      <w:marLeft w:val="0"/>
      <w:marRight w:val="0"/>
      <w:marTop w:val="0"/>
      <w:marBottom w:val="0"/>
      <w:divBdr>
        <w:top w:val="none" w:sz="0" w:space="0" w:color="auto"/>
        <w:left w:val="none" w:sz="0" w:space="0" w:color="auto"/>
        <w:bottom w:val="none" w:sz="0" w:space="0" w:color="auto"/>
        <w:right w:val="none" w:sz="0" w:space="0" w:color="auto"/>
      </w:divBdr>
    </w:div>
    <w:div w:id="492649504">
      <w:bodyDiv w:val="1"/>
      <w:marLeft w:val="0"/>
      <w:marRight w:val="0"/>
      <w:marTop w:val="0"/>
      <w:marBottom w:val="0"/>
      <w:divBdr>
        <w:top w:val="none" w:sz="0" w:space="0" w:color="auto"/>
        <w:left w:val="none" w:sz="0" w:space="0" w:color="auto"/>
        <w:bottom w:val="none" w:sz="0" w:space="0" w:color="auto"/>
        <w:right w:val="none" w:sz="0" w:space="0" w:color="auto"/>
      </w:divBdr>
    </w:div>
    <w:div w:id="493106082">
      <w:bodyDiv w:val="1"/>
      <w:marLeft w:val="0"/>
      <w:marRight w:val="0"/>
      <w:marTop w:val="0"/>
      <w:marBottom w:val="0"/>
      <w:divBdr>
        <w:top w:val="none" w:sz="0" w:space="0" w:color="auto"/>
        <w:left w:val="none" w:sz="0" w:space="0" w:color="auto"/>
        <w:bottom w:val="none" w:sz="0" w:space="0" w:color="auto"/>
        <w:right w:val="none" w:sz="0" w:space="0" w:color="auto"/>
      </w:divBdr>
    </w:div>
    <w:div w:id="513541733">
      <w:bodyDiv w:val="1"/>
      <w:marLeft w:val="0"/>
      <w:marRight w:val="0"/>
      <w:marTop w:val="0"/>
      <w:marBottom w:val="0"/>
      <w:divBdr>
        <w:top w:val="none" w:sz="0" w:space="0" w:color="auto"/>
        <w:left w:val="none" w:sz="0" w:space="0" w:color="auto"/>
        <w:bottom w:val="none" w:sz="0" w:space="0" w:color="auto"/>
        <w:right w:val="none" w:sz="0" w:space="0" w:color="auto"/>
      </w:divBdr>
    </w:div>
    <w:div w:id="518856888">
      <w:bodyDiv w:val="1"/>
      <w:marLeft w:val="0"/>
      <w:marRight w:val="0"/>
      <w:marTop w:val="0"/>
      <w:marBottom w:val="0"/>
      <w:divBdr>
        <w:top w:val="none" w:sz="0" w:space="0" w:color="auto"/>
        <w:left w:val="none" w:sz="0" w:space="0" w:color="auto"/>
        <w:bottom w:val="none" w:sz="0" w:space="0" w:color="auto"/>
        <w:right w:val="none" w:sz="0" w:space="0" w:color="auto"/>
      </w:divBdr>
    </w:div>
    <w:div w:id="527331895">
      <w:bodyDiv w:val="1"/>
      <w:marLeft w:val="0"/>
      <w:marRight w:val="0"/>
      <w:marTop w:val="0"/>
      <w:marBottom w:val="0"/>
      <w:divBdr>
        <w:top w:val="none" w:sz="0" w:space="0" w:color="auto"/>
        <w:left w:val="none" w:sz="0" w:space="0" w:color="auto"/>
        <w:bottom w:val="none" w:sz="0" w:space="0" w:color="auto"/>
        <w:right w:val="none" w:sz="0" w:space="0" w:color="auto"/>
      </w:divBdr>
    </w:div>
    <w:div w:id="527833170">
      <w:bodyDiv w:val="1"/>
      <w:marLeft w:val="0"/>
      <w:marRight w:val="0"/>
      <w:marTop w:val="0"/>
      <w:marBottom w:val="0"/>
      <w:divBdr>
        <w:top w:val="none" w:sz="0" w:space="0" w:color="auto"/>
        <w:left w:val="none" w:sz="0" w:space="0" w:color="auto"/>
        <w:bottom w:val="none" w:sz="0" w:space="0" w:color="auto"/>
        <w:right w:val="none" w:sz="0" w:space="0" w:color="auto"/>
      </w:divBdr>
    </w:div>
    <w:div w:id="533418846">
      <w:bodyDiv w:val="1"/>
      <w:marLeft w:val="0"/>
      <w:marRight w:val="0"/>
      <w:marTop w:val="0"/>
      <w:marBottom w:val="0"/>
      <w:divBdr>
        <w:top w:val="none" w:sz="0" w:space="0" w:color="auto"/>
        <w:left w:val="none" w:sz="0" w:space="0" w:color="auto"/>
        <w:bottom w:val="none" w:sz="0" w:space="0" w:color="auto"/>
        <w:right w:val="none" w:sz="0" w:space="0" w:color="auto"/>
      </w:divBdr>
    </w:div>
    <w:div w:id="535579290">
      <w:bodyDiv w:val="1"/>
      <w:marLeft w:val="0"/>
      <w:marRight w:val="0"/>
      <w:marTop w:val="0"/>
      <w:marBottom w:val="0"/>
      <w:divBdr>
        <w:top w:val="none" w:sz="0" w:space="0" w:color="auto"/>
        <w:left w:val="none" w:sz="0" w:space="0" w:color="auto"/>
        <w:bottom w:val="none" w:sz="0" w:space="0" w:color="auto"/>
        <w:right w:val="none" w:sz="0" w:space="0" w:color="auto"/>
      </w:divBdr>
    </w:div>
    <w:div w:id="541749451">
      <w:bodyDiv w:val="1"/>
      <w:marLeft w:val="0"/>
      <w:marRight w:val="0"/>
      <w:marTop w:val="0"/>
      <w:marBottom w:val="0"/>
      <w:divBdr>
        <w:top w:val="none" w:sz="0" w:space="0" w:color="auto"/>
        <w:left w:val="none" w:sz="0" w:space="0" w:color="auto"/>
        <w:bottom w:val="none" w:sz="0" w:space="0" w:color="auto"/>
        <w:right w:val="none" w:sz="0" w:space="0" w:color="auto"/>
      </w:divBdr>
    </w:div>
    <w:div w:id="543566507">
      <w:bodyDiv w:val="1"/>
      <w:marLeft w:val="0"/>
      <w:marRight w:val="0"/>
      <w:marTop w:val="0"/>
      <w:marBottom w:val="0"/>
      <w:divBdr>
        <w:top w:val="none" w:sz="0" w:space="0" w:color="auto"/>
        <w:left w:val="none" w:sz="0" w:space="0" w:color="auto"/>
        <w:bottom w:val="none" w:sz="0" w:space="0" w:color="auto"/>
        <w:right w:val="none" w:sz="0" w:space="0" w:color="auto"/>
      </w:divBdr>
    </w:div>
    <w:div w:id="546796711">
      <w:bodyDiv w:val="1"/>
      <w:marLeft w:val="0"/>
      <w:marRight w:val="0"/>
      <w:marTop w:val="0"/>
      <w:marBottom w:val="0"/>
      <w:divBdr>
        <w:top w:val="none" w:sz="0" w:space="0" w:color="auto"/>
        <w:left w:val="none" w:sz="0" w:space="0" w:color="auto"/>
        <w:bottom w:val="none" w:sz="0" w:space="0" w:color="auto"/>
        <w:right w:val="none" w:sz="0" w:space="0" w:color="auto"/>
      </w:divBdr>
    </w:div>
    <w:div w:id="548494132">
      <w:bodyDiv w:val="1"/>
      <w:marLeft w:val="0"/>
      <w:marRight w:val="0"/>
      <w:marTop w:val="0"/>
      <w:marBottom w:val="0"/>
      <w:divBdr>
        <w:top w:val="none" w:sz="0" w:space="0" w:color="auto"/>
        <w:left w:val="none" w:sz="0" w:space="0" w:color="auto"/>
        <w:bottom w:val="none" w:sz="0" w:space="0" w:color="auto"/>
        <w:right w:val="none" w:sz="0" w:space="0" w:color="auto"/>
      </w:divBdr>
    </w:div>
    <w:div w:id="565995410">
      <w:bodyDiv w:val="1"/>
      <w:marLeft w:val="0"/>
      <w:marRight w:val="0"/>
      <w:marTop w:val="0"/>
      <w:marBottom w:val="0"/>
      <w:divBdr>
        <w:top w:val="none" w:sz="0" w:space="0" w:color="auto"/>
        <w:left w:val="none" w:sz="0" w:space="0" w:color="auto"/>
        <w:bottom w:val="none" w:sz="0" w:space="0" w:color="auto"/>
        <w:right w:val="none" w:sz="0" w:space="0" w:color="auto"/>
      </w:divBdr>
    </w:div>
    <w:div w:id="572589936">
      <w:bodyDiv w:val="1"/>
      <w:marLeft w:val="0"/>
      <w:marRight w:val="0"/>
      <w:marTop w:val="0"/>
      <w:marBottom w:val="0"/>
      <w:divBdr>
        <w:top w:val="none" w:sz="0" w:space="0" w:color="auto"/>
        <w:left w:val="none" w:sz="0" w:space="0" w:color="auto"/>
        <w:bottom w:val="none" w:sz="0" w:space="0" w:color="auto"/>
        <w:right w:val="none" w:sz="0" w:space="0" w:color="auto"/>
      </w:divBdr>
    </w:div>
    <w:div w:id="577521382">
      <w:bodyDiv w:val="1"/>
      <w:marLeft w:val="0"/>
      <w:marRight w:val="0"/>
      <w:marTop w:val="0"/>
      <w:marBottom w:val="0"/>
      <w:divBdr>
        <w:top w:val="none" w:sz="0" w:space="0" w:color="auto"/>
        <w:left w:val="none" w:sz="0" w:space="0" w:color="auto"/>
        <w:bottom w:val="none" w:sz="0" w:space="0" w:color="auto"/>
        <w:right w:val="none" w:sz="0" w:space="0" w:color="auto"/>
      </w:divBdr>
    </w:div>
    <w:div w:id="586622462">
      <w:bodyDiv w:val="1"/>
      <w:marLeft w:val="0"/>
      <w:marRight w:val="0"/>
      <w:marTop w:val="0"/>
      <w:marBottom w:val="0"/>
      <w:divBdr>
        <w:top w:val="none" w:sz="0" w:space="0" w:color="auto"/>
        <w:left w:val="none" w:sz="0" w:space="0" w:color="auto"/>
        <w:bottom w:val="none" w:sz="0" w:space="0" w:color="auto"/>
        <w:right w:val="none" w:sz="0" w:space="0" w:color="auto"/>
      </w:divBdr>
    </w:div>
    <w:div w:id="594750339">
      <w:bodyDiv w:val="1"/>
      <w:marLeft w:val="0"/>
      <w:marRight w:val="0"/>
      <w:marTop w:val="0"/>
      <w:marBottom w:val="0"/>
      <w:divBdr>
        <w:top w:val="none" w:sz="0" w:space="0" w:color="auto"/>
        <w:left w:val="none" w:sz="0" w:space="0" w:color="auto"/>
        <w:bottom w:val="none" w:sz="0" w:space="0" w:color="auto"/>
        <w:right w:val="none" w:sz="0" w:space="0" w:color="auto"/>
      </w:divBdr>
    </w:div>
    <w:div w:id="595329936">
      <w:bodyDiv w:val="1"/>
      <w:marLeft w:val="0"/>
      <w:marRight w:val="0"/>
      <w:marTop w:val="0"/>
      <w:marBottom w:val="0"/>
      <w:divBdr>
        <w:top w:val="none" w:sz="0" w:space="0" w:color="auto"/>
        <w:left w:val="none" w:sz="0" w:space="0" w:color="auto"/>
        <w:bottom w:val="none" w:sz="0" w:space="0" w:color="auto"/>
        <w:right w:val="none" w:sz="0" w:space="0" w:color="auto"/>
      </w:divBdr>
    </w:div>
    <w:div w:id="601835501">
      <w:bodyDiv w:val="1"/>
      <w:marLeft w:val="0"/>
      <w:marRight w:val="0"/>
      <w:marTop w:val="0"/>
      <w:marBottom w:val="0"/>
      <w:divBdr>
        <w:top w:val="none" w:sz="0" w:space="0" w:color="auto"/>
        <w:left w:val="none" w:sz="0" w:space="0" w:color="auto"/>
        <w:bottom w:val="none" w:sz="0" w:space="0" w:color="auto"/>
        <w:right w:val="none" w:sz="0" w:space="0" w:color="auto"/>
      </w:divBdr>
    </w:div>
    <w:div w:id="611934597">
      <w:bodyDiv w:val="1"/>
      <w:marLeft w:val="0"/>
      <w:marRight w:val="0"/>
      <w:marTop w:val="0"/>
      <w:marBottom w:val="0"/>
      <w:divBdr>
        <w:top w:val="none" w:sz="0" w:space="0" w:color="auto"/>
        <w:left w:val="none" w:sz="0" w:space="0" w:color="auto"/>
        <w:bottom w:val="none" w:sz="0" w:space="0" w:color="auto"/>
        <w:right w:val="none" w:sz="0" w:space="0" w:color="auto"/>
      </w:divBdr>
    </w:div>
    <w:div w:id="613756488">
      <w:bodyDiv w:val="1"/>
      <w:marLeft w:val="0"/>
      <w:marRight w:val="0"/>
      <w:marTop w:val="0"/>
      <w:marBottom w:val="0"/>
      <w:divBdr>
        <w:top w:val="none" w:sz="0" w:space="0" w:color="auto"/>
        <w:left w:val="none" w:sz="0" w:space="0" w:color="auto"/>
        <w:bottom w:val="none" w:sz="0" w:space="0" w:color="auto"/>
        <w:right w:val="none" w:sz="0" w:space="0" w:color="auto"/>
      </w:divBdr>
    </w:div>
    <w:div w:id="616134451">
      <w:bodyDiv w:val="1"/>
      <w:marLeft w:val="0"/>
      <w:marRight w:val="0"/>
      <w:marTop w:val="0"/>
      <w:marBottom w:val="0"/>
      <w:divBdr>
        <w:top w:val="none" w:sz="0" w:space="0" w:color="auto"/>
        <w:left w:val="none" w:sz="0" w:space="0" w:color="auto"/>
        <w:bottom w:val="none" w:sz="0" w:space="0" w:color="auto"/>
        <w:right w:val="none" w:sz="0" w:space="0" w:color="auto"/>
      </w:divBdr>
    </w:div>
    <w:div w:id="617419405">
      <w:bodyDiv w:val="1"/>
      <w:marLeft w:val="0"/>
      <w:marRight w:val="0"/>
      <w:marTop w:val="0"/>
      <w:marBottom w:val="0"/>
      <w:divBdr>
        <w:top w:val="none" w:sz="0" w:space="0" w:color="auto"/>
        <w:left w:val="none" w:sz="0" w:space="0" w:color="auto"/>
        <w:bottom w:val="none" w:sz="0" w:space="0" w:color="auto"/>
        <w:right w:val="none" w:sz="0" w:space="0" w:color="auto"/>
      </w:divBdr>
    </w:div>
    <w:div w:id="658997147">
      <w:bodyDiv w:val="1"/>
      <w:marLeft w:val="0"/>
      <w:marRight w:val="0"/>
      <w:marTop w:val="0"/>
      <w:marBottom w:val="0"/>
      <w:divBdr>
        <w:top w:val="none" w:sz="0" w:space="0" w:color="auto"/>
        <w:left w:val="none" w:sz="0" w:space="0" w:color="auto"/>
        <w:bottom w:val="none" w:sz="0" w:space="0" w:color="auto"/>
        <w:right w:val="none" w:sz="0" w:space="0" w:color="auto"/>
      </w:divBdr>
    </w:div>
    <w:div w:id="669724482">
      <w:bodyDiv w:val="1"/>
      <w:marLeft w:val="0"/>
      <w:marRight w:val="0"/>
      <w:marTop w:val="0"/>
      <w:marBottom w:val="0"/>
      <w:divBdr>
        <w:top w:val="none" w:sz="0" w:space="0" w:color="auto"/>
        <w:left w:val="none" w:sz="0" w:space="0" w:color="auto"/>
        <w:bottom w:val="none" w:sz="0" w:space="0" w:color="auto"/>
        <w:right w:val="none" w:sz="0" w:space="0" w:color="auto"/>
      </w:divBdr>
    </w:div>
    <w:div w:id="677194594">
      <w:bodyDiv w:val="1"/>
      <w:marLeft w:val="0"/>
      <w:marRight w:val="0"/>
      <w:marTop w:val="0"/>
      <w:marBottom w:val="0"/>
      <w:divBdr>
        <w:top w:val="none" w:sz="0" w:space="0" w:color="auto"/>
        <w:left w:val="none" w:sz="0" w:space="0" w:color="auto"/>
        <w:bottom w:val="none" w:sz="0" w:space="0" w:color="auto"/>
        <w:right w:val="none" w:sz="0" w:space="0" w:color="auto"/>
      </w:divBdr>
    </w:div>
    <w:div w:id="679626807">
      <w:bodyDiv w:val="1"/>
      <w:marLeft w:val="0"/>
      <w:marRight w:val="0"/>
      <w:marTop w:val="0"/>
      <w:marBottom w:val="0"/>
      <w:divBdr>
        <w:top w:val="none" w:sz="0" w:space="0" w:color="auto"/>
        <w:left w:val="none" w:sz="0" w:space="0" w:color="auto"/>
        <w:bottom w:val="none" w:sz="0" w:space="0" w:color="auto"/>
        <w:right w:val="none" w:sz="0" w:space="0" w:color="auto"/>
      </w:divBdr>
    </w:div>
    <w:div w:id="692724562">
      <w:bodyDiv w:val="1"/>
      <w:marLeft w:val="0"/>
      <w:marRight w:val="0"/>
      <w:marTop w:val="0"/>
      <w:marBottom w:val="0"/>
      <w:divBdr>
        <w:top w:val="none" w:sz="0" w:space="0" w:color="auto"/>
        <w:left w:val="none" w:sz="0" w:space="0" w:color="auto"/>
        <w:bottom w:val="none" w:sz="0" w:space="0" w:color="auto"/>
        <w:right w:val="none" w:sz="0" w:space="0" w:color="auto"/>
      </w:divBdr>
    </w:div>
    <w:div w:id="716050402">
      <w:bodyDiv w:val="1"/>
      <w:marLeft w:val="0"/>
      <w:marRight w:val="0"/>
      <w:marTop w:val="0"/>
      <w:marBottom w:val="0"/>
      <w:divBdr>
        <w:top w:val="none" w:sz="0" w:space="0" w:color="auto"/>
        <w:left w:val="none" w:sz="0" w:space="0" w:color="auto"/>
        <w:bottom w:val="none" w:sz="0" w:space="0" w:color="auto"/>
        <w:right w:val="none" w:sz="0" w:space="0" w:color="auto"/>
      </w:divBdr>
    </w:div>
    <w:div w:id="729034216">
      <w:bodyDiv w:val="1"/>
      <w:marLeft w:val="0"/>
      <w:marRight w:val="0"/>
      <w:marTop w:val="0"/>
      <w:marBottom w:val="0"/>
      <w:divBdr>
        <w:top w:val="none" w:sz="0" w:space="0" w:color="auto"/>
        <w:left w:val="none" w:sz="0" w:space="0" w:color="auto"/>
        <w:bottom w:val="none" w:sz="0" w:space="0" w:color="auto"/>
        <w:right w:val="none" w:sz="0" w:space="0" w:color="auto"/>
      </w:divBdr>
    </w:div>
    <w:div w:id="739446631">
      <w:bodyDiv w:val="1"/>
      <w:marLeft w:val="0"/>
      <w:marRight w:val="0"/>
      <w:marTop w:val="0"/>
      <w:marBottom w:val="0"/>
      <w:divBdr>
        <w:top w:val="none" w:sz="0" w:space="0" w:color="auto"/>
        <w:left w:val="none" w:sz="0" w:space="0" w:color="auto"/>
        <w:bottom w:val="none" w:sz="0" w:space="0" w:color="auto"/>
        <w:right w:val="none" w:sz="0" w:space="0" w:color="auto"/>
      </w:divBdr>
    </w:div>
    <w:div w:id="739593657">
      <w:bodyDiv w:val="1"/>
      <w:marLeft w:val="0"/>
      <w:marRight w:val="0"/>
      <w:marTop w:val="0"/>
      <w:marBottom w:val="0"/>
      <w:divBdr>
        <w:top w:val="none" w:sz="0" w:space="0" w:color="auto"/>
        <w:left w:val="none" w:sz="0" w:space="0" w:color="auto"/>
        <w:bottom w:val="none" w:sz="0" w:space="0" w:color="auto"/>
        <w:right w:val="none" w:sz="0" w:space="0" w:color="auto"/>
      </w:divBdr>
    </w:div>
    <w:div w:id="741757962">
      <w:bodyDiv w:val="1"/>
      <w:marLeft w:val="0"/>
      <w:marRight w:val="0"/>
      <w:marTop w:val="0"/>
      <w:marBottom w:val="0"/>
      <w:divBdr>
        <w:top w:val="none" w:sz="0" w:space="0" w:color="auto"/>
        <w:left w:val="none" w:sz="0" w:space="0" w:color="auto"/>
        <w:bottom w:val="none" w:sz="0" w:space="0" w:color="auto"/>
        <w:right w:val="none" w:sz="0" w:space="0" w:color="auto"/>
      </w:divBdr>
    </w:div>
    <w:div w:id="759566995">
      <w:bodyDiv w:val="1"/>
      <w:marLeft w:val="0"/>
      <w:marRight w:val="0"/>
      <w:marTop w:val="0"/>
      <w:marBottom w:val="0"/>
      <w:divBdr>
        <w:top w:val="none" w:sz="0" w:space="0" w:color="auto"/>
        <w:left w:val="none" w:sz="0" w:space="0" w:color="auto"/>
        <w:bottom w:val="none" w:sz="0" w:space="0" w:color="auto"/>
        <w:right w:val="none" w:sz="0" w:space="0" w:color="auto"/>
      </w:divBdr>
    </w:div>
    <w:div w:id="773130563">
      <w:bodyDiv w:val="1"/>
      <w:marLeft w:val="0"/>
      <w:marRight w:val="0"/>
      <w:marTop w:val="0"/>
      <w:marBottom w:val="0"/>
      <w:divBdr>
        <w:top w:val="none" w:sz="0" w:space="0" w:color="auto"/>
        <w:left w:val="none" w:sz="0" w:space="0" w:color="auto"/>
        <w:bottom w:val="none" w:sz="0" w:space="0" w:color="auto"/>
        <w:right w:val="none" w:sz="0" w:space="0" w:color="auto"/>
      </w:divBdr>
    </w:div>
    <w:div w:id="778256161">
      <w:bodyDiv w:val="1"/>
      <w:marLeft w:val="0"/>
      <w:marRight w:val="0"/>
      <w:marTop w:val="0"/>
      <w:marBottom w:val="0"/>
      <w:divBdr>
        <w:top w:val="none" w:sz="0" w:space="0" w:color="auto"/>
        <w:left w:val="none" w:sz="0" w:space="0" w:color="auto"/>
        <w:bottom w:val="none" w:sz="0" w:space="0" w:color="auto"/>
        <w:right w:val="none" w:sz="0" w:space="0" w:color="auto"/>
      </w:divBdr>
    </w:div>
    <w:div w:id="795754826">
      <w:bodyDiv w:val="1"/>
      <w:marLeft w:val="0"/>
      <w:marRight w:val="0"/>
      <w:marTop w:val="0"/>
      <w:marBottom w:val="0"/>
      <w:divBdr>
        <w:top w:val="none" w:sz="0" w:space="0" w:color="auto"/>
        <w:left w:val="none" w:sz="0" w:space="0" w:color="auto"/>
        <w:bottom w:val="none" w:sz="0" w:space="0" w:color="auto"/>
        <w:right w:val="none" w:sz="0" w:space="0" w:color="auto"/>
      </w:divBdr>
    </w:div>
    <w:div w:id="802962795">
      <w:bodyDiv w:val="1"/>
      <w:marLeft w:val="0"/>
      <w:marRight w:val="0"/>
      <w:marTop w:val="0"/>
      <w:marBottom w:val="0"/>
      <w:divBdr>
        <w:top w:val="none" w:sz="0" w:space="0" w:color="auto"/>
        <w:left w:val="none" w:sz="0" w:space="0" w:color="auto"/>
        <w:bottom w:val="none" w:sz="0" w:space="0" w:color="auto"/>
        <w:right w:val="none" w:sz="0" w:space="0" w:color="auto"/>
      </w:divBdr>
    </w:div>
    <w:div w:id="812212597">
      <w:bodyDiv w:val="1"/>
      <w:marLeft w:val="0"/>
      <w:marRight w:val="0"/>
      <w:marTop w:val="0"/>
      <w:marBottom w:val="0"/>
      <w:divBdr>
        <w:top w:val="none" w:sz="0" w:space="0" w:color="auto"/>
        <w:left w:val="none" w:sz="0" w:space="0" w:color="auto"/>
        <w:bottom w:val="none" w:sz="0" w:space="0" w:color="auto"/>
        <w:right w:val="none" w:sz="0" w:space="0" w:color="auto"/>
      </w:divBdr>
    </w:div>
    <w:div w:id="813136052">
      <w:bodyDiv w:val="1"/>
      <w:marLeft w:val="0"/>
      <w:marRight w:val="0"/>
      <w:marTop w:val="0"/>
      <w:marBottom w:val="0"/>
      <w:divBdr>
        <w:top w:val="none" w:sz="0" w:space="0" w:color="auto"/>
        <w:left w:val="none" w:sz="0" w:space="0" w:color="auto"/>
        <w:bottom w:val="none" w:sz="0" w:space="0" w:color="auto"/>
        <w:right w:val="none" w:sz="0" w:space="0" w:color="auto"/>
      </w:divBdr>
    </w:div>
    <w:div w:id="814755332">
      <w:bodyDiv w:val="1"/>
      <w:marLeft w:val="0"/>
      <w:marRight w:val="0"/>
      <w:marTop w:val="0"/>
      <w:marBottom w:val="0"/>
      <w:divBdr>
        <w:top w:val="none" w:sz="0" w:space="0" w:color="auto"/>
        <w:left w:val="none" w:sz="0" w:space="0" w:color="auto"/>
        <w:bottom w:val="none" w:sz="0" w:space="0" w:color="auto"/>
        <w:right w:val="none" w:sz="0" w:space="0" w:color="auto"/>
      </w:divBdr>
    </w:div>
    <w:div w:id="824854087">
      <w:bodyDiv w:val="1"/>
      <w:marLeft w:val="0"/>
      <w:marRight w:val="0"/>
      <w:marTop w:val="0"/>
      <w:marBottom w:val="0"/>
      <w:divBdr>
        <w:top w:val="none" w:sz="0" w:space="0" w:color="auto"/>
        <w:left w:val="none" w:sz="0" w:space="0" w:color="auto"/>
        <w:bottom w:val="none" w:sz="0" w:space="0" w:color="auto"/>
        <w:right w:val="none" w:sz="0" w:space="0" w:color="auto"/>
      </w:divBdr>
    </w:div>
    <w:div w:id="837965601">
      <w:bodyDiv w:val="1"/>
      <w:marLeft w:val="0"/>
      <w:marRight w:val="0"/>
      <w:marTop w:val="0"/>
      <w:marBottom w:val="0"/>
      <w:divBdr>
        <w:top w:val="none" w:sz="0" w:space="0" w:color="auto"/>
        <w:left w:val="none" w:sz="0" w:space="0" w:color="auto"/>
        <w:bottom w:val="none" w:sz="0" w:space="0" w:color="auto"/>
        <w:right w:val="none" w:sz="0" w:space="0" w:color="auto"/>
      </w:divBdr>
    </w:div>
    <w:div w:id="843400648">
      <w:bodyDiv w:val="1"/>
      <w:marLeft w:val="0"/>
      <w:marRight w:val="0"/>
      <w:marTop w:val="0"/>
      <w:marBottom w:val="0"/>
      <w:divBdr>
        <w:top w:val="none" w:sz="0" w:space="0" w:color="auto"/>
        <w:left w:val="none" w:sz="0" w:space="0" w:color="auto"/>
        <w:bottom w:val="none" w:sz="0" w:space="0" w:color="auto"/>
        <w:right w:val="none" w:sz="0" w:space="0" w:color="auto"/>
      </w:divBdr>
    </w:div>
    <w:div w:id="856653557">
      <w:bodyDiv w:val="1"/>
      <w:marLeft w:val="0"/>
      <w:marRight w:val="0"/>
      <w:marTop w:val="0"/>
      <w:marBottom w:val="0"/>
      <w:divBdr>
        <w:top w:val="none" w:sz="0" w:space="0" w:color="auto"/>
        <w:left w:val="none" w:sz="0" w:space="0" w:color="auto"/>
        <w:bottom w:val="none" w:sz="0" w:space="0" w:color="auto"/>
        <w:right w:val="none" w:sz="0" w:space="0" w:color="auto"/>
      </w:divBdr>
    </w:div>
    <w:div w:id="857962227">
      <w:bodyDiv w:val="1"/>
      <w:marLeft w:val="0"/>
      <w:marRight w:val="0"/>
      <w:marTop w:val="0"/>
      <w:marBottom w:val="0"/>
      <w:divBdr>
        <w:top w:val="none" w:sz="0" w:space="0" w:color="auto"/>
        <w:left w:val="none" w:sz="0" w:space="0" w:color="auto"/>
        <w:bottom w:val="none" w:sz="0" w:space="0" w:color="auto"/>
        <w:right w:val="none" w:sz="0" w:space="0" w:color="auto"/>
      </w:divBdr>
    </w:div>
    <w:div w:id="878008875">
      <w:bodyDiv w:val="1"/>
      <w:marLeft w:val="0"/>
      <w:marRight w:val="0"/>
      <w:marTop w:val="0"/>
      <w:marBottom w:val="0"/>
      <w:divBdr>
        <w:top w:val="none" w:sz="0" w:space="0" w:color="auto"/>
        <w:left w:val="none" w:sz="0" w:space="0" w:color="auto"/>
        <w:bottom w:val="none" w:sz="0" w:space="0" w:color="auto"/>
        <w:right w:val="none" w:sz="0" w:space="0" w:color="auto"/>
      </w:divBdr>
    </w:div>
    <w:div w:id="879048972">
      <w:bodyDiv w:val="1"/>
      <w:marLeft w:val="0"/>
      <w:marRight w:val="0"/>
      <w:marTop w:val="0"/>
      <w:marBottom w:val="0"/>
      <w:divBdr>
        <w:top w:val="none" w:sz="0" w:space="0" w:color="auto"/>
        <w:left w:val="none" w:sz="0" w:space="0" w:color="auto"/>
        <w:bottom w:val="none" w:sz="0" w:space="0" w:color="auto"/>
        <w:right w:val="none" w:sz="0" w:space="0" w:color="auto"/>
      </w:divBdr>
    </w:div>
    <w:div w:id="886919248">
      <w:bodyDiv w:val="1"/>
      <w:marLeft w:val="0"/>
      <w:marRight w:val="0"/>
      <w:marTop w:val="0"/>
      <w:marBottom w:val="0"/>
      <w:divBdr>
        <w:top w:val="none" w:sz="0" w:space="0" w:color="auto"/>
        <w:left w:val="none" w:sz="0" w:space="0" w:color="auto"/>
        <w:bottom w:val="none" w:sz="0" w:space="0" w:color="auto"/>
        <w:right w:val="none" w:sz="0" w:space="0" w:color="auto"/>
      </w:divBdr>
    </w:div>
    <w:div w:id="911239942">
      <w:bodyDiv w:val="1"/>
      <w:marLeft w:val="0"/>
      <w:marRight w:val="0"/>
      <w:marTop w:val="0"/>
      <w:marBottom w:val="0"/>
      <w:divBdr>
        <w:top w:val="none" w:sz="0" w:space="0" w:color="auto"/>
        <w:left w:val="none" w:sz="0" w:space="0" w:color="auto"/>
        <w:bottom w:val="none" w:sz="0" w:space="0" w:color="auto"/>
        <w:right w:val="none" w:sz="0" w:space="0" w:color="auto"/>
      </w:divBdr>
    </w:div>
    <w:div w:id="916135444">
      <w:bodyDiv w:val="1"/>
      <w:marLeft w:val="0"/>
      <w:marRight w:val="0"/>
      <w:marTop w:val="0"/>
      <w:marBottom w:val="0"/>
      <w:divBdr>
        <w:top w:val="none" w:sz="0" w:space="0" w:color="auto"/>
        <w:left w:val="none" w:sz="0" w:space="0" w:color="auto"/>
        <w:bottom w:val="none" w:sz="0" w:space="0" w:color="auto"/>
        <w:right w:val="none" w:sz="0" w:space="0" w:color="auto"/>
      </w:divBdr>
    </w:div>
    <w:div w:id="924726974">
      <w:bodyDiv w:val="1"/>
      <w:marLeft w:val="0"/>
      <w:marRight w:val="0"/>
      <w:marTop w:val="0"/>
      <w:marBottom w:val="0"/>
      <w:divBdr>
        <w:top w:val="none" w:sz="0" w:space="0" w:color="auto"/>
        <w:left w:val="none" w:sz="0" w:space="0" w:color="auto"/>
        <w:bottom w:val="none" w:sz="0" w:space="0" w:color="auto"/>
        <w:right w:val="none" w:sz="0" w:space="0" w:color="auto"/>
      </w:divBdr>
    </w:div>
    <w:div w:id="932208010">
      <w:bodyDiv w:val="1"/>
      <w:marLeft w:val="0"/>
      <w:marRight w:val="0"/>
      <w:marTop w:val="0"/>
      <w:marBottom w:val="0"/>
      <w:divBdr>
        <w:top w:val="none" w:sz="0" w:space="0" w:color="auto"/>
        <w:left w:val="none" w:sz="0" w:space="0" w:color="auto"/>
        <w:bottom w:val="none" w:sz="0" w:space="0" w:color="auto"/>
        <w:right w:val="none" w:sz="0" w:space="0" w:color="auto"/>
      </w:divBdr>
    </w:div>
    <w:div w:id="937325537">
      <w:bodyDiv w:val="1"/>
      <w:marLeft w:val="0"/>
      <w:marRight w:val="0"/>
      <w:marTop w:val="0"/>
      <w:marBottom w:val="0"/>
      <w:divBdr>
        <w:top w:val="none" w:sz="0" w:space="0" w:color="auto"/>
        <w:left w:val="none" w:sz="0" w:space="0" w:color="auto"/>
        <w:bottom w:val="none" w:sz="0" w:space="0" w:color="auto"/>
        <w:right w:val="none" w:sz="0" w:space="0" w:color="auto"/>
      </w:divBdr>
    </w:div>
    <w:div w:id="938637945">
      <w:bodyDiv w:val="1"/>
      <w:marLeft w:val="0"/>
      <w:marRight w:val="0"/>
      <w:marTop w:val="0"/>
      <w:marBottom w:val="0"/>
      <w:divBdr>
        <w:top w:val="none" w:sz="0" w:space="0" w:color="auto"/>
        <w:left w:val="none" w:sz="0" w:space="0" w:color="auto"/>
        <w:bottom w:val="none" w:sz="0" w:space="0" w:color="auto"/>
        <w:right w:val="none" w:sz="0" w:space="0" w:color="auto"/>
      </w:divBdr>
    </w:div>
    <w:div w:id="939679131">
      <w:bodyDiv w:val="1"/>
      <w:marLeft w:val="0"/>
      <w:marRight w:val="0"/>
      <w:marTop w:val="0"/>
      <w:marBottom w:val="0"/>
      <w:divBdr>
        <w:top w:val="none" w:sz="0" w:space="0" w:color="auto"/>
        <w:left w:val="none" w:sz="0" w:space="0" w:color="auto"/>
        <w:bottom w:val="none" w:sz="0" w:space="0" w:color="auto"/>
        <w:right w:val="none" w:sz="0" w:space="0" w:color="auto"/>
      </w:divBdr>
    </w:div>
    <w:div w:id="951400632">
      <w:bodyDiv w:val="1"/>
      <w:marLeft w:val="0"/>
      <w:marRight w:val="0"/>
      <w:marTop w:val="0"/>
      <w:marBottom w:val="0"/>
      <w:divBdr>
        <w:top w:val="none" w:sz="0" w:space="0" w:color="auto"/>
        <w:left w:val="none" w:sz="0" w:space="0" w:color="auto"/>
        <w:bottom w:val="none" w:sz="0" w:space="0" w:color="auto"/>
        <w:right w:val="none" w:sz="0" w:space="0" w:color="auto"/>
      </w:divBdr>
    </w:div>
    <w:div w:id="951672908">
      <w:bodyDiv w:val="1"/>
      <w:marLeft w:val="0"/>
      <w:marRight w:val="0"/>
      <w:marTop w:val="0"/>
      <w:marBottom w:val="0"/>
      <w:divBdr>
        <w:top w:val="none" w:sz="0" w:space="0" w:color="auto"/>
        <w:left w:val="none" w:sz="0" w:space="0" w:color="auto"/>
        <w:bottom w:val="none" w:sz="0" w:space="0" w:color="auto"/>
        <w:right w:val="none" w:sz="0" w:space="0" w:color="auto"/>
      </w:divBdr>
    </w:div>
    <w:div w:id="963779511">
      <w:bodyDiv w:val="1"/>
      <w:marLeft w:val="0"/>
      <w:marRight w:val="0"/>
      <w:marTop w:val="0"/>
      <w:marBottom w:val="0"/>
      <w:divBdr>
        <w:top w:val="none" w:sz="0" w:space="0" w:color="auto"/>
        <w:left w:val="none" w:sz="0" w:space="0" w:color="auto"/>
        <w:bottom w:val="none" w:sz="0" w:space="0" w:color="auto"/>
        <w:right w:val="none" w:sz="0" w:space="0" w:color="auto"/>
      </w:divBdr>
    </w:div>
    <w:div w:id="968783333">
      <w:bodyDiv w:val="1"/>
      <w:marLeft w:val="0"/>
      <w:marRight w:val="0"/>
      <w:marTop w:val="0"/>
      <w:marBottom w:val="0"/>
      <w:divBdr>
        <w:top w:val="none" w:sz="0" w:space="0" w:color="auto"/>
        <w:left w:val="none" w:sz="0" w:space="0" w:color="auto"/>
        <w:bottom w:val="none" w:sz="0" w:space="0" w:color="auto"/>
        <w:right w:val="none" w:sz="0" w:space="0" w:color="auto"/>
      </w:divBdr>
    </w:div>
    <w:div w:id="976569414">
      <w:bodyDiv w:val="1"/>
      <w:marLeft w:val="0"/>
      <w:marRight w:val="0"/>
      <w:marTop w:val="0"/>
      <w:marBottom w:val="0"/>
      <w:divBdr>
        <w:top w:val="none" w:sz="0" w:space="0" w:color="auto"/>
        <w:left w:val="none" w:sz="0" w:space="0" w:color="auto"/>
        <w:bottom w:val="none" w:sz="0" w:space="0" w:color="auto"/>
        <w:right w:val="none" w:sz="0" w:space="0" w:color="auto"/>
      </w:divBdr>
    </w:div>
    <w:div w:id="1004631814">
      <w:bodyDiv w:val="1"/>
      <w:marLeft w:val="0"/>
      <w:marRight w:val="0"/>
      <w:marTop w:val="0"/>
      <w:marBottom w:val="0"/>
      <w:divBdr>
        <w:top w:val="none" w:sz="0" w:space="0" w:color="auto"/>
        <w:left w:val="none" w:sz="0" w:space="0" w:color="auto"/>
        <w:bottom w:val="none" w:sz="0" w:space="0" w:color="auto"/>
        <w:right w:val="none" w:sz="0" w:space="0" w:color="auto"/>
      </w:divBdr>
    </w:div>
    <w:div w:id="1005741195">
      <w:bodyDiv w:val="1"/>
      <w:marLeft w:val="0"/>
      <w:marRight w:val="0"/>
      <w:marTop w:val="0"/>
      <w:marBottom w:val="0"/>
      <w:divBdr>
        <w:top w:val="none" w:sz="0" w:space="0" w:color="auto"/>
        <w:left w:val="none" w:sz="0" w:space="0" w:color="auto"/>
        <w:bottom w:val="none" w:sz="0" w:space="0" w:color="auto"/>
        <w:right w:val="none" w:sz="0" w:space="0" w:color="auto"/>
      </w:divBdr>
    </w:div>
    <w:div w:id="1006131785">
      <w:bodyDiv w:val="1"/>
      <w:marLeft w:val="0"/>
      <w:marRight w:val="0"/>
      <w:marTop w:val="0"/>
      <w:marBottom w:val="0"/>
      <w:divBdr>
        <w:top w:val="none" w:sz="0" w:space="0" w:color="auto"/>
        <w:left w:val="none" w:sz="0" w:space="0" w:color="auto"/>
        <w:bottom w:val="none" w:sz="0" w:space="0" w:color="auto"/>
        <w:right w:val="none" w:sz="0" w:space="0" w:color="auto"/>
      </w:divBdr>
    </w:div>
    <w:div w:id="1013339655">
      <w:bodyDiv w:val="1"/>
      <w:marLeft w:val="0"/>
      <w:marRight w:val="0"/>
      <w:marTop w:val="0"/>
      <w:marBottom w:val="0"/>
      <w:divBdr>
        <w:top w:val="none" w:sz="0" w:space="0" w:color="auto"/>
        <w:left w:val="none" w:sz="0" w:space="0" w:color="auto"/>
        <w:bottom w:val="none" w:sz="0" w:space="0" w:color="auto"/>
        <w:right w:val="none" w:sz="0" w:space="0" w:color="auto"/>
      </w:divBdr>
    </w:div>
    <w:div w:id="1017273153">
      <w:bodyDiv w:val="1"/>
      <w:marLeft w:val="0"/>
      <w:marRight w:val="0"/>
      <w:marTop w:val="0"/>
      <w:marBottom w:val="0"/>
      <w:divBdr>
        <w:top w:val="none" w:sz="0" w:space="0" w:color="auto"/>
        <w:left w:val="none" w:sz="0" w:space="0" w:color="auto"/>
        <w:bottom w:val="none" w:sz="0" w:space="0" w:color="auto"/>
        <w:right w:val="none" w:sz="0" w:space="0" w:color="auto"/>
      </w:divBdr>
    </w:div>
    <w:div w:id="1018503394">
      <w:bodyDiv w:val="1"/>
      <w:marLeft w:val="0"/>
      <w:marRight w:val="0"/>
      <w:marTop w:val="0"/>
      <w:marBottom w:val="0"/>
      <w:divBdr>
        <w:top w:val="none" w:sz="0" w:space="0" w:color="auto"/>
        <w:left w:val="none" w:sz="0" w:space="0" w:color="auto"/>
        <w:bottom w:val="none" w:sz="0" w:space="0" w:color="auto"/>
        <w:right w:val="none" w:sz="0" w:space="0" w:color="auto"/>
      </w:divBdr>
    </w:div>
    <w:div w:id="1026828781">
      <w:bodyDiv w:val="1"/>
      <w:marLeft w:val="0"/>
      <w:marRight w:val="0"/>
      <w:marTop w:val="0"/>
      <w:marBottom w:val="0"/>
      <w:divBdr>
        <w:top w:val="none" w:sz="0" w:space="0" w:color="auto"/>
        <w:left w:val="none" w:sz="0" w:space="0" w:color="auto"/>
        <w:bottom w:val="none" w:sz="0" w:space="0" w:color="auto"/>
        <w:right w:val="none" w:sz="0" w:space="0" w:color="auto"/>
      </w:divBdr>
    </w:div>
    <w:div w:id="1043403368">
      <w:bodyDiv w:val="1"/>
      <w:marLeft w:val="0"/>
      <w:marRight w:val="0"/>
      <w:marTop w:val="0"/>
      <w:marBottom w:val="0"/>
      <w:divBdr>
        <w:top w:val="none" w:sz="0" w:space="0" w:color="auto"/>
        <w:left w:val="none" w:sz="0" w:space="0" w:color="auto"/>
        <w:bottom w:val="none" w:sz="0" w:space="0" w:color="auto"/>
        <w:right w:val="none" w:sz="0" w:space="0" w:color="auto"/>
      </w:divBdr>
    </w:div>
    <w:div w:id="1050376962">
      <w:bodyDiv w:val="1"/>
      <w:marLeft w:val="0"/>
      <w:marRight w:val="0"/>
      <w:marTop w:val="0"/>
      <w:marBottom w:val="0"/>
      <w:divBdr>
        <w:top w:val="none" w:sz="0" w:space="0" w:color="auto"/>
        <w:left w:val="none" w:sz="0" w:space="0" w:color="auto"/>
        <w:bottom w:val="none" w:sz="0" w:space="0" w:color="auto"/>
        <w:right w:val="none" w:sz="0" w:space="0" w:color="auto"/>
      </w:divBdr>
    </w:div>
    <w:div w:id="1059325078">
      <w:bodyDiv w:val="1"/>
      <w:marLeft w:val="0"/>
      <w:marRight w:val="0"/>
      <w:marTop w:val="0"/>
      <w:marBottom w:val="0"/>
      <w:divBdr>
        <w:top w:val="none" w:sz="0" w:space="0" w:color="auto"/>
        <w:left w:val="none" w:sz="0" w:space="0" w:color="auto"/>
        <w:bottom w:val="none" w:sz="0" w:space="0" w:color="auto"/>
        <w:right w:val="none" w:sz="0" w:space="0" w:color="auto"/>
      </w:divBdr>
    </w:div>
    <w:div w:id="1083258126">
      <w:bodyDiv w:val="1"/>
      <w:marLeft w:val="0"/>
      <w:marRight w:val="0"/>
      <w:marTop w:val="0"/>
      <w:marBottom w:val="0"/>
      <w:divBdr>
        <w:top w:val="none" w:sz="0" w:space="0" w:color="auto"/>
        <w:left w:val="none" w:sz="0" w:space="0" w:color="auto"/>
        <w:bottom w:val="none" w:sz="0" w:space="0" w:color="auto"/>
        <w:right w:val="none" w:sz="0" w:space="0" w:color="auto"/>
      </w:divBdr>
    </w:div>
    <w:div w:id="1088307958">
      <w:bodyDiv w:val="1"/>
      <w:marLeft w:val="0"/>
      <w:marRight w:val="0"/>
      <w:marTop w:val="0"/>
      <w:marBottom w:val="0"/>
      <w:divBdr>
        <w:top w:val="none" w:sz="0" w:space="0" w:color="auto"/>
        <w:left w:val="none" w:sz="0" w:space="0" w:color="auto"/>
        <w:bottom w:val="none" w:sz="0" w:space="0" w:color="auto"/>
        <w:right w:val="none" w:sz="0" w:space="0" w:color="auto"/>
      </w:divBdr>
    </w:div>
    <w:div w:id="1092430034">
      <w:bodyDiv w:val="1"/>
      <w:marLeft w:val="0"/>
      <w:marRight w:val="0"/>
      <w:marTop w:val="0"/>
      <w:marBottom w:val="0"/>
      <w:divBdr>
        <w:top w:val="none" w:sz="0" w:space="0" w:color="auto"/>
        <w:left w:val="none" w:sz="0" w:space="0" w:color="auto"/>
        <w:bottom w:val="none" w:sz="0" w:space="0" w:color="auto"/>
        <w:right w:val="none" w:sz="0" w:space="0" w:color="auto"/>
      </w:divBdr>
    </w:div>
    <w:div w:id="1103766035">
      <w:bodyDiv w:val="1"/>
      <w:marLeft w:val="0"/>
      <w:marRight w:val="0"/>
      <w:marTop w:val="0"/>
      <w:marBottom w:val="0"/>
      <w:divBdr>
        <w:top w:val="none" w:sz="0" w:space="0" w:color="auto"/>
        <w:left w:val="none" w:sz="0" w:space="0" w:color="auto"/>
        <w:bottom w:val="none" w:sz="0" w:space="0" w:color="auto"/>
        <w:right w:val="none" w:sz="0" w:space="0" w:color="auto"/>
      </w:divBdr>
    </w:div>
    <w:div w:id="1109743257">
      <w:bodyDiv w:val="1"/>
      <w:marLeft w:val="0"/>
      <w:marRight w:val="0"/>
      <w:marTop w:val="0"/>
      <w:marBottom w:val="0"/>
      <w:divBdr>
        <w:top w:val="none" w:sz="0" w:space="0" w:color="auto"/>
        <w:left w:val="none" w:sz="0" w:space="0" w:color="auto"/>
        <w:bottom w:val="none" w:sz="0" w:space="0" w:color="auto"/>
        <w:right w:val="none" w:sz="0" w:space="0" w:color="auto"/>
      </w:divBdr>
    </w:div>
    <w:div w:id="1122336086">
      <w:bodyDiv w:val="1"/>
      <w:marLeft w:val="0"/>
      <w:marRight w:val="0"/>
      <w:marTop w:val="0"/>
      <w:marBottom w:val="0"/>
      <w:divBdr>
        <w:top w:val="none" w:sz="0" w:space="0" w:color="auto"/>
        <w:left w:val="none" w:sz="0" w:space="0" w:color="auto"/>
        <w:bottom w:val="none" w:sz="0" w:space="0" w:color="auto"/>
        <w:right w:val="none" w:sz="0" w:space="0" w:color="auto"/>
      </w:divBdr>
    </w:div>
    <w:div w:id="1134256825">
      <w:bodyDiv w:val="1"/>
      <w:marLeft w:val="0"/>
      <w:marRight w:val="0"/>
      <w:marTop w:val="0"/>
      <w:marBottom w:val="0"/>
      <w:divBdr>
        <w:top w:val="none" w:sz="0" w:space="0" w:color="auto"/>
        <w:left w:val="none" w:sz="0" w:space="0" w:color="auto"/>
        <w:bottom w:val="none" w:sz="0" w:space="0" w:color="auto"/>
        <w:right w:val="none" w:sz="0" w:space="0" w:color="auto"/>
      </w:divBdr>
    </w:div>
    <w:div w:id="1138187130">
      <w:bodyDiv w:val="1"/>
      <w:marLeft w:val="0"/>
      <w:marRight w:val="0"/>
      <w:marTop w:val="0"/>
      <w:marBottom w:val="0"/>
      <w:divBdr>
        <w:top w:val="none" w:sz="0" w:space="0" w:color="auto"/>
        <w:left w:val="none" w:sz="0" w:space="0" w:color="auto"/>
        <w:bottom w:val="none" w:sz="0" w:space="0" w:color="auto"/>
        <w:right w:val="none" w:sz="0" w:space="0" w:color="auto"/>
      </w:divBdr>
    </w:div>
    <w:div w:id="1139809696">
      <w:bodyDiv w:val="1"/>
      <w:marLeft w:val="0"/>
      <w:marRight w:val="0"/>
      <w:marTop w:val="0"/>
      <w:marBottom w:val="0"/>
      <w:divBdr>
        <w:top w:val="none" w:sz="0" w:space="0" w:color="auto"/>
        <w:left w:val="none" w:sz="0" w:space="0" w:color="auto"/>
        <w:bottom w:val="none" w:sz="0" w:space="0" w:color="auto"/>
        <w:right w:val="none" w:sz="0" w:space="0" w:color="auto"/>
      </w:divBdr>
    </w:div>
    <w:div w:id="1155872596">
      <w:bodyDiv w:val="1"/>
      <w:marLeft w:val="0"/>
      <w:marRight w:val="0"/>
      <w:marTop w:val="0"/>
      <w:marBottom w:val="0"/>
      <w:divBdr>
        <w:top w:val="none" w:sz="0" w:space="0" w:color="auto"/>
        <w:left w:val="none" w:sz="0" w:space="0" w:color="auto"/>
        <w:bottom w:val="none" w:sz="0" w:space="0" w:color="auto"/>
        <w:right w:val="none" w:sz="0" w:space="0" w:color="auto"/>
      </w:divBdr>
    </w:div>
    <w:div w:id="1158039435">
      <w:bodyDiv w:val="1"/>
      <w:marLeft w:val="0"/>
      <w:marRight w:val="0"/>
      <w:marTop w:val="0"/>
      <w:marBottom w:val="0"/>
      <w:divBdr>
        <w:top w:val="none" w:sz="0" w:space="0" w:color="auto"/>
        <w:left w:val="none" w:sz="0" w:space="0" w:color="auto"/>
        <w:bottom w:val="none" w:sz="0" w:space="0" w:color="auto"/>
        <w:right w:val="none" w:sz="0" w:space="0" w:color="auto"/>
      </w:divBdr>
    </w:div>
    <w:div w:id="1169633841">
      <w:bodyDiv w:val="1"/>
      <w:marLeft w:val="0"/>
      <w:marRight w:val="0"/>
      <w:marTop w:val="0"/>
      <w:marBottom w:val="0"/>
      <w:divBdr>
        <w:top w:val="none" w:sz="0" w:space="0" w:color="auto"/>
        <w:left w:val="none" w:sz="0" w:space="0" w:color="auto"/>
        <w:bottom w:val="none" w:sz="0" w:space="0" w:color="auto"/>
        <w:right w:val="none" w:sz="0" w:space="0" w:color="auto"/>
      </w:divBdr>
    </w:div>
    <w:div w:id="1177959122">
      <w:bodyDiv w:val="1"/>
      <w:marLeft w:val="0"/>
      <w:marRight w:val="0"/>
      <w:marTop w:val="0"/>
      <w:marBottom w:val="0"/>
      <w:divBdr>
        <w:top w:val="none" w:sz="0" w:space="0" w:color="auto"/>
        <w:left w:val="none" w:sz="0" w:space="0" w:color="auto"/>
        <w:bottom w:val="none" w:sz="0" w:space="0" w:color="auto"/>
        <w:right w:val="none" w:sz="0" w:space="0" w:color="auto"/>
      </w:divBdr>
    </w:div>
    <w:div w:id="1184242347">
      <w:bodyDiv w:val="1"/>
      <w:marLeft w:val="0"/>
      <w:marRight w:val="0"/>
      <w:marTop w:val="0"/>
      <w:marBottom w:val="0"/>
      <w:divBdr>
        <w:top w:val="none" w:sz="0" w:space="0" w:color="auto"/>
        <w:left w:val="none" w:sz="0" w:space="0" w:color="auto"/>
        <w:bottom w:val="none" w:sz="0" w:space="0" w:color="auto"/>
        <w:right w:val="none" w:sz="0" w:space="0" w:color="auto"/>
      </w:divBdr>
    </w:div>
    <w:div w:id="1193373073">
      <w:bodyDiv w:val="1"/>
      <w:marLeft w:val="0"/>
      <w:marRight w:val="0"/>
      <w:marTop w:val="0"/>
      <w:marBottom w:val="0"/>
      <w:divBdr>
        <w:top w:val="none" w:sz="0" w:space="0" w:color="auto"/>
        <w:left w:val="none" w:sz="0" w:space="0" w:color="auto"/>
        <w:bottom w:val="none" w:sz="0" w:space="0" w:color="auto"/>
        <w:right w:val="none" w:sz="0" w:space="0" w:color="auto"/>
      </w:divBdr>
    </w:div>
    <w:div w:id="1213270620">
      <w:bodyDiv w:val="1"/>
      <w:marLeft w:val="0"/>
      <w:marRight w:val="0"/>
      <w:marTop w:val="0"/>
      <w:marBottom w:val="0"/>
      <w:divBdr>
        <w:top w:val="none" w:sz="0" w:space="0" w:color="auto"/>
        <w:left w:val="none" w:sz="0" w:space="0" w:color="auto"/>
        <w:bottom w:val="none" w:sz="0" w:space="0" w:color="auto"/>
        <w:right w:val="none" w:sz="0" w:space="0" w:color="auto"/>
      </w:divBdr>
    </w:div>
    <w:div w:id="1228150661">
      <w:bodyDiv w:val="1"/>
      <w:marLeft w:val="0"/>
      <w:marRight w:val="0"/>
      <w:marTop w:val="0"/>
      <w:marBottom w:val="0"/>
      <w:divBdr>
        <w:top w:val="none" w:sz="0" w:space="0" w:color="auto"/>
        <w:left w:val="none" w:sz="0" w:space="0" w:color="auto"/>
        <w:bottom w:val="none" w:sz="0" w:space="0" w:color="auto"/>
        <w:right w:val="none" w:sz="0" w:space="0" w:color="auto"/>
      </w:divBdr>
    </w:div>
    <w:div w:id="1230649113">
      <w:bodyDiv w:val="1"/>
      <w:marLeft w:val="0"/>
      <w:marRight w:val="0"/>
      <w:marTop w:val="0"/>
      <w:marBottom w:val="0"/>
      <w:divBdr>
        <w:top w:val="none" w:sz="0" w:space="0" w:color="auto"/>
        <w:left w:val="none" w:sz="0" w:space="0" w:color="auto"/>
        <w:bottom w:val="none" w:sz="0" w:space="0" w:color="auto"/>
        <w:right w:val="none" w:sz="0" w:space="0" w:color="auto"/>
      </w:divBdr>
    </w:div>
    <w:div w:id="1239822859">
      <w:bodyDiv w:val="1"/>
      <w:marLeft w:val="0"/>
      <w:marRight w:val="0"/>
      <w:marTop w:val="0"/>
      <w:marBottom w:val="0"/>
      <w:divBdr>
        <w:top w:val="none" w:sz="0" w:space="0" w:color="auto"/>
        <w:left w:val="none" w:sz="0" w:space="0" w:color="auto"/>
        <w:bottom w:val="none" w:sz="0" w:space="0" w:color="auto"/>
        <w:right w:val="none" w:sz="0" w:space="0" w:color="auto"/>
      </w:divBdr>
    </w:div>
    <w:div w:id="1244025755">
      <w:bodyDiv w:val="1"/>
      <w:marLeft w:val="0"/>
      <w:marRight w:val="0"/>
      <w:marTop w:val="0"/>
      <w:marBottom w:val="0"/>
      <w:divBdr>
        <w:top w:val="none" w:sz="0" w:space="0" w:color="auto"/>
        <w:left w:val="none" w:sz="0" w:space="0" w:color="auto"/>
        <w:bottom w:val="none" w:sz="0" w:space="0" w:color="auto"/>
        <w:right w:val="none" w:sz="0" w:space="0" w:color="auto"/>
      </w:divBdr>
    </w:div>
    <w:div w:id="1246497662">
      <w:bodyDiv w:val="1"/>
      <w:marLeft w:val="0"/>
      <w:marRight w:val="0"/>
      <w:marTop w:val="0"/>
      <w:marBottom w:val="0"/>
      <w:divBdr>
        <w:top w:val="none" w:sz="0" w:space="0" w:color="auto"/>
        <w:left w:val="none" w:sz="0" w:space="0" w:color="auto"/>
        <w:bottom w:val="none" w:sz="0" w:space="0" w:color="auto"/>
        <w:right w:val="none" w:sz="0" w:space="0" w:color="auto"/>
      </w:divBdr>
    </w:div>
    <w:div w:id="1249316254">
      <w:bodyDiv w:val="1"/>
      <w:marLeft w:val="0"/>
      <w:marRight w:val="0"/>
      <w:marTop w:val="0"/>
      <w:marBottom w:val="0"/>
      <w:divBdr>
        <w:top w:val="none" w:sz="0" w:space="0" w:color="auto"/>
        <w:left w:val="none" w:sz="0" w:space="0" w:color="auto"/>
        <w:bottom w:val="none" w:sz="0" w:space="0" w:color="auto"/>
        <w:right w:val="none" w:sz="0" w:space="0" w:color="auto"/>
      </w:divBdr>
    </w:div>
    <w:div w:id="1261376068">
      <w:bodyDiv w:val="1"/>
      <w:marLeft w:val="0"/>
      <w:marRight w:val="0"/>
      <w:marTop w:val="0"/>
      <w:marBottom w:val="0"/>
      <w:divBdr>
        <w:top w:val="none" w:sz="0" w:space="0" w:color="auto"/>
        <w:left w:val="none" w:sz="0" w:space="0" w:color="auto"/>
        <w:bottom w:val="none" w:sz="0" w:space="0" w:color="auto"/>
        <w:right w:val="none" w:sz="0" w:space="0" w:color="auto"/>
      </w:divBdr>
    </w:div>
    <w:div w:id="1264873709">
      <w:bodyDiv w:val="1"/>
      <w:marLeft w:val="0"/>
      <w:marRight w:val="0"/>
      <w:marTop w:val="0"/>
      <w:marBottom w:val="0"/>
      <w:divBdr>
        <w:top w:val="none" w:sz="0" w:space="0" w:color="auto"/>
        <w:left w:val="none" w:sz="0" w:space="0" w:color="auto"/>
        <w:bottom w:val="none" w:sz="0" w:space="0" w:color="auto"/>
        <w:right w:val="none" w:sz="0" w:space="0" w:color="auto"/>
      </w:divBdr>
    </w:div>
    <w:div w:id="1265646649">
      <w:bodyDiv w:val="1"/>
      <w:marLeft w:val="0"/>
      <w:marRight w:val="0"/>
      <w:marTop w:val="0"/>
      <w:marBottom w:val="0"/>
      <w:divBdr>
        <w:top w:val="none" w:sz="0" w:space="0" w:color="auto"/>
        <w:left w:val="none" w:sz="0" w:space="0" w:color="auto"/>
        <w:bottom w:val="none" w:sz="0" w:space="0" w:color="auto"/>
        <w:right w:val="none" w:sz="0" w:space="0" w:color="auto"/>
      </w:divBdr>
    </w:div>
    <w:div w:id="1272469264">
      <w:bodyDiv w:val="1"/>
      <w:marLeft w:val="0"/>
      <w:marRight w:val="0"/>
      <w:marTop w:val="0"/>
      <w:marBottom w:val="0"/>
      <w:divBdr>
        <w:top w:val="none" w:sz="0" w:space="0" w:color="auto"/>
        <w:left w:val="none" w:sz="0" w:space="0" w:color="auto"/>
        <w:bottom w:val="none" w:sz="0" w:space="0" w:color="auto"/>
        <w:right w:val="none" w:sz="0" w:space="0" w:color="auto"/>
      </w:divBdr>
    </w:div>
    <w:div w:id="1274552517">
      <w:bodyDiv w:val="1"/>
      <w:marLeft w:val="0"/>
      <w:marRight w:val="0"/>
      <w:marTop w:val="0"/>
      <w:marBottom w:val="0"/>
      <w:divBdr>
        <w:top w:val="none" w:sz="0" w:space="0" w:color="auto"/>
        <w:left w:val="none" w:sz="0" w:space="0" w:color="auto"/>
        <w:bottom w:val="none" w:sz="0" w:space="0" w:color="auto"/>
        <w:right w:val="none" w:sz="0" w:space="0" w:color="auto"/>
      </w:divBdr>
    </w:div>
    <w:div w:id="1282035254">
      <w:bodyDiv w:val="1"/>
      <w:marLeft w:val="0"/>
      <w:marRight w:val="0"/>
      <w:marTop w:val="0"/>
      <w:marBottom w:val="0"/>
      <w:divBdr>
        <w:top w:val="none" w:sz="0" w:space="0" w:color="auto"/>
        <w:left w:val="none" w:sz="0" w:space="0" w:color="auto"/>
        <w:bottom w:val="none" w:sz="0" w:space="0" w:color="auto"/>
        <w:right w:val="none" w:sz="0" w:space="0" w:color="auto"/>
      </w:divBdr>
    </w:div>
    <w:div w:id="1285426781">
      <w:bodyDiv w:val="1"/>
      <w:marLeft w:val="0"/>
      <w:marRight w:val="0"/>
      <w:marTop w:val="0"/>
      <w:marBottom w:val="0"/>
      <w:divBdr>
        <w:top w:val="none" w:sz="0" w:space="0" w:color="auto"/>
        <w:left w:val="none" w:sz="0" w:space="0" w:color="auto"/>
        <w:bottom w:val="none" w:sz="0" w:space="0" w:color="auto"/>
        <w:right w:val="none" w:sz="0" w:space="0" w:color="auto"/>
      </w:divBdr>
    </w:div>
    <w:div w:id="1291668660">
      <w:bodyDiv w:val="1"/>
      <w:marLeft w:val="0"/>
      <w:marRight w:val="0"/>
      <w:marTop w:val="0"/>
      <w:marBottom w:val="0"/>
      <w:divBdr>
        <w:top w:val="none" w:sz="0" w:space="0" w:color="auto"/>
        <w:left w:val="none" w:sz="0" w:space="0" w:color="auto"/>
        <w:bottom w:val="none" w:sz="0" w:space="0" w:color="auto"/>
        <w:right w:val="none" w:sz="0" w:space="0" w:color="auto"/>
      </w:divBdr>
    </w:div>
    <w:div w:id="1297026599">
      <w:bodyDiv w:val="1"/>
      <w:marLeft w:val="0"/>
      <w:marRight w:val="0"/>
      <w:marTop w:val="0"/>
      <w:marBottom w:val="0"/>
      <w:divBdr>
        <w:top w:val="none" w:sz="0" w:space="0" w:color="auto"/>
        <w:left w:val="none" w:sz="0" w:space="0" w:color="auto"/>
        <w:bottom w:val="none" w:sz="0" w:space="0" w:color="auto"/>
        <w:right w:val="none" w:sz="0" w:space="0" w:color="auto"/>
      </w:divBdr>
    </w:div>
    <w:div w:id="1313022636">
      <w:bodyDiv w:val="1"/>
      <w:marLeft w:val="0"/>
      <w:marRight w:val="0"/>
      <w:marTop w:val="0"/>
      <w:marBottom w:val="0"/>
      <w:divBdr>
        <w:top w:val="none" w:sz="0" w:space="0" w:color="auto"/>
        <w:left w:val="none" w:sz="0" w:space="0" w:color="auto"/>
        <w:bottom w:val="none" w:sz="0" w:space="0" w:color="auto"/>
        <w:right w:val="none" w:sz="0" w:space="0" w:color="auto"/>
      </w:divBdr>
    </w:div>
    <w:div w:id="1323851190">
      <w:bodyDiv w:val="1"/>
      <w:marLeft w:val="0"/>
      <w:marRight w:val="0"/>
      <w:marTop w:val="0"/>
      <w:marBottom w:val="0"/>
      <w:divBdr>
        <w:top w:val="none" w:sz="0" w:space="0" w:color="auto"/>
        <w:left w:val="none" w:sz="0" w:space="0" w:color="auto"/>
        <w:bottom w:val="none" w:sz="0" w:space="0" w:color="auto"/>
        <w:right w:val="none" w:sz="0" w:space="0" w:color="auto"/>
      </w:divBdr>
    </w:div>
    <w:div w:id="1328901459">
      <w:bodyDiv w:val="1"/>
      <w:marLeft w:val="0"/>
      <w:marRight w:val="0"/>
      <w:marTop w:val="0"/>
      <w:marBottom w:val="0"/>
      <w:divBdr>
        <w:top w:val="none" w:sz="0" w:space="0" w:color="auto"/>
        <w:left w:val="none" w:sz="0" w:space="0" w:color="auto"/>
        <w:bottom w:val="none" w:sz="0" w:space="0" w:color="auto"/>
        <w:right w:val="none" w:sz="0" w:space="0" w:color="auto"/>
      </w:divBdr>
    </w:div>
    <w:div w:id="1331718761">
      <w:bodyDiv w:val="1"/>
      <w:marLeft w:val="0"/>
      <w:marRight w:val="0"/>
      <w:marTop w:val="0"/>
      <w:marBottom w:val="0"/>
      <w:divBdr>
        <w:top w:val="none" w:sz="0" w:space="0" w:color="auto"/>
        <w:left w:val="none" w:sz="0" w:space="0" w:color="auto"/>
        <w:bottom w:val="none" w:sz="0" w:space="0" w:color="auto"/>
        <w:right w:val="none" w:sz="0" w:space="0" w:color="auto"/>
      </w:divBdr>
    </w:div>
    <w:div w:id="1337420343">
      <w:bodyDiv w:val="1"/>
      <w:marLeft w:val="0"/>
      <w:marRight w:val="0"/>
      <w:marTop w:val="0"/>
      <w:marBottom w:val="0"/>
      <w:divBdr>
        <w:top w:val="none" w:sz="0" w:space="0" w:color="auto"/>
        <w:left w:val="none" w:sz="0" w:space="0" w:color="auto"/>
        <w:bottom w:val="none" w:sz="0" w:space="0" w:color="auto"/>
        <w:right w:val="none" w:sz="0" w:space="0" w:color="auto"/>
      </w:divBdr>
    </w:div>
    <w:div w:id="1348411997">
      <w:bodyDiv w:val="1"/>
      <w:marLeft w:val="0"/>
      <w:marRight w:val="0"/>
      <w:marTop w:val="0"/>
      <w:marBottom w:val="0"/>
      <w:divBdr>
        <w:top w:val="none" w:sz="0" w:space="0" w:color="auto"/>
        <w:left w:val="none" w:sz="0" w:space="0" w:color="auto"/>
        <w:bottom w:val="none" w:sz="0" w:space="0" w:color="auto"/>
        <w:right w:val="none" w:sz="0" w:space="0" w:color="auto"/>
      </w:divBdr>
    </w:div>
    <w:div w:id="1363900537">
      <w:bodyDiv w:val="1"/>
      <w:marLeft w:val="0"/>
      <w:marRight w:val="0"/>
      <w:marTop w:val="0"/>
      <w:marBottom w:val="0"/>
      <w:divBdr>
        <w:top w:val="none" w:sz="0" w:space="0" w:color="auto"/>
        <w:left w:val="none" w:sz="0" w:space="0" w:color="auto"/>
        <w:bottom w:val="none" w:sz="0" w:space="0" w:color="auto"/>
        <w:right w:val="none" w:sz="0" w:space="0" w:color="auto"/>
      </w:divBdr>
    </w:div>
    <w:div w:id="1367019498">
      <w:bodyDiv w:val="1"/>
      <w:marLeft w:val="0"/>
      <w:marRight w:val="0"/>
      <w:marTop w:val="0"/>
      <w:marBottom w:val="0"/>
      <w:divBdr>
        <w:top w:val="none" w:sz="0" w:space="0" w:color="auto"/>
        <w:left w:val="none" w:sz="0" w:space="0" w:color="auto"/>
        <w:bottom w:val="none" w:sz="0" w:space="0" w:color="auto"/>
        <w:right w:val="none" w:sz="0" w:space="0" w:color="auto"/>
      </w:divBdr>
    </w:div>
    <w:div w:id="1370759809">
      <w:bodyDiv w:val="1"/>
      <w:marLeft w:val="0"/>
      <w:marRight w:val="0"/>
      <w:marTop w:val="0"/>
      <w:marBottom w:val="0"/>
      <w:divBdr>
        <w:top w:val="none" w:sz="0" w:space="0" w:color="auto"/>
        <w:left w:val="none" w:sz="0" w:space="0" w:color="auto"/>
        <w:bottom w:val="none" w:sz="0" w:space="0" w:color="auto"/>
        <w:right w:val="none" w:sz="0" w:space="0" w:color="auto"/>
      </w:divBdr>
    </w:div>
    <w:div w:id="1373574577">
      <w:bodyDiv w:val="1"/>
      <w:marLeft w:val="0"/>
      <w:marRight w:val="0"/>
      <w:marTop w:val="0"/>
      <w:marBottom w:val="0"/>
      <w:divBdr>
        <w:top w:val="none" w:sz="0" w:space="0" w:color="auto"/>
        <w:left w:val="none" w:sz="0" w:space="0" w:color="auto"/>
        <w:bottom w:val="none" w:sz="0" w:space="0" w:color="auto"/>
        <w:right w:val="none" w:sz="0" w:space="0" w:color="auto"/>
      </w:divBdr>
    </w:div>
    <w:div w:id="1390377475">
      <w:bodyDiv w:val="1"/>
      <w:marLeft w:val="0"/>
      <w:marRight w:val="0"/>
      <w:marTop w:val="0"/>
      <w:marBottom w:val="0"/>
      <w:divBdr>
        <w:top w:val="none" w:sz="0" w:space="0" w:color="auto"/>
        <w:left w:val="none" w:sz="0" w:space="0" w:color="auto"/>
        <w:bottom w:val="none" w:sz="0" w:space="0" w:color="auto"/>
        <w:right w:val="none" w:sz="0" w:space="0" w:color="auto"/>
      </w:divBdr>
    </w:div>
    <w:div w:id="1398481636">
      <w:bodyDiv w:val="1"/>
      <w:marLeft w:val="0"/>
      <w:marRight w:val="0"/>
      <w:marTop w:val="0"/>
      <w:marBottom w:val="0"/>
      <w:divBdr>
        <w:top w:val="none" w:sz="0" w:space="0" w:color="auto"/>
        <w:left w:val="none" w:sz="0" w:space="0" w:color="auto"/>
        <w:bottom w:val="none" w:sz="0" w:space="0" w:color="auto"/>
        <w:right w:val="none" w:sz="0" w:space="0" w:color="auto"/>
      </w:divBdr>
    </w:div>
    <w:div w:id="1402410732">
      <w:bodyDiv w:val="1"/>
      <w:marLeft w:val="0"/>
      <w:marRight w:val="0"/>
      <w:marTop w:val="0"/>
      <w:marBottom w:val="0"/>
      <w:divBdr>
        <w:top w:val="none" w:sz="0" w:space="0" w:color="auto"/>
        <w:left w:val="none" w:sz="0" w:space="0" w:color="auto"/>
        <w:bottom w:val="none" w:sz="0" w:space="0" w:color="auto"/>
        <w:right w:val="none" w:sz="0" w:space="0" w:color="auto"/>
      </w:divBdr>
    </w:div>
    <w:div w:id="1403478784">
      <w:bodyDiv w:val="1"/>
      <w:marLeft w:val="0"/>
      <w:marRight w:val="0"/>
      <w:marTop w:val="0"/>
      <w:marBottom w:val="0"/>
      <w:divBdr>
        <w:top w:val="none" w:sz="0" w:space="0" w:color="auto"/>
        <w:left w:val="none" w:sz="0" w:space="0" w:color="auto"/>
        <w:bottom w:val="none" w:sz="0" w:space="0" w:color="auto"/>
        <w:right w:val="none" w:sz="0" w:space="0" w:color="auto"/>
      </w:divBdr>
    </w:div>
    <w:div w:id="1409382125">
      <w:bodyDiv w:val="1"/>
      <w:marLeft w:val="0"/>
      <w:marRight w:val="0"/>
      <w:marTop w:val="0"/>
      <w:marBottom w:val="0"/>
      <w:divBdr>
        <w:top w:val="none" w:sz="0" w:space="0" w:color="auto"/>
        <w:left w:val="none" w:sz="0" w:space="0" w:color="auto"/>
        <w:bottom w:val="none" w:sz="0" w:space="0" w:color="auto"/>
        <w:right w:val="none" w:sz="0" w:space="0" w:color="auto"/>
      </w:divBdr>
    </w:div>
    <w:div w:id="1416242006">
      <w:bodyDiv w:val="1"/>
      <w:marLeft w:val="0"/>
      <w:marRight w:val="0"/>
      <w:marTop w:val="0"/>
      <w:marBottom w:val="0"/>
      <w:divBdr>
        <w:top w:val="none" w:sz="0" w:space="0" w:color="auto"/>
        <w:left w:val="none" w:sz="0" w:space="0" w:color="auto"/>
        <w:bottom w:val="none" w:sz="0" w:space="0" w:color="auto"/>
        <w:right w:val="none" w:sz="0" w:space="0" w:color="auto"/>
      </w:divBdr>
    </w:div>
    <w:div w:id="1419668188">
      <w:bodyDiv w:val="1"/>
      <w:marLeft w:val="0"/>
      <w:marRight w:val="0"/>
      <w:marTop w:val="0"/>
      <w:marBottom w:val="0"/>
      <w:divBdr>
        <w:top w:val="none" w:sz="0" w:space="0" w:color="auto"/>
        <w:left w:val="none" w:sz="0" w:space="0" w:color="auto"/>
        <w:bottom w:val="none" w:sz="0" w:space="0" w:color="auto"/>
        <w:right w:val="none" w:sz="0" w:space="0" w:color="auto"/>
      </w:divBdr>
    </w:div>
    <w:div w:id="1420828921">
      <w:bodyDiv w:val="1"/>
      <w:marLeft w:val="0"/>
      <w:marRight w:val="0"/>
      <w:marTop w:val="0"/>
      <w:marBottom w:val="0"/>
      <w:divBdr>
        <w:top w:val="none" w:sz="0" w:space="0" w:color="auto"/>
        <w:left w:val="none" w:sz="0" w:space="0" w:color="auto"/>
        <w:bottom w:val="none" w:sz="0" w:space="0" w:color="auto"/>
        <w:right w:val="none" w:sz="0" w:space="0" w:color="auto"/>
      </w:divBdr>
    </w:div>
    <w:div w:id="1423838421">
      <w:bodyDiv w:val="1"/>
      <w:marLeft w:val="0"/>
      <w:marRight w:val="0"/>
      <w:marTop w:val="0"/>
      <w:marBottom w:val="0"/>
      <w:divBdr>
        <w:top w:val="none" w:sz="0" w:space="0" w:color="auto"/>
        <w:left w:val="none" w:sz="0" w:space="0" w:color="auto"/>
        <w:bottom w:val="none" w:sz="0" w:space="0" w:color="auto"/>
        <w:right w:val="none" w:sz="0" w:space="0" w:color="auto"/>
      </w:divBdr>
    </w:div>
    <w:div w:id="1440221958">
      <w:bodyDiv w:val="1"/>
      <w:marLeft w:val="0"/>
      <w:marRight w:val="0"/>
      <w:marTop w:val="0"/>
      <w:marBottom w:val="0"/>
      <w:divBdr>
        <w:top w:val="none" w:sz="0" w:space="0" w:color="auto"/>
        <w:left w:val="none" w:sz="0" w:space="0" w:color="auto"/>
        <w:bottom w:val="none" w:sz="0" w:space="0" w:color="auto"/>
        <w:right w:val="none" w:sz="0" w:space="0" w:color="auto"/>
      </w:divBdr>
    </w:div>
    <w:div w:id="1448159700">
      <w:bodyDiv w:val="1"/>
      <w:marLeft w:val="0"/>
      <w:marRight w:val="0"/>
      <w:marTop w:val="0"/>
      <w:marBottom w:val="0"/>
      <w:divBdr>
        <w:top w:val="none" w:sz="0" w:space="0" w:color="auto"/>
        <w:left w:val="none" w:sz="0" w:space="0" w:color="auto"/>
        <w:bottom w:val="none" w:sz="0" w:space="0" w:color="auto"/>
        <w:right w:val="none" w:sz="0" w:space="0" w:color="auto"/>
      </w:divBdr>
    </w:div>
    <w:div w:id="1462311615">
      <w:bodyDiv w:val="1"/>
      <w:marLeft w:val="0"/>
      <w:marRight w:val="0"/>
      <w:marTop w:val="0"/>
      <w:marBottom w:val="0"/>
      <w:divBdr>
        <w:top w:val="none" w:sz="0" w:space="0" w:color="auto"/>
        <w:left w:val="none" w:sz="0" w:space="0" w:color="auto"/>
        <w:bottom w:val="none" w:sz="0" w:space="0" w:color="auto"/>
        <w:right w:val="none" w:sz="0" w:space="0" w:color="auto"/>
      </w:divBdr>
    </w:div>
    <w:div w:id="1480151987">
      <w:bodyDiv w:val="1"/>
      <w:marLeft w:val="0"/>
      <w:marRight w:val="0"/>
      <w:marTop w:val="0"/>
      <w:marBottom w:val="0"/>
      <w:divBdr>
        <w:top w:val="none" w:sz="0" w:space="0" w:color="auto"/>
        <w:left w:val="none" w:sz="0" w:space="0" w:color="auto"/>
        <w:bottom w:val="none" w:sz="0" w:space="0" w:color="auto"/>
        <w:right w:val="none" w:sz="0" w:space="0" w:color="auto"/>
      </w:divBdr>
    </w:div>
    <w:div w:id="1494879641">
      <w:bodyDiv w:val="1"/>
      <w:marLeft w:val="0"/>
      <w:marRight w:val="0"/>
      <w:marTop w:val="0"/>
      <w:marBottom w:val="0"/>
      <w:divBdr>
        <w:top w:val="none" w:sz="0" w:space="0" w:color="auto"/>
        <w:left w:val="none" w:sz="0" w:space="0" w:color="auto"/>
        <w:bottom w:val="none" w:sz="0" w:space="0" w:color="auto"/>
        <w:right w:val="none" w:sz="0" w:space="0" w:color="auto"/>
      </w:divBdr>
    </w:div>
    <w:div w:id="1505588425">
      <w:bodyDiv w:val="1"/>
      <w:marLeft w:val="0"/>
      <w:marRight w:val="0"/>
      <w:marTop w:val="0"/>
      <w:marBottom w:val="0"/>
      <w:divBdr>
        <w:top w:val="none" w:sz="0" w:space="0" w:color="auto"/>
        <w:left w:val="none" w:sz="0" w:space="0" w:color="auto"/>
        <w:bottom w:val="none" w:sz="0" w:space="0" w:color="auto"/>
        <w:right w:val="none" w:sz="0" w:space="0" w:color="auto"/>
      </w:divBdr>
    </w:div>
    <w:div w:id="1520966414">
      <w:bodyDiv w:val="1"/>
      <w:marLeft w:val="0"/>
      <w:marRight w:val="0"/>
      <w:marTop w:val="0"/>
      <w:marBottom w:val="0"/>
      <w:divBdr>
        <w:top w:val="none" w:sz="0" w:space="0" w:color="auto"/>
        <w:left w:val="none" w:sz="0" w:space="0" w:color="auto"/>
        <w:bottom w:val="none" w:sz="0" w:space="0" w:color="auto"/>
        <w:right w:val="none" w:sz="0" w:space="0" w:color="auto"/>
      </w:divBdr>
    </w:div>
    <w:div w:id="1524199663">
      <w:bodyDiv w:val="1"/>
      <w:marLeft w:val="0"/>
      <w:marRight w:val="0"/>
      <w:marTop w:val="0"/>
      <w:marBottom w:val="0"/>
      <w:divBdr>
        <w:top w:val="none" w:sz="0" w:space="0" w:color="auto"/>
        <w:left w:val="none" w:sz="0" w:space="0" w:color="auto"/>
        <w:bottom w:val="none" w:sz="0" w:space="0" w:color="auto"/>
        <w:right w:val="none" w:sz="0" w:space="0" w:color="auto"/>
      </w:divBdr>
    </w:div>
    <w:div w:id="1536961951">
      <w:bodyDiv w:val="1"/>
      <w:marLeft w:val="0"/>
      <w:marRight w:val="0"/>
      <w:marTop w:val="0"/>
      <w:marBottom w:val="0"/>
      <w:divBdr>
        <w:top w:val="none" w:sz="0" w:space="0" w:color="auto"/>
        <w:left w:val="none" w:sz="0" w:space="0" w:color="auto"/>
        <w:bottom w:val="none" w:sz="0" w:space="0" w:color="auto"/>
        <w:right w:val="none" w:sz="0" w:space="0" w:color="auto"/>
      </w:divBdr>
    </w:div>
    <w:div w:id="1547329511">
      <w:bodyDiv w:val="1"/>
      <w:marLeft w:val="0"/>
      <w:marRight w:val="0"/>
      <w:marTop w:val="0"/>
      <w:marBottom w:val="0"/>
      <w:divBdr>
        <w:top w:val="none" w:sz="0" w:space="0" w:color="auto"/>
        <w:left w:val="none" w:sz="0" w:space="0" w:color="auto"/>
        <w:bottom w:val="none" w:sz="0" w:space="0" w:color="auto"/>
        <w:right w:val="none" w:sz="0" w:space="0" w:color="auto"/>
      </w:divBdr>
    </w:div>
    <w:div w:id="1547520947">
      <w:bodyDiv w:val="1"/>
      <w:marLeft w:val="0"/>
      <w:marRight w:val="0"/>
      <w:marTop w:val="0"/>
      <w:marBottom w:val="0"/>
      <w:divBdr>
        <w:top w:val="none" w:sz="0" w:space="0" w:color="auto"/>
        <w:left w:val="none" w:sz="0" w:space="0" w:color="auto"/>
        <w:bottom w:val="none" w:sz="0" w:space="0" w:color="auto"/>
        <w:right w:val="none" w:sz="0" w:space="0" w:color="auto"/>
      </w:divBdr>
    </w:div>
    <w:div w:id="1565332941">
      <w:bodyDiv w:val="1"/>
      <w:marLeft w:val="0"/>
      <w:marRight w:val="0"/>
      <w:marTop w:val="0"/>
      <w:marBottom w:val="0"/>
      <w:divBdr>
        <w:top w:val="none" w:sz="0" w:space="0" w:color="auto"/>
        <w:left w:val="none" w:sz="0" w:space="0" w:color="auto"/>
        <w:bottom w:val="none" w:sz="0" w:space="0" w:color="auto"/>
        <w:right w:val="none" w:sz="0" w:space="0" w:color="auto"/>
      </w:divBdr>
    </w:div>
    <w:div w:id="1567836737">
      <w:bodyDiv w:val="1"/>
      <w:marLeft w:val="0"/>
      <w:marRight w:val="0"/>
      <w:marTop w:val="0"/>
      <w:marBottom w:val="0"/>
      <w:divBdr>
        <w:top w:val="none" w:sz="0" w:space="0" w:color="auto"/>
        <w:left w:val="none" w:sz="0" w:space="0" w:color="auto"/>
        <w:bottom w:val="none" w:sz="0" w:space="0" w:color="auto"/>
        <w:right w:val="none" w:sz="0" w:space="0" w:color="auto"/>
      </w:divBdr>
    </w:div>
    <w:div w:id="1586499236">
      <w:bodyDiv w:val="1"/>
      <w:marLeft w:val="0"/>
      <w:marRight w:val="0"/>
      <w:marTop w:val="0"/>
      <w:marBottom w:val="0"/>
      <w:divBdr>
        <w:top w:val="none" w:sz="0" w:space="0" w:color="auto"/>
        <w:left w:val="none" w:sz="0" w:space="0" w:color="auto"/>
        <w:bottom w:val="none" w:sz="0" w:space="0" w:color="auto"/>
        <w:right w:val="none" w:sz="0" w:space="0" w:color="auto"/>
      </w:divBdr>
    </w:div>
    <w:div w:id="1593775836">
      <w:bodyDiv w:val="1"/>
      <w:marLeft w:val="0"/>
      <w:marRight w:val="0"/>
      <w:marTop w:val="0"/>
      <w:marBottom w:val="0"/>
      <w:divBdr>
        <w:top w:val="none" w:sz="0" w:space="0" w:color="auto"/>
        <w:left w:val="none" w:sz="0" w:space="0" w:color="auto"/>
        <w:bottom w:val="none" w:sz="0" w:space="0" w:color="auto"/>
        <w:right w:val="none" w:sz="0" w:space="0" w:color="auto"/>
      </w:divBdr>
    </w:div>
    <w:div w:id="1597178462">
      <w:bodyDiv w:val="1"/>
      <w:marLeft w:val="0"/>
      <w:marRight w:val="0"/>
      <w:marTop w:val="0"/>
      <w:marBottom w:val="0"/>
      <w:divBdr>
        <w:top w:val="none" w:sz="0" w:space="0" w:color="auto"/>
        <w:left w:val="none" w:sz="0" w:space="0" w:color="auto"/>
        <w:bottom w:val="none" w:sz="0" w:space="0" w:color="auto"/>
        <w:right w:val="none" w:sz="0" w:space="0" w:color="auto"/>
      </w:divBdr>
    </w:div>
    <w:div w:id="1599674509">
      <w:bodyDiv w:val="1"/>
      <w:marLeft w:val="0"/>
      <w:marRight w:val="0"/>
      <w:marTop w:val="0"/>
      <w:marBottom w:val="0"/>
      <w:divBdr>
        <w:top w:val="none" w:sz="0" w:space="0" w:color="auto"/>
        <w:left w:val="none" w:sz="0" w:space="0" w:color="auto"/>
        <w:bottom w:val="none" w:sz="0" w:space="0" w:color="auto"/>
        <w:right w:val="none" w:sz="0" w:space="0" w:color="auto"/>
      </w:divBdr>
    </w:div>
    <w:div w:id="1609459658">
      <w:bodyDiv w:val="1"/>
      <w:marLeft w:val="0"/>
      <w:marRight w:val="0"/>
      <w:marTop w:val="0"/>
      <w:marBottom w:val="0"/>
      <w:divBdr>
        <w:top w:val="none" w:sz="0" w:space="0" w:color="auto"/>
        <w:left w:val="none" w:sz="0" w:space="0" w:color="auto"/>
        <w:bottom w:val="none" w:sz="0" w:space="0" w:color="auto"/>
        <w:right w:val="none" w:sz="0" w:space="0" w:color="auto"/>
      </w:divBdr>
    </w:div>
    <w:div w:id="1621649436">
      <w:bodyDiv w:val="1"/>
      <w:marLeft w:val="0"/>
      <w:marRight w:val="0"/>
      <w:marTop w:val="0"/>
      <w:marBottom w:val="0"/>
      <w:divBdr>
        <w:top w:val="none" w:sz="0" w:space="0" w:color="auto"/>
        <w:left w:val="none" w:sz="0" w:space="0" w:color="auto"/>
        <w:bottom w:val="none" w:sz="0" w:space="0" w:color="auto"/>
        <w:right w:val="none" w:sz="0" w:space="0" w:color="auto"/>
      </w:divBdr>
    </w:div>
    <w:div w:id="1626424775">
      <w:bodyDiv w:val="1"/>
      <w:marLeft w:val="0"/>
      <w:marRight w:val="0"/>
      <w:marTop w:val="0"/>
      <w:marBottom w:val="0"/>
      <w:divBdr>
        <w:top w:val="none" w:sz="0" w:space="0" w:color="auto"/>
        <w:left w:val="none" w:sz="0" w:space="0" w:color="auto"/>
        <w:bottom w:val="none" w:sz="0" w:space="0" w:color="auto"/>
        <w:right w:val="none" w:sz="0" w:space="0" w:color="auto"/>
      </w:divBdr>
    </w:div>
    <w:div w:id="1640305309">
      <w:bodyDiv w:val="1"/>
      <w:marLeft w:val="0"/>
      <w:marRight w:val="0"/>
      <w:marTop w:val="0"/>
      <w:marBottom w:val="0"/>
      <w:divBdr>
        <w:top w:val="none" w:sz="0" w:space="0" w:color="auto"/>
        <w:left w:val="none" w:sz="0" w:space="0" w:color="auto"/>
        <w:bottom w:val="none" w:sz="0" w:space="0" w:color="auto"/>
        <w:right w:val="none" w:sz="0" w:space="0" w:color="auto"/>
      </w:divBdr>
    </w:div>
    <w:div w:id="1658412229">
      <w:bodyDiv w:val="1"/>
      <w:marLeft w:val="0"/>
      <w:marRight w:val="0"/>
      <w:marTop w:val="0"/>
      <w:marBottom w:val="0"/>
      <w:divBdr>
        <w:top w:val="none" w:sz="0" w:space="0" w:color="auto"/>
        <w:left w:val="none" w:sz="0" w:space="0" w:color="auto"/>
        <w:bottom w:val="none" w:sz="0" w:space="0" w:color="auto"/>
        <w:right w:val="none" w:sz="0" w:space="0" w:color="auto"/>
      </w:divBdr>
    </w:div>
    <w:div w:id="1667979268">
      <w:bodyDiv w:val="1"/>
      <w:marLeft w:val="0"/>
      <w:marRight w:val="0"/>
      <w:marTop w:val="0"/>
      <w:marBottom w:val="0"/>
      <w:divBdr>
        <w:top w:val="none" w:sz="0" w:space="0" w:color="auto"/>
        <w:left w:val="none" w:sz="0" w:space="0" w:color="auto"/>
        <w:bottom w:val="none" w:sz="0" w:space="0" w:color="auto"/>
        <w:right w:val="none" w:sz="0" w:space="0" w:color="auto"/>
      </w:divBdr>
    </w:div>
    <w:div w:id="1669020585">
      <w:bodyDiv w:val="1"/>
      <w:marLeft w:val="0"/>
      <w:marRight w:val="0"/>
      <w:marTop w:val="0"/>
      <w:marBottom w:val="0"/>
      <w:divBdr>
        <w:top w:val="none" w:sz="0" w:space="0" w:color="auto"/>
        <w:left w:val="none" w:sz="0" w:space="0" w:color="auto"/>
        <w:bottom w:val="none" w:sz="0" w:space="0" w:color="auto"/>
        <w:right w:val="none" w:sz="0" w:space="0" w:color="auto"/>
      </w:divBdr>
    </w:div>
    <w:div w:id="1681739606">
      <w:bodyDiv w:val="1"/>
      <w:marLeft w:val="0"/>
      <w:marRight w:val="0"/>
      <w:marTop w:val="0"/>
      <w:marBottom w:val="0"/>
      <w:divBdr>
        <w:top w:val="none" w:sz="0" w:space="0" w:color="auto"/>
        <w:left w:val="none" w:sz="0" w:space="0" w:color="auto"/>
        <w:bottom w:val="none" w:sz="0" w:space="0" w:color="auto"/>
        <w:right w:val="none" w:sz="0" w:space="0" w:color="auto"/>
      </w:divBdr>
    </w:div>
    <w:div w:id="1682586807">
      <w:bodyDiv w:val="1"/>
      <w:marLeft w:val="0"/>
      <w:marRight w:val="0"/>
      <w:marTop w:val="0"/>
      <w:marBottom w:val="0"/>
      <w:divBdr>
        <w:top w:val="none" w:sz="0" w:space="0" w:color="auto"/>
        <w:left w:val="none" w:sz="0" w:space="0" w:color="auto"/>
        <w:bottom w:val="none" w:sz="0" w:space="0" w:color="auto"/>
        <w:right w:val="none" w:sz="0" w:space="0" w:color="auto"/>
      </w:divBdr>
    </w:div>
    <w:div w:id="1688407576">
      <w:bodyDiv w:val="1"/>
      <w:marLeft w:val="0"/>
      <w:marRight w:val="0"/>
      <w:marTop w:val="0"/>
      <w:marBottom w:val="0"/>
      <w:divBdr>
        <w:top w:val="none" w:sz="0" w:space="0" w:color="auto"/>
        <w:left w:val="none" w:sz="0" w:space="0" w:color="auto"/>
        <w:bottom w:val="none" w:sz="0" w:space="0" w:color="auto"/>
        <w:right w:val="none" w:sz="0" w:space="0" w:color="auto"/>
      </w:divBdr>
    </w:div>
    <w:div w:id="1714303710">
      <w:bodyDiv w:val="1"/>
      <w:marLeft w:val="0"/>
      <w:marRight w:val="0"/>
      <w:marTop w:val="0"/>
      <w:marBottom w:val="0"/>
      <w:divBdr>
        <w:top w:val="none" w:sz="0" w:space="0" w:color="auto"/>
        <w:left w:val="none" w:sz="0" w:space="0" w:color="auto"/>
        <w:bottom w:val="none" w:sz="0" w:space="0" w:color="auto"/>
        <w:right w:val="none" w:sz="0" w:space="0" w:color="auto"/>
      </w:divBdr>
    </w:div>
    <w:div w:id="1715231241">
      <w:bodyDiv w:val="1"/>
      <w:marLeft w:val="0"/>
      <w:marRight w:val="0"/>
      <w:marTop w:val="0"/>
      <w:marBottom w:val="0"/>
      <w:divBdr>
        <w:top w:val="none" w:sz="0" w:space="0" w:color="auto"/>
        <w:left w:val="none" w:sz="0" w:space="0" w:color="auto"/>
        <w:bottom w:val="none" w:sz="0" w:space="0" w:color="auto"/>
        <w:right w:val="none" w:sz="0" w:space="0" w:color="auto"/>
      </w:divBdr>
    </w:div>
    <w:div w:id="1720276113">
      <w:bodyDiv w:val="1"/>
      <w:marLeft w:val="0"/>
      <w:marRight w:val="0"/>
      <w:marTop w:val="0"/>
      <w:marBottom w:val="0"/>
      <w:divBdr>
        <w:top w:val="none" w:sz="0" w:space="0" w:color="auto"/>
        <w:left w:val="none" w:sz="0" w:space="0" w:color="auto"/>
        <w:bottom w:val="none" w:sz="0" w:space="0" w:color="auto"/>
        <w:right w:val="none" w:sz="0" w:space="0" w:color="auto"/>
      </w:divBdr>
    </w:div>
    <w:div w:id="1722051224">
      <w:bodyDiv w:val="1"/>
      <w:marLeft w:val="0"/>
      <w:marRight w:val="0"/>
      <w:marTop w:val="0"/>
      <w:marBottom w:val="0"/>
      <w:divBdr>
        <w:top w:val="none" w:sz="0" w:space="0" w:color="auto"/>
        <w:left w:val="none" w:sz="0" w:space="0" w:color="auto"/>
        <w:bottom w:val="none" w:sz="0" w:space="0" w:color="auto"/>
        <w:right w:val="none" w:sz="0" w:space="0" w:color="auto"/>
      </w:divBdr>
    </w:div>
    <w:div w:id="1740520436">
      <w:bodyDiv w:val="1"/>
      <w:marLeft w:val="0"/>
      <w:marRight w:val="0"/>
      <w:marTop w:val="0"/>
      <w:marBottom w:val="0"/>
      <w:divBdr>
        <w:top w:val="none" w:sz="0" w:space="0" w:color="auto"/>
        <w:left w:val="none" w:sz="0" w:space="0" w:color="auto"/>
        <w:bottom w:val="none" w:sz="0" w:space="0" w:color="auto"/>
        <w:right w:val="none" w:sz="0" w:space="0" w:color="auto"/>
      </w:divBdr>
    </w:div>
    <w:div w:id="1752311506">
      <w:bodyDiv w:val="1"/>
      <w:marLeft w:val="0"/>
      <w:marRight w:val="0"/>
      <w:marTop w:val="0"/>
      <w:marBottom w:val="0"/>
      <w:divBdr>
        <w:top w:val="none" w:sz="0" w:space="0" w:color="auto"/>
        <w:left w:val="none" w:sz="0" w:space="0" w:color="auto"/>
        <w:bottom w:val="none" w:sz="0" w:space="0" w:color="auto"/>
        <w:right w:val="none" w:sz="0" w:space="0" w:color="auto"/>
      </w:divBdr>
    </w:div>
    <w:div w:id="1756978119">
      <w:bodyDiv w:val="1"/>
      <w:marLeft w:val="0"/>
      <w:marRight w:val="0"/>
      <w:marTop w:val="0"/>
      <w:marBottom w:val="0"/>
      <w:divBdr>
        <w:top w:val="none" w:sz="0" w:space="0" w:color="auto"/>
        <w:left w:val="none" w:sz="0" w:space="0" w:color="auto"/>
        <w:bottom w:val="none" w:sz="0" w:space="0" w:color="auto"/>
        <w:right w:val="none" w:sz="0" w:space="0" w:color="auto"/>
      </w:divBdr>
    </w:div>
    <w:div w:id="1768772929">
      <w:bodyDiv w:val="1"/>
      <w:marLeft w:val="0"/>
      <w:marRight w:val="0"/>
      <w:marTop w:val="0"/>
      <w:marBottom w:val="0"/>
      <w:divBdr>
        <w:top w:val="none" w:sz="0" w:space="0" w:color="auto"/>
        <w:left w:val="none" w:sz="0" w:space="0" w:color="auto"/>
        <w:bottom w:val="none" w:sz="0" w:space="0" w:color="auto"/>
        <w:right w:val="none" w:sz="0" w:space="0" w:color="auto"/>
      </w:divBdr>
    </w:div>
    <w:div w:id="1771002047">
      <w:bodyDiv w:val="1"/>
      <w:marLeft w:val="0"/>
      <w:marRight w:val="0"/>
      <w:marTop w:val="0"/>
      <w:marBottom w:val="0"/>
      <w:divBdr>
        <w:top w:val="none" w:sz="0" w:space="0" w:color="auto"/>
        <w:left w:val="none" w:sz="0" w:space="0" w:color="auto"/>
        <w:bottom w:val="none" w:sz="0" w:space="0" w:color="auto"/>
        <w:right w:val="none" w:sz="0" w:space="0" w:color="auto"/>
      </w:divBdr>
    </w:div>
    <w:div w:id="1779594700">
      <w:bodyDiv w:val="1"/>
      <w:marLeft w:val="0"/>
      <w:marRight w:val="0"/>
      <w:marTop w:val="0"/>
      <w:marBottom w:val="0"/>
      <w:divBdr>
        <w:top w:val="none" w:sz="0" w:space="0" w:color="auto"/>
        <w:left w:val="none" w:sz="0" w:space="0" w:color="auto"/>
        <w:bottom w:val="none" w:sz="0" w:space="0" w:color="auto"/>
        <w:right w:val="none" w:sz="0" w:space="0" w:color="auto"/>
      </w:divBdr>
    </w:div>
    <w:div w:id="1789398554">
      <w:bodyDiv w:val="1"/>
      <w:marLeft w:val="0"/>
      <w:marRight w:val="0"/>
      <w:marTop w:val="0"/>
      <w:marBottom w:val="0"/>
      <w:divBdr>
        <w:top w:val="none" w:sz="0" w:space="0" w:color="auto"/>
        <w:left w:val="none" w:sz="0" w:space="0" w:color="auto"/>
        <w:bottom w:val="none" w:sz="0" w:space="0" w:color="auto"/>
        <w:right w:val="none" w:sz="0" w:space="0" w:color="auto"/>
      </w:divBdr>
    </w:div>
    <w:div w:id="1800295697">
      <w:bodyDiv w:val="1"/>
      <w:marLeft w:val="0"/>
      <w:marRight w:val="0"/>
      <w:marTop w:val="0"/>
      <w:marBottom w:val="0"/>
      <w:divBdr>
        <w:top w:val="none" w:sz="0" w:space="0" w:color="auto"/>
        <w:left w:val="none" w:sz="0" w:space="0" w:color="auto"/>
        <w:bottom w:val="none" w:sz="0" w:space="0" w:color="auto"/>
        <w:right w:val="none" w:sz="0" w:space="0" w:color="auto"/>
      </w:divBdr>
    </w:div>
    <w:div w:id="1800800879">
      <w:bodyDiv w:val="1"/>
      <w:marLeft w:val="0"/>
      <w:marRight w:val="0"/>
      <w:marTop w:val="0"/>
      <w:marBottom w:val="0"/>
      <w:divBdr>
        <w:top w:val="none" w:sz="0" w:space="0" w:color="auto"/>
        <w:left w:val="none" w:sz="0" w:space="0" w:color="auto"/>
        <w:bottom w:val="none" w:sz="0" w:space="0" w:color="auto"/>
        <w:right w:val="none" w:sz="0" w:space="0" w:color="auto"/>
      </w:divBdr>
    </w:div>
    <w:div w:id="1801268981">
      <w:bodyDiv w:val="1"/>
      <w:marLeft w:val="0"/>
      <w:marRight w:val="0"/>
      <w:marTop w:val="0"/>
      <w:marBottom w:val="0"/>
      <w:divBdr>
        <w:top w:val="none" w:sz="0" w:space="0" w:color="auto"/>
        <w:left w:val="none" w:sz="0" w:space="0" w:color="auto"/>
        <w:bottom w:val="none" w:sz="0" w:space="0" w:color="auto"/>
        <w:right w:val="none" w:sz="0" w:space="0" w:color="auto"/>
      </w:divBdr>
    </w:div>
    <w:div w:id="1802307087">
      <w:bodyDiv w:val="1"/>
      <w:marLeft w:val="0"/>
      <w:marRight w:val="0"/>
      <w:marTop w:val="0"/>
      <w:marBottom w:val="0"/>
      <w:divBdr>
        <w:top w:val="none" w:sz="0" w:space="0" w:color="auto"/>
        <w:left w:val="none" w:sz="0" w:space="0" w:color="auto"/>
        <w:bottom w:val="none" w:sz="0" w:space="0" w:color="auto"/>
        <w:right w:val="none" w:sz="0" w:space="0" w:color="auto"/>
      </w:divBdr>
    </w:div>
    <w:div w:id="1811747939">
      <w:bodyDiv w:val="1"/>
      <w:marLeft w:val="0"/>
      <w:marRight w:val="0"/>
      <w:marTop w:val="0"/>
      <w:marBottom w:val="0"/>
      <w:divBdr>
        <w:top w:val="none" w:sz="0" w:space="0" w:color="auto"/>
        <w:left w:val="none" w:sz="0" w:space="0" w:color="auto"/>
        <w:bottom w:val="none" w:sz="0" w:space="0" w:color="auto"/>
        <w:right w:val="none" w:sz="0" w:space="0" w:color="auto"/>
      </w:divBdr>
    </w:div>
    <w:div w:id="1832284074">
      <w:bodyDiv w:val="1"/>
      <w:marLeft w:val="0"/>
      <w:marRight w:val="0"/>
      <w:marTop w:val="0"/>
      <w:marBottom w:val="0"/>
      <w:divBdr>
        <w:top w:val="none" w:sz="0" w:space="0" w:color="auto"/>
        <w:left w:val="none" w:sz="0" w:space="0" w:color="auto"/>
        <w:bottom w:val="none" w:sz="0" w:space="0" w:color="auto"/>
        <w:right w:val="none" w:sz="0" w:space="0" w:color="auto"/>
      </w:divBdr>
    </w:div>
    <w:div w:id="1838377100">
      <w:bodyDiv w:val="1"/>
      <w:marLeft w:val="0"/>
      <w:marRight w:val="0"/>
      <w:marTop w:val="0"/>
      <w:marBottom w:val="0"/>
      <w:divBdr>
        <w:top w:val="none" w:sz="0" w:space="0" w:color="auto"/>
        <w:left w:val="none" w:sz="0" w:space="0" w:color="auto"/>
        <w:bottom w:val="none" w:sz="0" w:space="0" w:color="auto"/>
        <w:right w:val="none" w:sz="0" w:space="0" w:color="auto"/>
      </w:divBdr>
    </w:div>
    <w:div w:id="1859926393">
      <w:bodyDiv w:val="1"/>
      <w:marLeft w:val="0"/>
      <w:marRight w:val="0"/>
      <w:marTop w:val="0"/>
      <w:marBottom w:val="0"/>
      <w:divBdr>
        <w:top w:val="none" w:sz="0" w:space="0" w:color="auto"/>
        <w:left w:val="none" w:sz="0" w:space="0" w:color="auto"/>
        <w:bottom w:val="none" w:sz="0" w:space="0" w:color="auto"/>
        <w:right w:val="none" w:sz="0" w:space="0" w:color="auto"/>
      </w:divBdr>
    </w:div>
    <w:div w:id="1864856061">
      <w:bodyDiv w:val="1"/>
      <w:marLeft w:val="0"/>
      <w:marRight w:val="0"/>
      <w:marTop w:val="0"/>
      <w:marBottom w:val="0"/>
      <w:divBdr>
        <w:top w:val="none" w:sz="0" w:space="0" w:color="auto"/>
        <w:left w:val="none" w:sz="0" w:space="0" w:color="auto"/>
        <w:bottom w:val="none" w:sz="0" w:space="0" w:color="auto"/>
        <w:right w:val="none" w:sz="0" w:space="0" w:color="auto"/>
      </w:divBdr>
    </w:div>
    <w:div w:id="1867786047">
      <w:bodyDiv w:val="1"/>
      <w:marLeft w:val="0"/>
      <w:marRight w:val="0"/>
      <w:marTop w:val="0"/>
      <w:marBottom w:val="0"/>
      <w:divBdr>
        <w:top w:val="none" w:sz="0" w:space="0" w:color="auto"/>
        <w:left w:val="none" w:sz="0" w:space="0" w:color="auto"/>
        <w:bottom w:val="none" w:sz="0" w:space="0" w:color="auto"/>
        <w:right w:val="none" w:sz="0" w:space="0" w:color="auto"/>
      </w:divBdr>
    </w:div>
    <w:div w:id="1877236351">
      <w:bodyDiv w:val="1"/>
      <w:marLeft w:val="0"/>
      <w:marRight w:val="0"/>
      <w:marTop w:val="0"/>
      <w:marBottom w:val="0"/>
      <w:divBdr>
        <w:top w:val="none" w:sz="0" w:space="0" w:color="auto"/>
        <w:left w:val="none" w:sz="0" w:space="0" w:color="auto"/>
        <w:bottom w:val="none" w:sz="0" w:space="0" w:color="auto"/>
        <w:right w:val="none" w:sz="0" w:space="0" w:color="auto"/>
      </w:divBdr>
    </w:div>
    <w:div w:id="1879006163">
      <w:bodyDiv w:val="1"/>
      <w:marLeft w:val="0"/>
      <w:marRight w:val="0"/>
      <w:marTop w:val="0"/>
      <w:marBottom w:val="0"/>
      <w:divBdr>
        <w:top w:val="none" w:sz="0" w:space="0" w:color="auto"/>
        <w:left w:val="none" w:sz="0" w:space="0" w:color="auto"/>
        <w:bottom w:val="none" w:sz="0" w:space="0" w:color="auto"/>
        <w:right w:val="none" w:sz="0" w:space="0" w:color="auto"/>
      </w:divBdr>
    </w:div>
    <w:div w:id="1883056466">
      <w:bodyDiv w:val="1"/>
      <w:marLeft w:val="0"/>
      <w:marRight w:val="0"/>
      <w:marTop w:val="0"/>
      <w:marBottom w:val="0"/>
      <w:divBdr>
        <w:top w:val="none" w:sz="0" w:space="0" w:color="auto"/>
        <w:left w:val="none" w:sz="0" w:space="0" w:color="auto"/>
        <w:bottom w:val="none" w:sz="0" w:space="0" w:color="auto"/>
        <w:right w:val="none" w:sz="0" w:space="0" w:color="auto"/>
      </w:divBdr>
    </w:div>
    <w:div w:id="1897080549">
      <w:bodyDiv w:val="1"/>
      <w:marLeft w:val="0"/>
      <w:marRight w:val="0"/>
      <w:marTop w:val="0"/>
      <w:marBottom w:val="0"/>
      <w:divBdr>
        <w:top w:val="none" w:sz="0" w:space="0" w:color="auto"/>
        <w:left w:val="none" w:sz="0" w:space="0" w:color="auto"/>
        <w:bottom w:val="none" w:sz="0" w:space="0" w:color="auto"/>
        <w:right w:val="none" w:sz="0" w:space="0" w:color="auto"/>
      </w:divBdr>
    </w:div>
    <w:div w:id="1910074466">
      <w:bodyDiv w:val="1"/>
      <w:marLeft w:val="0"/>
      <w:marRight w:val="0"/>
      <w:marTop w:val="0"/>
      <w:marBottom w:val="0"/>
      <w:divBdr>
        <w:top w:val="none" w:sz="0" w:space="0" w:color="auto"/>
        <w:left w:val="none" w:sz="0" w:space="0" w:color="auto"/>
        <w:bottom w:val="none" w:sz="0" w:space="0" w:color="auto"/>
        <w:right w:val="none" w:sz="0" w:space="0" w:color="auto"/>
      </w:divBdr>
    </w:div>
    <w:div w:id="1928922194">
      <w:bodyDiv w:val="1"/>
      <w:marLeft w:val="0"/>
      <w:marRight w:val="0"/>
      <w:marTop w:val="0"/>
      <w:marBottom w:val="0"/>
      <w:divBdr>
        <w:top w:val="none" w:sz="0" w:space="0" w:color="auto"/>
        <w:left w:val="none" w:sz="0" w:space="0" w:color="auto"/>
        <w:bottom w:val="none" w:sz="0" w:space="0" w:color="auto"/>
        <w:right w:val="none" w:sz="0" w:space="0" w:color="auto"/>
      </w:divBdr>
    </w:div>
    <w:div w:id="1944217594">
      <w:bodyDiv w:val="1"/>
      <w:marLeft w:val="0"/>
      <w:marRight w:val="0"/>
      <w:marTop w:val="0"/>
      <w:marBottom w:val="0"/>
      <w:divBdr>
        <w:top w:val="none" w:sz="0" w:space="0" w:color="auto"/>
        <w:left w:val="none" w:sz="0" w:space="0" w:color="auto"/>
        <w:bottom w:val="none" w:sz="0" w:space="0" w:color="auto"/>
        <w:right w:val="none" w:sz="0" w:space="0" w:color="auto"/>
      </w:divBdr>
    </w:div>
    <w:div w:id="1945306764">
      <w:bodyDiv w:val="1"/>
      <w:marLeft w:val="0"/>
      <w:marRight w:val="0"/>
      <w:marTop w:val="0"/>
      <w:marBottom w:val="0"/>
      <w:divBdr>
        <w:top w:val="none" w:sz="0" w:space="0" w:color="auto"/>
        <w:left w:val="none" w:sz="0" w:space="0" w:color="auto"/>
        <w:bottom w:val="none" w:sz="0" w:space="0" w:color="auto"/>
        <w:right w:val="none" w:sz="0" w:space="0" w:color="auto"/>
      </w:divBdr>
    </w:div>
    <w:div w:id="1948732034">
      <w:bodyDiv w:val="1"/>
      <w:marLeft w:val="0"/>
      <w:marRight w:val="0"/>
      <w:marTop w:val="0"/>
      <w:marBottom w:val="0"/>
      <w:divBdr>
        <w:top w:val="none" w:sz="0" w:space="0" w:color="auto"/>
        <w:left w:val="none" w:sz="0" w:space="0" w:color="auto"/>
        <w:bottom w:val="none" w:sz="0" w:space="0" w:color="auto"/>
        <w:right w:val="none" w:sz="0" w:space="0" w:color="auto"/>
      </w:divBdr>
    </w:div>
    <w:div w:id="1948921144">
      <w:bodyDiv w:val="1"/>
      <w:marLeft w:val="0"/>
      <w:marRight w:val="0"/>
      <w:marTop w:val="0"/>
      <w:marBottom w:val="0"/>
      <w:divBdr>
        <w:top w:val="none" w:sz="0" w:space="0" w:color="auto"/>
        <w:left w:val="none" w:sz="0" w:space="0" w:color="auto"/>
        <w:bottom w:val="none" w:sz="0" w:space="0" w:color="auto"/>
        <w:right w:val="none" w:sz="0" w:space="0" w:color="auto"/>
      </w:divBdr>
    </w:div>
    <w:div w:id="1954511544">
      <w:bodyDiv w:val="1"/>
      <w:marLeft w:val="0"/>
      <w:marRight w:val="0"/>
      <w:marTop w:val="0"/>
      <w:marBottom w:val="0"/>
      <w:divBdr>
        <w:top w:val="none" w:sz="0" w:space="0" w:color="auto"/>
        <w:left w:val="none" w:sz="0" w:space="0" w:color="auto"/>
        <w:bottom w:val="none" w:sz="0" w:space="0" w:color="auto"/>
        <w:right w:val="none" w:sz="0" w:space="0" w:color="auto"/>
      </w:divBdr>
    </w:div>
    <w:div w:id="1958681524">
      <w:bodyDiv w:val="1"/>
      <w:marLeft w:val="0"/>
      <w:marRight w:val="0"/>
      <w:marTop w:val="0"/>
      <w:marBottom w:val="0"/>
      <w:divBdr>
        <w:top w:val="none" w:sz="0" w:space="0" w:color="auto"/>
        <w:left w:val="none" w:sz="0" w:space="0" w:color="auto"/>
        <w:bottom w:val="none" w:sz="0" w:space="0" w:color="auto"/>
        <w:right w:val="none" w:sz="0" w:space="0" w:color="auto"/>
      </w:divBdr>
    </w:div>
    <w:div w:id="1968391042">
      <w:bodyDiv w:val="1"/>
      <w:marLeft w:val="0"/>
      <w:marRight w:val="0"/>
      <w:marTop w:val="0"/>
      <w:marBottom w:val="0"/>
      <w:divBdr>
        <w:top w:val="none" w:sz="0" w:space="0" w:color="auto"/>
        <w:left w:val="none" w:sz="0" w:space="0" w:color="auto"/>
        <w:bottom w:val="none" w:sz="0" w:space="0" w:color="auto"/>
        <w:right w:val="none" w:sz="0" w:space="0" w:color="auto"/>
      </w:divBdr>
    </w:div>
    <w:div w:id="1984264176">
      <w:bodyDiv w:val="1"/>
      <w:marLeft w:val="0"/>
      <w:marRight w:val="0"/>
      <w:marTop w:val="0"/>
      <w:marBottom w:val="0"/>
      <w:divBdr>
        <w:top w:val="none" w:sz="0" w:space="0" w:color="auto"/>
        <w:left w:val="none" w:sz="0" w:space="0" w:color="auto"/>
        <w:bottom w:val="none" w:sz="0" w:space="0" w:color="auto"/>
        <w:right w:val="none" w:sz="0" w:space="0" w:color="auto"/>
      </w:divBdr>
    </w:div>
    <w:div w:id="1993410620">
      <w:bodyDiv w:val="1"/>
      <w:marLeft w:val="0"/>
      <w:marRight w:val="0"/>
      <w:marTop w:val="0"/>
      <w:marBottom w:val="0"/>
      <w:divBdr>
        <w:top w:val="none" w:sz="0" w:space="0" w:color="auto"/>
        <w:left w:val="none" w:sz="0" w:space="0" w:color="auto"/>
        <w:bottom w:val="none" w:sz="0" w:space="0" w:color="auto"/>
        <w:right w:val="none" w:sz="0" w:space="0" w:color="auto"/>
      </w:divBdr>
    </w:div>
    <w:div w:id="1995527185">
      <w:bodyDiv w:val="1"/>
      <w:marLeft w:val="0"/>
      <w:marRight w:val="0"/>
      <w:marTop w:val="0"/>
      <w:marBottom w:val="0"/>
      <w:divBdr>
        <w:top w:val="none" w:sz="0" w:space="0" w:color="auto"/>
        <w:left w:val="none" w:sz="0" w:space="0" w:color="auto"/>
        <w:bottom w:val="none" w:sz="0" w:space="0" w:color="auto"/>
        <w:right w:val="none" w:sz="0" w:space="0" w:color="auto"/>
      </w:divBdr>
    </w:div>
    <w:div w:id="2012874631">
      <w:bodyDiv w:val="1"/>
      <w:marLeft w:val="0"/>
      <w:marRight w:val="0"/>
      <w:marTop w:val="0"/>
      <w:marBottom w:val="0"/>
      <w:divBdr>
        <w:top w:val="none" w:sz="0" w:space="0" w:color="auto"/>
        <w:left w:val="none" w:sz="0" w:space="0" w:color="auto"/>
        <w:bottom w:val="none" w:sz="0" w:space="0" w:color="auto"/>
        <w:right w:val="none" w:sz="0" w:space="0" w:color="auto"/>
      </w:divBdr>
    </w:div>
    <w:div w:id="2013486995">
      <w:bodyDiv w:val="1"/>
      <w:marLeft w:val="0"/>
      <w:marRight w:val="0"/>
      <w:marTop w:val="0"/>
      <w:marBottom w:val="0"/>
      <w:divBdr>
        <w:top w:val="none" w:sz="0" w:space="0" w:color="auto"/>
        <w:left w:val="none" w:sz="0" w:space="0" w:color="auto"/>
        <w:bottom w:val="none" w:sz="0" w:space="0" w:color="auto"/>
        <w:right w:val="none" w:sz="0" w:space="0" w:color="auto"/>
      </w:divBdr>
    </w:div>
    <w:div w:id="2014141152">
      <w:bodyDiv w:val="1"/>
      <w:marLeft w:val="0"/>
      <w:marRight w:val="0"/>
      <w:marTop w:val="0"/>
      <w:marBottom w:val="0"/>
      <w:divBdr>
        <w:top w:val="none" w:sz="0" w:space="0" w:color="auto"/>
        <w:left w:val="none" w:sz="0" w:space="0" w:color="auto"/>
        <w:bottom w:val="none" w:sz="0" w:space="0" w:color="auto"/>
        <w:right w:val="none" w:sz="0" w:space="0" w:color="auto"/>
      </w:divBdr>
    </w:div>
    <w:div w:id="2014532100">
      <w:bodyDiv w:val="1"/>
      <w:marLeft w:val="0"/>
      <w:marRight w:val="0"/>
      <w:marTop w:val="0"/>
      <w:marBottom w:val="0"/>
      <w:divBdr>
        <w:top w:val="none" w:sz="0" w:space="0" w:color="auto"/>
        <w:left w:val="none" w:sz="0" w:space="0" w:color="auto"/>
        <w:bottom w:val="none" w:sz="0" w:space="0" w:color="auto"/>
        <w:right w:val="none" w:sz="0" w:space="0" w:color="auto"/>
      </w:divBdr>
    </w:div>
    <w:div w:id="2023164177">
      <w:bodyDiv w:val="1"/>
      <w:marLeft w:val="0"/>
      <w:marRight w:val="0"/>
      <w:marTop w:val="0"/>
      <w:marBottom w:val="0"/>
      <w:divBdr>
        <w:top w:val="none" w:sz="0" w:space="0" w:color="auto"/>
        <w:left w:val="none" w:sz="0" w:space="0" w:color="auto"/>
        <w:bottom w:val="none" w:sz="0" w:space="0" w:color="auto"/>
        <w:right w:val="none" w:sz="0" w:space="0" w:color="auto"/>
      </w:divBdr>
    </w:div>
    <w:div w:id="2024504034">
      <w:bodyDiv w:val="1"/>
      <w:marLeft w:val="0"/>
      <w:marRight w:val="0"/>
      <w:marTop w:val="0"/>
      <w:marBottom w:val="0"/>
      <w:divBdr>
        <w:top w:val="none" w:sz="0" w:space="0" w:color="auto"/>
        <w:left w:val="none" w:sz="0" w:space="0" w:color="auto"/>
        <w:bottom w:val="none" w:sz="0" w:space="0" w:color="auto"/>
        <w:right w:val="none" w:sz="0" w:space="0" w:color="auto"/>
      </w:divBdr>
    </w:div>
    <w:div w:id="2047287914">
      <w:bodyDiv w:val="1"/>
      <w:marLeft w:val="0"/>
      <w:marRight w:val="0"/>
      <w:marTop w:val="0"/>
      <w:marBottom w:val="0"/>
      <w:divBdr>
        <w:top w:val="none" w:sz="0" w:space="0" w:color="auto"/>
        <w:left w:val="none" w:sz="0" w:space="0" w:color="auto"/>
        <w:bottom w:val="none" w:sz="0" w:space="0" w:color="auto"/>
        <w:right w:val="none" w:sz="0" w:space="0" w:color="auto"/>
      </w:divBdr>
    </w:div>
    <w:div w:id="2075467079">
      <w:bodyDiv w:val="1"/>
      <w:marLeft w:val="0"/>
      <w:marRight w:val="0"/>
      <w:marTop w:val="0"/>
      <w:marBottom w:val="0"/>
      <w:divBdr>
        <w:top w:val="none" w:sz="0" w:space="0" w:color="auto"/>
        <w:left w:val="none" w:sz="0" w:space="0" w:color="auto"/>
        <w:bottom w:val="none" w:sz="0" w:space="0" w:color="auto"/>
        <w:right w:val="none" w:sz="0" w:space="0" w:color="auto"/>
      </w:divBdr>
    </w:div>
    <w:div w:id="2077774860">
      <w:bodyDiv w:val="1"/>
      <w:marLeft w:val="0"/>
      <w:marRight w:val="0"/>
      <w:marTop w:val="0"/>
      <w:marBottom w:val="0"/>
      <w:divBdr>
        <w:top w:val="none" w:sz="0" w:space="0" w:color="auto"/>
        <w:left w:val="none" w:sz="0" w:space="0" w:color="auto"/>
        <w:bottom w:val="none" w:sz="0" w:space="0" w:color="auto"/>
        <w:right w:val="none" w:sz="0" w:space="0" w:color="auto"/>
      </w:divBdr>
    </w:div>
    <w:div w:id="2086687562">
      <w:bodyDiv w:val="1"/>
      <w:marLeft w:val="0"/>
      <w:marRight w:val="0"/>
      <w:marTop w:val="0"/>
      <w:marBottom w:val="0"/>
      <w:divBdr>
        <w:top w:val="none" w:sz="0" w:space="0" w:color="auto"/>
        <w:left w:val="none" w:sz="0" w:space="0" w:color="auto"/>
        <w:bottom w:val="none" w:sz="0" w:space="0" w:color="auto"/>
        <w:right w:val="none" w:sz="0" w:space="0" w:color="auto"/>
      </w:divBdr>
    </w:div>
    <w:div w:id="2088726748">
      <w:bodyDiv w:val="1"/>
      <w:marLeft w:val="0"/>
      <w:marRight w:val="0"/>
      <w:marTop w:val="0"/>
      <w:marBottom w:val="0"/>
      <w:divBdr>
        <w:top w:val="none" w:sz="0" w:space="0" w:color="auto"/>
        <w:left w:val="none" w:sz="0" w:space="0" w:color="auto"/>
        <w:bottom w:val="none" w:sz="0" w:space="0" w:color="auto"/>
        <w:right w:val="none" w:sz="0" w:space="0" w:color="auto"/>
      </w:divBdr>
    </w:div>
    <w:div w:id="2094232765">
      <w:bodyDiv w:val="1"/>
      <w:marLeft w:val="0"/>
      <w:marRight w:val="0"/>
      <w:marTop w:val="0"/>
      <w:marBottom w:val="0"/>
      <w:divBdr>
        <w:top w:val="none" w:sz="0" w:space="0" w:color="auto"/>
        <w:left w:val="none" w:sz="0" w:space="0" w:color="auto"/>
        <w:bottom w:val="none" w:sz="0" w:space="0" w:color="auto"/>
        <w:right w:val="none" w:sz="0" w:space="0" w:color="auto"/>
      </w:divBdr>
    </w:div>
    <w:div w:id="2102602291">
      <w:bodyDiv w:val="1"/>
      <w:marLeft w:val="0"/>
      <w:marRight w:val="0"/>
      <w:marTop w:val="0"/>
      <w:marBottom w:val="0"/>
      <w:divBdr>
        <w:top w:val="none" w:sz="0" w:space="0" w:color="auto"/>
        <w:left w:val="none" w:sz="0" w:space="0" w:color="auto"/>
        <w:bottom w:val="none" w:sz="0" w:space="0" w:color="auto"/>
        <w:right w:val="none" w:sz="0" w:space="0" w:color="auto"/>
      </w:divBdr>
    </w:div>
    <w:div w:id="2106336606">
      <w:bodyDiv w:val="1"/>
      <w:marLeft w:val="0"/>
      <w:marRight w:val="0"/>
      <w:marTop w:val="0"/>
      <w:marBottom w:val="0"/>
      <w:divBdr>
        <w:top w:val="none" w:sz="0" w:space="0" w:color="auto"/>
        <w:left w:val="none" w:sz="0" w:space="0" w:color="auto"/>
        <w:bottom w:val="none" w:sz="0" w:space="0" w:color="auto"/>
        <w:right w:val="none" w:sz="0" w:space="0" w:color="auto"/>
      </w:divBdr>
    </w:div>
    <w:div w:id="2106417862">
      <w:bodyDiv w:val="1"/>
      <w:marLeft w:val="0"/>
      <w:marRight w:val="0"/>
      <w:marTop w:val="0"/>
      <w:marBottom w:val="0"/>
      <w:divBdr>
        <w:top w:val="none" w:sz="0" w:space="0" w:color="auto"/>
        <w:left w:val="none" w:sz="0" w:space="0" w:color="auto"/>
        <w:bottom w:val="none" w:sz="0" w:space="0" w:color="auto"/>
        <w:right w:val="none" w:sz="0" w:space="0" w:color="auto"/>
      </w:divBdr>
    </w:div>
    <w:div w:id="2122916122">
      <w:bodyDiv w:val="1"/>
      <w:marLeft w:val="0"/>
      <w:marRight w:val="0"/>
      <w:marTop w:val="0"/>
      <w:marBottom w:val="0"/>
      <w:divBdr>
        <w:top w:val="none" w:sz="0" w:space="0" w:color="auto"/>
        <w:left w:val="none" w:sz="0" w:space="0" w:color="auto"/>
        <w:bottom w:val="none" w:sz="0" w:space="0" w:color="auto"/>
        <w:right w:val="none" w:sz="0" w:space="0" w:color="auto"/>
      </w:divBdr>
    </w:div>
    <w:div w:id="2140100948">
      <w:bodyDiv w:val="1"/>
      <w:marLeft w:val="0"/>
      <w:marRight w:val="0"/>
      <w:marTop w:val="0"/>
      <w:marBottom w:val="0"/>
      <w:divBdr>
        <w:top w:val="none" w:sz="0" w:space="0" w:color="auto"/>
        <w:left w:val="none" w:sz="0" w:space="0" w:color="auto"/>
        <w:bottom w:val="none" w:sz="0" w:space="0" w:color="auto"/>
        <w:right w:val="none" w:sz="0" w:space="0" w:color="auto"/>
      </w:divBdr>
    </w:div>
    <w:div w:id="21450800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image" Target="media/image3.emf"/><Relationship Id="rId26" Type="http://schemas.openxmlformats.org/officeDocument/2006/relationships/image" Target="media/image11.wmf"/><Relationship Id="rId39" Type="http://schemas.openxmlformats.org/officeDocument/2006/relationships/image" Target="media/image24.w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hyperlink" Target="file:///C:\DOCUME~1\ADMINI~1\CONFIG~1\Temp\INFORME%20PARA%20LA%20CONTADORA%20EVANGELINA-1.xlsx"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8.xml"/><Relationship Id="rId25" Type="http://schemas.openxmlformats.org/officeDocument/2006/relationships/image" Target="media/image10.wmf"/><Relationship Id="rId33" Type="http://schemas.openxmlformats.org/officeDocument/2006/relationships/image" Target="media/image18.emf"/><Relationship Id="rId38" Type="http://schemas.openxmlformats.org/officeDocument/2006/relationships/image" Target="media/image23.wmf"/><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5.emf"/><Relationship Id="rId29" Type="http://schemas.openxmlformats.org/officeDocument/2006/relationships/image" Target="media/image14.wmf"/><Relationship Id="rId41" Type="http://schemas.openxmlformats.org/officeDocument/2006/relationships/hyperlink" Target="file:///C:\DOCUME~1\ADMINI~1\CONFIG~1\Temp\INFORME%20PARA%20LA%20CONTADORA%20EVANGELINA-1.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9.w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hyperlink" Target="file:///C:\DOCUME~1\ADMINI~1\CONFIG~1\Temp\INFORME%20PARA%20LA%20CONTADORA%20EVANGELINA-1.xlsx"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8.wmf"/><Relationship Id="rId28" Type="http://schemas.openxmlformats.org/officeDocument/2006/relationships/image" Target="media/image13.wmf"/><Relationship Id="rId36" Type="http://schemas.openxmlformats.org/officeDocument/2006/relationships/image" Target="media/image21.emf"/><Relationship Id="rId49"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image" Target="media/image26.wmf"/><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png"/><Relationship Id="rId22" Type="http://schemas.openxmlformats.org/officeDocument/2006/relationships/image" Target="media/image7.emf"/><Relationship Id="rId27" Type="http://schemas.openxmlformats.org/officeDocument/2006/relationships/image" Target="media/image12.w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5.wmf"/><Relationship Id="rId48" Type="http://schemas.openxmlformats.org/officeDocument/2006/relationships/footer" Target="footer2.xml"/><Relationship Id="rId8" Type="http://schemas.openxmlformats.org/officeDocument/2006/relationships/chart" Target="charts/chart1.xml"/></Relationships>
</file>

<file path=word/_rels/footer1.xml.rels><?xml version="1.0" encoding="UTF-8" standalone="yes"?>
<Relationships xmlns="http://schemas.openxmlformats.org/package/2006/relationships"><Relationship Id="rId1" Type="http://schemas.openxmlformats.org/officeDocument/2006/relationships/image" Target="media/image31.emf"/></Relationships>
</file>

<file path=word/_rels/footer2.xml.rels><?xml version="1.0" encoding="UTF-8" standalone="yes"?>
<Relationships xmlns="http://schemas.openxmlformats.org/package/2006/relationships"><Relationship Id="rId2" Type="http://schemas.openxmlformats.org/officeDocument/2006/relationships/image" Target="media/image31.emf"/><Relationship Id="rId1" Type="http://schemas.openxmlformats.org/officeDocument/2006/relationships/image" Target="media/image32.emf"/></Relationships>
</file>

<file path=word/_rels/header1.xml.rels><?xml version="1.0" encoding="UTF-8" standalone="yes"?>
<Relationships xmlns="http://schemas.openxmlformats.org/package/2006/relationships"><Relationship Id="rId3" Type="http://schemas.openxmlformats.org/officeDocument/2006/relationships/image" Target="media/image29.emf"/><Relationship Id="rId2" Type="http://schemas.openxmlformats.org/officeDocument/2006/relationships/image" Target="media/image28.emf"/><Relationship Id="rId1" Type="http://schemas.openxmlformats.org/officeDocument/2006/relationships/image" Target="media/image27.emf"/></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2015\Informe%20Trimestral\2do.%20trimestre\Graficas%20padr&#243;n%202O.%20TRIMESTR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ocuments\2015\avances%20trimestrales\GRAFICAS%20%20PRIMER%20Y%20SEGUNDO%20%20TRIMESTRE%202015%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ll\Desktop\2015\Informe%20Trimestral\2do.%20trimestre\Graficas%20padr&#243;n%202O.%20TRIMESTR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ell\Desktop\2015\Informe%20Trimestral\2do.%20trimestre\Graficas%20padr&#243;n%202O.%20TRIMESTRE.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ell\Desktop\2015\Informe%20Trimestral\2do.%20trimestre\Graficas%20padr&#243;n%202O.%20TRIMESTRE.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dell\Desktop\2015\Informe%20Trimestral\2do.%20trimestre\Graficas%20padr&#243;n%202O.%20TRIMESTRE.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dell\Desktop\2015\Informe%20Trimestral\2do.%20trimestre\Graficas%20padr&#243;n%202O.%20TRIMESTR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ell\Desktop\2015\Informe%20Trimestral\2do.%20trimestre\Graficas%20padr&#243;n%202O.%20TRIMESTR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style val="5"/>
  <c:chart>
    <c:title>
      <c:tx>
        <c:rich>
          <a:bodyPr/>
          <a:lstStyle/>
          <a:p>
            <a:pPr>
              <a:defRPr sz="1200"/>
            </a:pPr>
            <a:r>
              <a:rPr lang="es-MX" sz="1200"/>
              <a:t>Actos de fiscalización 2015</a:t>
            </a:r>
          </a:p>
        </c:rich>
      </c:tx>
      <c:layout>
        <c:manualLayout>
          <c:xMode val="edge"/>
          <c:yMode val="edge"/>
          <c:x val="0.10353119721420972"/>
          <c:y val="0.15169660678642777"/>
        </c:manualLayout>
      </c:layout>
    </c:title>
    <c:view3D>
      <c:rAngAx val="1"/>
    </c:view3D>
    <c:floor>
      <c:spPr>
        <a:noFill/>
        <a:ln w="9525">
          <a:noFill/>
        </a:ln>
      </c:spPr>
    </c:floor>
    <c:plotArea>
      <c:layout>
        <c:manualLayout>
          <c:layoutTarget val="inner"/>
          <c:xMode val="edge"/>
          <c:yMode val="edge"/>
          <c:x val="5.8085808580857871E-2"/>
          <c:y val="4.3912175648702624E-2"/>
          <c:w val="0.9419141914191419"/>
          <c:h val="0.80735851132380965"/>
        </c:manualLayout>
      </c:layout>
      <c:bar3DChart>
        <c:barDir val="col"/>
        <c:grouping val="stacked"/>
        <c:ser>
          <c:idx val="0"/>
          <c:order val="0"/>
          <c:dPt>
            <c:idx val="0"/>
            <c:spPr>
              <a:solidFill>
                <a:schemeClr val="accent1">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solidFill>
                <a:schemeClr val="tx2">
                  <a:lumMod val="75000"/>
                </a:schemeClr>
              </a:solidFill>
            </c:spPr>
          </c:dPt>
          <c:dLbls>
            <c:dLbl>
              <c:idx val="0"/>
              <c:layout>
                <c:manualLayout>
                  <c:x val="2.5274810945661582E-2"/>
                  <c:y val="-0.16747072783566722"/>
                </c:manualLayout>
              </c:layout>
              <c:showVal val="1"/>
            </c:dLbl>
            <c:dLbl>
              <c:idx val="1"/>
              <c:layout>
                <c:manualLayout>
                  <c:x val="1.4576544268600123E-2"/>
                  <c:y val="-0.221862102566521"/>
                </c:manualLayout>
              </c:layout>
              <c:showVal val="1"/>
            </c:dLbl>
            <c:dLbl>
              <c:idx val="2"/>
              <c:layout>
                <c:manualLayout>
                  <c:x val="1.9306774771965459E-2"/>
                  <c:y val="-0.40103132318041085"/>
                </c:manualLayout>
              </c:layout>
              <c:showVal val="1"/>
            </c:dLbl>
            <c:txPr>
              <a:bodyPr/>
              <a:lstStyle/>
              <a:p>
                <a:pPr>
                  <a:defRPr sz="1100" b="1"/>
                </a:pPr>
                <a:endParaRPr lang="es-MX"/>
              </a:p>
            </c:txPr>
            <c:showVal val="1"/>
          </c:dLbls>
          <c:cat>
            <c:strRef>
              <c:f>auditoria!$A$4:$A$6</c:f>
              <c:strCache>
                <c:ptCount val="3"/>
                <c:pt idx="0">
                  <c:v>Terminadas al mes de junio </c:v>
                </c:pt>
                <c:pt idx="1">
                  <c:v>Programada al mes de junio</c:v>
                </c:pt>
                <c:pt idx="2">
                  <c:v>Meta anual</c:v>
                </c:pt>
              </c:strCache>
            </c:strRef>
          </c:cat>
          <c:val>
            <c:numRef>
              <c:f>auditoria!$B$4:$B$6</c:f>
              <c:numCache>
                <c:formatCode>General</c:formatCode>
                <c:ptCount val="3"/>
                <c:pt idx="0">
                  <c:v>117</c:v>
                </c:pt>
                <c:pt idx="1">
                  <c:v>154</c:v>
                </c:pt>
                <c:pt idx="2">
                  <c:v>318</c:v>
                </c:pt>
              </c:numCache>
            </c:numRef>
          </c:val>
        </c:ser>
        <c:shape val="cylinder"/>
        <c:axId val="78209408"/>
        <c:axId val="78210944"/>
        <c:axId val="0"/>
      </c:bar3DChart>
      <c:catAx>
        <c:axId val="78209408"/>
        <c:scaling>
          <c:orientation val="minMax"/>
        </c:scaling>
        <c:axPos val="b"/>
        <c:tickLblPos val="nextTo"/>
        <c:txPr>
          <a:bodyPr/>
          <a:lstStyle/>
          <a:p>
            <a:pPr>
              <a:defRPr b="1"/>
            </a:pPr>
            <a:endParaRPr lang="es-MX"/>
          </a:p>
        </c:txPr>
        <c:crossAx val="78210944"/>
        <c:crosses val="autoZero"/>
        <c:auto val="1"/>
        <c:lblAlgn val="ctr"/>
        <c:lblOffset val="100"/>
      </c:catAx>
      <c:valAx>
        <c:axId val="78210944"/>
        <c:scaling>
          <c:orientation val="minMax"/>
        </c:scaling>
        <c:delete val="1"/>
        <c:axPos val="l"/>
        <c:numFmt formatCode="General" sourceLinked="1"/>
        <c:tickLblPos val="none"/>
        <c:crossAx val="78209408"/>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chart>
    <c:view3D>
      <c:rAngAx val="1"/>
    </c:view3D>
    <c:plotArea>
      <c:layout>
        <c:manualLayout>
          <c:layoutTarget val="inner"/>
          <c:xMode val="edge"/>
          <c:yMode val="edge"/>
          <c:x val="9.3280183727034144E-2"/>
          <c:y val="7.4548702245552642E-2"/>
          <c:w val="0.86227537182852165"/>
          <c:h val="0.77611475648877593"/>
        </c:manualLayout>
      </c:layout>
      <c:bar3DChart>
        <c:barDir val="col"/>
        <c:grouping val="clustered"/>
        <c:ser>
          <c:idx val="1"/>
          <c:order val="0"/>
          <c:spPr>
            <a:effectLst>
              <a:innerShdw blurRad="63500" dist="50800" dir="8100000">
                <a:prstClr val="black">
                  <a:alpha val="50000"/>
                </a:prstClr>
              </a:innerShdw>
            </a:effectLst>
          </c:spPr>
          <c:dPt>
            <c:idx val="0"/>
            <c:spPr>
              <a:solidFill>
                <a:schemeClr val="accent1">
                  <a:lumMod val="75000"/>
                </a:schemeClr>
              </a:solidFill>
              <a:effectLst>
                <a:innerShdw blurRad="63500" dist="50800" dir="8100000">
                  <a:prstClr val="black">
                    <a:alpha val="50000"/>
                  </a:prstClr>
                </a:innerShdw>
              </a:effectLst>
            </c:spPr>
          </c:dPt>
          <c:dPt>
            <c:idx val="1"/>
            <c:spPr>
              <a:solidFill>
                <a:schemeClr val="tx2">
                  <a:lumMod val="40000"/>
                  <a:lumOff val="60000"/>
                </a:schemeClr>
              </a:solidFill>
              <a:effectLst>
                <a:innerShdw blurRad="63500" dist="50800" dir="8100000">
                  <a:prstClr val="black">
                    <a:alpha val="50000"/>
                  </a:prstClr>
                </a:innerShdw>
              </a:effectLst>
            </c:spPr>
          </c:dPt>
          <c:cat>
            <c:strRef>
              <c:f>estatales!$E$5:$E$6</c:f>
              <c:strCache>
                <c:ptCount val="2"/>
                <c:pt idx="0">
                  <c:v>Terminadas al mes de junio</c:v>
                </c:pt>
                <c:pt idx="1">
                  <c:v>Meta anual</c:v>
                </c:pt>
              </c:strCache>
            </c:strRef>
          </c:cat>
          <c:val>
            <c:numRef>
              <c:f>estatales!$F$5:$F$6</c:f>
              <c:numCache>
                <c:formatCode>0.0</c:formatCode>
                <c:ptCount val="2"/>
                <c:pt idx="0" formatCode="0.00">
                  <c:v>1.2</c:v>
                </c:pt>
                <c:pt idx="1">
                  <c:v>1</c:v>
                </c:pt>
              </c:numCache>
            </c:numRef>
          </c:val>
        </c:ser>
        <c:shape val="cylinder"/>
        <c:axId val="78226176"/>
        <c:axId val="78227712"/>
        <c:axId val="0"/>
      </c:bar3DChart>
      <c:catAx>
        <c:axId val="78226176"/>
        <c:scaling>
          <c:orientation val="minMax"/>
        </c:scaling>
        <c:axPos val="b"/>
        <c:tickLblPos val="nextTo"/>
        <c:crossAx val="78227712"/>
        <c:crosses val="autoZero"/>
        <c:auto val="1"/>
        <c:lblAlgn val="ctr"/>
        <c:lblOffset val="100"/>
      </c:catAx>
      <c:valAx>
        <c:axId val="78227712"/>
        <c:scaling>
          <c:orientation val="minMax"/>
          <c:min val="0.1"/>
        </c:scaling>
        <c:axPos val="l"/>
        <c:numFmt formatCode="0%" sourceLinked="0"/>
        <c:tickLblPos val="nextTo"/>
        <c:crossAx val="78226176"/>
        <c:crosses val="autoZero"/>
        <c:crossBetween val="between"/>
      </c:valAx>
      <c:spPr>
        <a:noFill/>
      </c:spPr>
    </c:plotArea>
    <c:plotVisOnly val="1"/>
    <c:dispBlanksAs val="gap"/>
  </c:chart>
  <c:spPr>
    <a:no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MX"/>
  <c:chart>
    <c:view3D>
      <c:rAngAx val="1"/>
    </c:view3D>
    <c:sideWall>
      <c:spPr>
        <a:noFill/>
        <a:ln w="25400">
          <a:noFill/>
        </a:ln>
      </c:spPr>
    </c:sideWall>
    <c:backWall>
      <c:spPr>
        <a:noFill/>
        <a:ln w="25400">
          <a:noFill/>
        </a:ln>
      </c:spPr>
    </c:backWall>
    <c:plotArea>
      <c:layout>
        <c:manualLayout>
          <c:layoutTarget val="inner"/>
          <c:xMode val="edge"/>
          <c:yMode val="edge"/>
          <c:x val="0.12373737373737374"/>
          <c:y val="8.1128747795414527E-2"/>
          <c:w val="0.80808080808080862"/>
          <c:h val="0.8128689469371887"/>
        </c:manualLayout>
      </c:layout>
      <c:bar3DChart>
        <c:barDir val="col"/>
        <c:grouping val="clustered"/>
        <c:ser>
          <c:idx val="0"/>
          <c:order val="0"/>
          <c:dPt>
            <c:idx val="1"/>
            <c:spPr>
              <a:solidFill>
                <a:schemeClr val="bg1">
                  <a:lumMod val="65000"/>
                </a:schemeClr>
              </a:solidFill>
            </c:spPr>
          </c:dPt>
          <c:dLbls>
            <c:dLbl>
              <c:idx val="0"/>
              <c:layout>
                <c:manualLayout>
                  <c:x val="3.0303030303030311E-2"/>
                  <c:y val="-3.1746031746031744E-2"/>
                </c:manualLayout>
              </c:layout>
              <c:showVal val="1"/>
            </c:dLbl>
            <c:dLbl>
              <c:idx val="1"/>
              <c:layout>
                <c:manualLayout>
                  <c:x val="2.2727272727272846E-2"/>
                  <c:y val="-6.3492063492063502E-2"/>
                </c:manualLayout>
              </c:layout>
              <c:showVal val="1"/>
            </c:dLbl>
            <c:txPr>
              <a:bodyPr/>
              <a:lstStyle/>
              <a:p>
                <a:pPr>
                  <a:defRPr sz="1100" b="1"/>
                </a:pPr>
                <a:endParaRPr lang="es-MX"/>
              </a:p>
            </c:txPr>
            <c:showVal val="1"/>
          </c:dLbls>
          <c:cat>
            <c:strRef>
              <c:f>auditoria!$A$45:$A$46</c:f>
              <c:strCache>
                <c:ptCount val="2"/>
                <c:pt idx="0">
                  <c:v>Cifras cobradas a junio 2015</c:v>
                </c:pt>
                <c:pt idx="1">
                  <c:v>Meta anual según LIE</c:v>
                </c:pt>
              </c:strCache>
            </c:strRef>
          </c:cat>
          <c:val>
            <c:numRef>
              <c:f>auditoria!$B$45:$B$46</c:f>
              <c:numCache>
                <c:formatCode>_("$"* #,##0.00_);_("$"* \(#,##0.00\);_("$"* "-"??_);_(@_)</c:formatCode>
                <c:ptCount val="2"/>
                <c:pt idx="0">
                  <c:v>40559382</c:v>
                </c:pt>
                <c:pt idx="1">
                  <c:v>62193635</c:v>
                </c:pt>
              </c:numCache>
            </c:numRef>
          </c:val>
        </c:ser>
        <c:shape val="cylinder"/>
        <c:axId val="78196096"/>
        <c:axId val="78238848"/>
        <c:axId val="0"/>
      </c:bar3DChart>
      <c:catAx>
        <c:axId val="78196096"/>
        <c:scaling>
          <c:orientation val="minMax"/>
        </c:scaling>
        <c:axPos val="b"/>
        <c:tickLblPos val="nextTo"/>
        <c:crossAx val="78238848"/>
        <c:crosses val="autoZero"/>
        <c:auto val="1"/>
        <c:lblAlgn val="ctr"/>
        <c:lblOffset val="100"/>
      </c:catAx>
      <c:valAx>
        <c:axId val="78238848"/>
        <c:scaling>
          <c:orientation val="minMax"/>
        </c:scaling>
        <c:delete val="1"/>
        <c:axPos val="l"/>
        <c:numFmt formatCode="_(&quot;$&quot;* #,##0.00_);_(&quot;$&quot;* \(#,##0.00\);_(&quot;$&quot;* &quot;-&quot;??_);_(@_)" sourceLinked="1"/>
        <c:tickLblPos val="none"/>
        <c:crossAx val="78196096"/>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MX"/>
  <c:chart>
    <c:view3D>
      <c:rAngAx val="1"/>
    </c:view3D>
    <c:plotArea>
      <c:layout>
        <c:manualLayout>
          <c:layoutTarget val="inner"/>
          <c:xMode val="edge"/>
          <c:yMode val="edge"/>
          <c:x val="0.15017064846416384"/>
          <c:y val="0.12256267409470752"/>
          <c:w val="0.73606370875995286"/>
          <c:h val="0.75839682992272206"/>
        </c:manualLayout>
      </c:layout>
      <c:bar3DChart>
        <c:barDir val="col"/>
        <c:grouping val="clustered"/>
        <c:ser>
          <c:idx val="0"/>
          <c:order val="0"/>
          <c:dPt>
            <c:idx val="0"/>
            <c:spPr>
              <a:solidFill>
                <a:schemeClr val="accent1">
                  <a:lumMod val="60000"/>
                  <a:lumOff val="40000"/>
                </a:schemeClr>
              </a:solidFill>
              <a:effectLst>
                <a:outerShdw blurRad="50800" dist="38100" algn="l" rotWithShape="0">
                  <a:prstClr val="black">
                    <a:alpha val="40000"/>
                  </a:prstClr>
                </a:outerShdw>
              </a:effectLst>
            </c:spPr>
          </c:dPt>
          <c:dPt>
            <c:idx val="1"/>
            <c:spPr>
              <a:ln>
                <a:solidFill>
                  <a:schemeClr val="tx2">
                    <a:lumMod val="60000"/>
                    <a:lumOff val="40000"/>
                  </a:schemeClr>
                </a:solidFill>
              </a:ln>
              <a:effectLst>
                <a:outerShdw blurRad="50800" dist="38100" algn="l" rotWithShape="0">
                  <a:prstClr val="black">
                    <a:alpha val="40000"/>
                  </a:prstClr>
                </a:outerShdw>
              </a:effectLst>
            </c:spPr>
          </c:dPt>
          <c:dLbls>
            <c:dLbl>
              <c:idx val="0"/>
              <c:layout>
                <c:manualLayout>
                  <c:x val="1.6666666666666691E-2"/>
                  <c:y val="-6.4814814814815033E-2"/>
                </c:manualLayout>
              </c:layout>
              <c:spPr/>
              <c:txPr>
                <a:bodyPr/>
                <a:lstStyle/>
                <a:p>
                  <a:pPr>
                    <a:defRPr sz="1100" b="1"/>
                  </a:pPr>
                  <a:endParaRPr lang="es-MX"/>
                </a:p>
              </c:txPr>
              <c:showVal val="1"/>
            </c:dLbl>
            <c:dLbl>
              <c:idx val="1"/>
              <c:layout>
                <c:manualLayout>
                  <c:x val="2.7777777777777936E-2"/>
                  <c:y val="-5.5555555555555455E-2"/>
                </c:manualLayout>
              </c:layout>
              <c:spPr/>
              <c:txPr>
                <a:bodyPr/>
                <a:lstStyle/>
                <a:p>
                  <a:pPr>
                    <a:defRPr sz="1100" b="1"/>
                  </a:pPr>
                  <a:endParaRPr lang="es-MX"/>
                </a:p>
              </c:txPr>
              <c:showVal val="1"/>
            </c:dLbl>
            <c:showVal val="1"/>
          </c:dLbls>
          <c:cat>
            <c:strRef>
              <c:f>auditoria!$A$76:$A$77</c:f>
              <c:strCache>
                <c:ptCount val="2"/>
                <c:pt idx="0">
                  <c:v>Cifras virtuales a junio 2015</c:v>
                </c:pt>
                <c:pt idx="1">
                  <c:v>Meta anual según POA 2015</c:v>
                </c:pt>
              </c:strCache>
            </c:strRef>
          </c:cat>
          <c:val>
            <c:numRef>
              <c:f>auditoria!$B$76:$B$77</c:f>
              <c:numCache>
                <c:formatCode>_("$"* #,##0.00_);_("$"* \(#,##0.00\);_("$"* "-"??_);_(@_)</c:formatCode>
                <c:ptCount val="2"/>
                <c:pt idx="0">
                  <c:v>16250721</c:v>
                </c:pt>
                <c:pt idx="1">
                  <c:v>28800000</c:v>
                </c:pt>
              </c:numCache>
            </c:numRef>
          </c:val>
        </c:ser>
        <c:shape val="cylinder"/>
        <c:axId val="78653696"/>
        <c:axId val="78663680"/>
        <c:axId val="0"/>
      </c:bar3DChart>
      <c:catAx>
        <c:axId val="78653696"/>
        <c:scaling>
          <c:orientation val="minMax"/>
        </c:scaling>
        <c:axPos val="b"/>
        <c:tickLblPos val="nextTo"/>
        <c:txPr>
          <a:bodyPr/>
          <a:lstStyle/>
          <a:p>
            <a:pPr>
              <a:defRPr sz="1050" b="1"/>
            </a:pPr>
            <a:endParaRPr lang="es-MX"/>
          </a:p>
        </c:txPr>
        <c:crossAx val="78663680"/>
        <c:crosses val="autoZero"/>
        <c:auto val="1"/>
        <c:lblAlgn val="ctr"/>
        <c:lblOffset val="100"/>
      </c:catAx>
      <c:valAx>
        <c:axId val="78663680"/>
        <c:scaling>
          <c:orientation val="minMax"/>
        </c:scaling>
        <c:delete val="1"/>
        <c:axPos val="l"/>
        <c:numFmt formatCode="_(&quot;$&quot;* #,##0.00_);_(&quot;$&quot;* \(#,##0.00\);_(&quot;$&quot;* &quot;-&quot;??_);_(@_)" sourceLinked="1"/>
        <c:tickLblPos val="none"/>
        <c:crossAx val="78653696"/>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MX"/>
  <c:style val="18"/>
  <c:chart>
    <c:title>
      <c:tx>
        <c:rich>
          <a:bodyPr/>
          <a:lstStyle/>
          <a:p>
            <a:pPr>
              <a:defRPr sz="1100">
                <a:latin typeface="Arial" pitchFamily="34" charset="0"/>
                <a:cs typeface="Arial" pitchFamily="34" charset="0"/>
              </a:defRPr>
            </a:pPr>
            <a:r>
              <a:rPr lang="es-ES" sz="1100">
                <a:latin typeface="Arial" pitchFamily="34" charset="0"/>
                <a:cs typeface="Arial" pitchFamily="34" charset="0"/>
              </a:rPr>
              <a:t>PAGOS</a:t>
            </a:r>
            <a:r>
              <a:rPr lang="es-ES" sz="1100" baseline="0">
                <a:latin typeface="Arial" pitchFamily="34" charset="0"/>
                <a:cs typeface="Arial" pitchFamily="34" charset="0"/>
              </a:rPr>
              <a:t> REALIZADOS POR CONCEPTO DEL IMPUESTO SOBRE TENENCIA Y/O USO DE VEHICULOS.</a:t>
            </a:r>
            <a:endParaRPr lang="es-ES" sz="1100">
              <a:latin typeface="Arial" pitchFamily="34" charset="0"/>
              <a:cs typeface="Arial" pitchFamily="34" charset="0"/>
            </a:endParaRPr>
          </a:p>
        </c:rich>
      </c:tx>
      <c:overlay val="1"/>
    </c:title>
    <c:view3D>
      <c:perspective val="30"/>
    </c:view3D>
    <c:plotArea>
      <c:layout>
        <c:manualLayout>
          <c:layoutTarget val="inner"/>
          <c:xMode val="edge"/>
          <c:yMode val="edge"/>
          <c:x val="6.2257373624144727E-2"/>
          <c:y val="0.15328106763227312"/>
          <c:w val="0.89956312509333547"/>
          <c:h val="0.67890754436606482"/>
        </c:manualLayout>
      </c:layout>
      <c:bar3DChart>
        <c:barDir val="col"/>
        <c:grouping val="stacked"/>
        <c:ser>
          <c:idx val="0"/>
          <c:order val="0"/>
          <c:spPr>
            <a:solidFill>
              <a:srgbClr val="0070C0"/>
            </a:solidFill>
          </c:spPr>
          <c:dPt>
            <c:idx val="0"/>
            <c:spPr>
              <a:solidFill>
                <a:schemeClr val="bg1">
                  <a:lumMod val="65000"/>
                </a:schemeClr>
              </a:solidFill>
            </c:spPr>
          </c:dPt>
          <c:dPt>
            <c:idx val="2"/>
            <c:spPr>
              <a:solidFill>
                <a:schemeClr val="bg1">
                  <a:lumMod val="65000"/>
                </a:schemeClr>
              </a:solidFill>
            </c:spPr>
          </c:dPt>
          <c:dPt>
            <c:idx val="4"/>
            <c:spPr>
              <a:solidFill>
                <a:schemeClr val="bg1">
                  <a:lumMod val="65000"/>
                </a:schemeClr>
              </a:solidFill>
            </c:spPr>
          </c:dPt>
          <c:dLbls>
            <c:dLbl>
              <c:idx val="0"/>
              <c:layout>
                <c:manualLayout>
                  <c:x val="2.1097042908893621E-3"/>
                  <c:y val="-0.24584237165582123"/>
                </c:manualLayout>
              </c:layout>
              <c:showVal val="1"/>
            </c:dLbl>
            <c:dLbl>
              <c:idx val="1"/>
              <c:layout>
                <c:manualLayout>
                  <c:x val="-2.1097042908893621E-3"/>
                  <c:y val="-0.25741142443962406"/>
                </c:manualLayout>
              </c:layout>
              <c:showVal val="1"/>
            </c:dLbl>
            <c:dLbl>
              <c:idx val="2"/>
              <c:layout>
                <c:manualLayout>
                  <c:x val="0"/>
                  <c:y val="-0.28633405639913234"/>
                </c:manualLayout>
              </c:layout>
              <c:showVal val="1"/>
            </c:dLbl>
            <c:dLbl>
              <c:idx val="3"/>
              <c:layout>
                <c:manualLayout>
                  <c:x val="1.4767930036225453E-2"/>
                  <c:y val="-0.29501084598698585"/>
                </c:manualLayout>
              </c:layout>
              <c:showVal val="1"/>
            </c:dLbl>
            <c:dLbl>
              <c:idx val="4"/>
              <c:layout>
                <c:manualLayout>
                  <c:x val="3.1645564363340248E-2"/>
                  <c:y val="-0.26319595083152458"/>
                </c:manualLayout>
              </c:layout>
              <c:showVal val="1"/>
            </c:dLbl>
            <c:txPr>
              <a:bodyPr/>
              <a:lstStyle/>
              <a:p>
                <a:pPr>
                  <a:defRPr b="1"/>
                </a:pPr>
                <a:endParaRPr lang="es-MX"/>
              </a:p>
            </c:txPr>
            <c:showVal val="1"/>
          </c:dLbls>
          <c:cat>
            <c:strRef>
              <c:f>DAT!$A$30:$A$34</c:f>
              <c:strCache>
                <c:ptCount val="5"/>
                <c:pt idx="0">
                  <c:v>2011</c:v>
                </c:pt>
                <c:pt idx="1">
                  <c:v>2012</c:v>
                </c:pt>
                <c:pt idx="2">
                  <c:v>2013</c:v>
                </c:pt>
                <c:pt idx="3">
                  <c:v>2014</c:v>
                </c:pt>
                <c:pt idx="4">
                  <c:v>2015*</c:v>
                </c:pt>
              </c:strCache>
            </c:strRef>
          </c:cat>
          <c:val>
            <c:numRef>
              <c:f>DAT!$B$30:$B$34</c:f>
              <c:numCache>
                <c:formatCode>_-* #,##0_-;\-* #,##0_-;_-* \-??_-;_-@_-</c:formatCode>
                <c:ptCount val="5"/>
                <c:pt idx="0">
                  <c:v>187841</c:v>
                </c:pt>
                <c:pt idx="1">
                  <c:v>208261</c:v>
                </c:pt>
                <c:pt idx="2">
                  <c:v>220643</c:v>
                </c:pt>
                <c:pt idx="3">
                  <c:v>226602</c:v>
                </c:pt>
                <c:pt idx="4">
                  <c:v>187516</c:v>
                </c:pt>
              </c:numCache>
            </c:numRef>
          </c:val>
        </c:ser>
        <c:shape val="box"/>
        <c:axId val="78676736"/>
        <c:axId val="78678272"/>
        <c:axId val="0"/>
      </c:bar3DChart>
      <c:catAx>
        <c:axId val="78676736"/>
        <c:scaling>
          <c:orientation val="minMax"/>
        </c:scaling>
        <c:axPos val="b"/>
        <c:numFmt formatCode="General" sourceLinked="1"/>
        <c:tickLblPos val="nextTo"/>
        <c:txPr>
          <a:bodyPr/>
          <a:lstStyle/>
          <a:p>
            <a:pPr>
              <a:defRPr b="1"/>
            </a:pPr>
            <a:endParaRPr lang="es-MX"/>
          </a:p>
        </c:txPr>
        <c:crossAx val="78678272"/>
        <c:crosses val="autoZero"/>
        <c:auto val="1"/>
        <c:lblAlgn val="ctr"/>
        <c:lblOffset val="100"/>
      </c:catAx>
      <c:valAx>
        <c:axId val="78678272"/>
        <c:scaling>
          <c:orientation val="minMax"/>
        </c:scaling>
        <c:delete val="1"/>
        <c:axPos val="l"/>
        <c:numFmt formatCode="_-* #,##0_-;\-* #,##0_-;_-* \-??_-;_-@_-" sourceLinked="1"/>
        <c:tickLblPos val="none"/>
        <c:crossAx val="78676736"/>
        <c:crosses val="autoZero"/>
        <c:crossBetween val="between"/>
      </c:valAx>
    </c:plotArea>
    <c:plotVisOnly val="1"/>
    <c:dispBlanksAs val="gap"/>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a:pPr>
            <a:r>
              <a:rPr lang="es-MX"/>
              <a:t>Padrón</a:t>
            </a:r>
            <a:r>
              <a:rPr lang="es-MX" baseline="0"/>
              <a:t> Vehicular</a:t>
            </a:r>
            <a:endParaRPr lang="es-MX"/>
          </a:p>
        </c:rich>
      </c:tx>
    </c:title>
    <c:view3D>
      <c:rAngAx val="1"/>
    </c:view3D>
    <c:floor>
      <c:spPr>
        <a:noFill/>
        <a:ln w="9525">
          <a:noFill/>
        </a:ln>
      </c:spPr>
    </c:floor>
    <c:plotArea>
      <c:layout>
        <c:manualLayout>
          <c:layoutTarget val="inner"/>
          <c:xMode val="edge"/>
          <c:yMode val="edge"/>
          <c:x val="9.9770261071261065E-2"/>
          <c:y val="0.1644293830054018"/>
          <c:w val="0.86164808101069779"/>
          <c:h val="0.55094249713982779"/>
        </c:manualLayout>
      </c:layout>
      <c:bar3DChart>
        <c:barDir val="col"/>
        <c:grouping val="clustered"/>
        <c:ser>
          <c:idx val="0"/>
          <c:order val="0"/>
          <c:spPr>
            <a:solidFill>
              <a:srgbClr val="0070C0"/>
            </a:solidFill>
          </c:spPr>
          <c:dPt>
            <c:idx val="0"/>
            <c:spPr>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lin ang="16200000" scaled="1"/>
                <a:tileRect/>
              </a:gradFill>
            </c:spPr>
          </c:dPt>
          <c:dPt>
            <c:idx val="2"/>
            <c:spPr>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lin ang="16200000" scaled="1"/>
                <a:tileRect/>
              </a:gradFill>
            </c:spPr>
          </c:dPt>
          <c:dPt>
            <c:idx val="4"/>
            <c:spPr>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lin ang="16200000" scaled="1"/>
                <a:tileRect/>
              </a:gradFill>
            </c:spPr>
          </c:dPt>
          <c:dLbls>
            <c:dLbl>
              <c:idx val="0"/>
              <c:layout>
                <c:manualLayout>
                  <c:x val="2.3579845966386351E-2"/>
                  <c:y val="-1.8264844560659781E-2"/>
                </c:manualLayout>
              </c:layout>
              <c:showVal val="1"/>
            </c:dLbl>
            <c:dLbl>
              <c:idx val="1"/>
              <c:layout>
                <c:manualLayout>
                  <c:x val="1.7148978884644592E-2"/>
                  <c:y val="-1.5220703800549842E-2"/>
                </c:manualLayout>
              </c:layout>
              <c:showVal val="1"/>
            </c:dLbl>
            <c:dLbl>
              <c:idx val="2"/>
              <c:layout>
                <c:manualLayout>
                  <c:x val="6.4308670817417582E-3"/>
                  <c:y val="-1.8264844560659781E-2"/>
                </c:manualLayout>
              </c:layout>
              <c:showVal val="1"/>
            </c:dLbl>
            <c:dLbl>
              <c:idx val="3"/>
              <c:layout>
                <c:manualLayout>
                  <c:x val="1.5005356524064017E-2"/>
                  <c:y val="-2.1308985320769792E-2"/>
                </c:manualLayout>
              </c:layout>
              <c:showVal val="1"/>
            </c:dLbl>
            <c:dLbl>
              <c:idx val="4"/>
              <c:layout>
                <c:manualLayout>
                  <c:x val="1.0718111802902873E-2"/>
                  <c:y val="-1.8264844560659781E-2"/>
                </c:manualLayout>
              </c:layout>
              <c:showVal val="1"/>
            </c:dLbl>
            <c:txPr>
              <a:bodyPr/>
              <a:lstStyle/>
              <a:p>
                <a:pPr>
                  <a:defRPr sz="1100" b="1"/>
                </a:pPr>
                <a:endParaRPr lang="es-MX"/>
              </a:p>
            </c:txPr>
            <c:showVal val="1"/>
          </c:dLbls>
          <c:cat>
            <c:strRef>
              <c:f>DAT!$A$4:$A$8</c:f>
              <c:strCache>
                <c:ptCount val="5"/>
                <c:pt idx="0">
                  <c:v>2011</c:v>
                </c:pt>
                <c:pt idx="1">
                  <c:v>2012</c:v>
                </c:pt>
                <c:pt idx="2">
                  <c:v>2013</c:v>
                </c:pt>
                <c:pt idx="3">
                  <c:v>2014</c:v>
                </c:pt>
                <c:pt idx="4">
                  <c:v>2015*</c:v>
                </c:pt>
              </c:strCache>
            </c:strRef>
          </c:cat>
          <c:val>
            <c:numRef>
              <c:f>DAT!$B$4:$B$8</c:f>
              <c:numCache>
                <c:formatCode>_-* #,##0_-;\-* #,##0_-;_-* \-??_-;_-@_-</c:formatCode>
                <c:ptCount val="5"/>
                <c:pt idx="0">
                  <c:v>410571</c:v>
                </c:pt>
                <c:pt idx="1">
                  <c:v>436995</c:v>
                </c:pt>
                <c:pt idx="2">
                  <c:v>459248</c:v>
                </c:pt>
                <c:pt idx="3">
                  <c:v>491863</c:v>
                </c:pt>
                <c:pt idx="4">
                  <c:v>504650</c:v>
                </c:pt>
              </c:numCache>
            </c:numRef>
          </c:val>
        </c:ser>
        <c:shape val="box"/>
        <c:axId val="78704000"/>
        <c:axId val="148878464"/>
        <c:axId val="0"/>
      </c:bar3DChart>
      <c:catAx>
        <c:axId val="78704000"/>
        <c:scaling>
          <c:orientation val="minMax"/>
        </c:scaling>
        <c:axPos val="b"/>
        <c:tickLblPos val="nextTo"/>
        <c:txPr>
          <a:bodyPr/>
          <a:lstStyle/>
          <a:p>
            <a:pPr>
              <a:defRPr sz="1400" b="1"/>
            </a:pPr>
            <a:endParaRPr lang="es-MX"/>
          </a:p>
        </c:txPr>
        <c:crossAx val="148878464"/>
        <c:crosses val="autoZero"/>
        <c:auto val="1"/>
        <c:lblAlgn val="ctr"/>
        <c:lblOffset val="100"/>
      </c:catAx>
      <c:valAx>
        <c:axId val="148878464"/>
        <c:scaling>
          <c:orientation val="minMax"/>
        </c:scaling>
        <c:delete val="1"/>
        <c:axPos val="l"/>
        <c:numFmt formatCode="_-* #,##0_-;\-* #,##0_-;_-* \-??_-;_-@_-" sourceLinked="1"/>
        <c:tickLblPos val="none"/>
        <c:crossAx val="78704000"/>
        <c:crosses val="autoZero"/>
        <c:crossBetween val="between"/>
      </c:valAx>
    </c:plotArea>
    <c:plotVisOnly val="1"/>
    <c:dispBlanksAs val="gap"/>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sz="1600"/>
            </a:pPr>
            <a:r>
              <a:rPr lang="es-MX" sz="1600"/>
              <a:t>Ingresos por contribuciones</a:t>
            </a:r>
          </a:p>
          <a:p>
            <a:pPr>
              <a:defRPr sz="1600"/>
            </a:pPr>
            <a:r>
              <a:rPr lang="es-MX" sz="1600"/>
              <a:t>ejercicio 2015*</a:t>
            </a:r>
          </a:p>
        </c:rich>
      </c:tx>
      <c:layout>
        <c:manualLayout>
          <c:xMode val="edge"/>
          <c:yMode val="edge"/>
          <c:x val="0.36380432192253942"/>
          <c:y val="1.8306636155606407E-2"/>
        </c:manualLayout>
      </c:layout>
    </c:title>
    <c:view3D>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0.17366032542635471"/>
          <c:y val="0.1668261935094375"/>
          <c:w val="0.74820092543377348"/>
          <c:h val="0.67613472292571664"/>
        </c:manualLayout>
      </c:layout>
      <c:bar3DChart>
        <c:barDir val="col"/>
        <c:grouping val="stacked"/>
        <c:ser>
          <c:idx val="0"/>
          <c:order val="0"/>
          <c:dPt>
            <c:idx val="0"/>
            <c:spPr>
              <a:solidFill>
                <a:schemeClr val="tx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dPt>
          <c:dLbls>
            <c:dLbl>
              <c:idx val="0"/>
              <c:layout>
                <c:manualLayout>
                  <c:x val="2.7210884353741478E-2"/>
                  <c:y val="-0.33268356075373706"/>
                </c:manualLayout>
              </c:layout>
              <c:showVal val="1"/>
            </c:dLbl>
            <c:dLbl>
              <c:idx val="1"/>
              <c:layout>
                <c:manualLayout>
                  <c:x val="3.3490319204604942E-2"/>
                  <c:y val="-7.7972709551657013E-2"/>
                </c:manualLayout>
              </c:layout>
              <c:showVal val="1"/>
            </c:dLbl>
            <c:txPr>
              <a:bodyPr/>
              <a:lstStyle/>
              <a:p>
                <a:pPr>
                  <a:defRPr sz="1200" b="1"/>
                </a:pPr>
                <a:endParaRPr lang="es-MX"/>
              </a:p>
            </c:txPr>
            <c:showVal val="1"/>
          </c:dLbls>
          <c:cat>
            <c:strRef>
              <c:f>bancos!$A$4:$A$5</c:f>
              <c:strCache>
                <c:ptCount val="2"/>
                <c:pt idx="0">
                  <c:v>Bancos</c:v>
                </c:pt>
                <c:pt idx="1">
                  <c:v>Delegaciones Fiscales</c:v>
                </c:pt>
              </c:strCache>
            </c:strRef>
          </c:cat>
          <c:val>
            <c:numRef>
              <c:f>bancos!$B$4:$B$5</c:f>
              <c:numCache>
                <c:formatCode>0%</c:formatCode>
                <c:ptCount val="2"/>
                <c:pt idx="0">
                  <c:v>0.94830000000000003</c:v>
                </c:pt>
                <c:pt idx="1">
                  <c:v>5.1700000000000003E-2</c:v>
                </c:pt>
              </c:numCache>
            </c:numRef>
          </c:val>
        </c:ser>
        <c:shape val="box"/>
        <c:axId val="77830016"/>
        <c:axId val="77831552"/>
        <c:axId val="0"/>
      </c:bar3DChart>
      <c:catAx>
        <c:axId val="77830016"/>
        <c:scaling>
          <c:orientation val="minMax"/>
        </c:scaling>
        <c:axPos val="b"/>
        <c:tickLblPos val="nextTo"/>
        <c:txPr>
          <a:bodyPr/>
          <a:lstStyle/>
          <a:p>
            <a:pPr>
              <a:defRPr sz="1200" b="1"/>
            </a:pPr>
            <a:endParaRPr lang="es-MX"/>
          </a:p>
        </c:txPr>
        <c:crossAx val="77831552"/>
        <c:crosses val="autoZero"/>
        <c:auto val="1"/>
        <c:lblAlgn val="ctr"/>
        <c:lblOffset val="100"/>
      </c:catAx>
      <c:valAx>
        <c:axId val="77831552"/>
        <c:scaling>
          <c:orientation val="minMax"/>
        </c:scaling>
        <c:delete val="1"/>
        <c:axPos val="l"/>
        <c:numFmt formatCode="0%" sourceLinked="1"/>
        <c:tickLblPos val="none"/>
        <c:crossAx val="77830016"/>
        <c:crosses val="autoZero"/>
        <c:crossBetween val="between"/>
      </c:valAx>
    </c:plotArea>
    <c:plotVisOnly val="1"/>
    <c:dispBlanksAs val="gap"/>
  </c:chart>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sz="1400"/>
            </a:pPr>
            <a:r>
              <a:rPr lang="es-MX" sz="1400"/>
              <a:t>Distribución</a:t>
            </a:r>
            <a:r>
              <a:rPr lang="es-MX" sz="1400" baseline="0"/>
              <a:t> de pagos a través del portal de internet</a:t>
            </a:r>
          </a:p>
          <a:p>
            <a:pPr>
              <a:defRPr sz="1400"/>
            </a:pPr>
            <a:r>
              <a:rPr lang="es-MX" sz="1400" baseline="0"/>
              <a:t>(Porcentaje)</a:t>
            </a:r>
            <a:endParaRPr lang="es-MX" sz="1400"/>
          </a:p>
        </c:rich>
      </c:tx>
    </c:title>
    <c:view3D>
      <c:rotX val="30"/>
      <c:perspective val="30"/>
    </c:view3D>
    <c:plotArea>
      <c:layout>
        <c:manualLayout>
          <c:layoutTarget val="inner"/>
          <c:xMode val="edge"/>
          <c:yMode val="edge"/>
          <c:x val="7.6139954860358044E-2"/>
          <c:y val="0.17886611855637319"/>
          <c:w val="0.52551635801994179"/>
          <c:h val="0.81905791776027992"/>
        </c:manualLayout>
      </c:layout>
      <c:pie3DChart>
        <c:varyColors val="1"/>
        <c:ser>
          <c:idx val="0"/>
          <c:order val="0"/>
          <c:dPt>
            <c:idx val="0"/>
            <c:spPr>
              <a:solidFill>
                <a:schemeClr val="accent1">
                  <a:lumMod val="60000"/>
                  <a:lumOff val="40000"/>
                </a:schemeClr>
              </a:solidFill>
            </c:spPr>
          </c:dPt>
          <c:dPt>
            <c:idx val="1"/>
            <c:spPr>
              <a:solidFill>
                <a:schemeClr val="accent5">
                  <a:lumMod val="60000"/>
                  <a:lumOff val="40000"/>
                </a:schemeClr>
              </a:solidFill>
            </c:spPr>
          </c:dPt>
          <c:dLbls>
            <c:dLbl>
              <c:idx val="0"/>
              <c:layout>
                <c:manualLayout>
                  <c:x val="-0.18268882804847161"/>
                  <c:y val="-0.15210164954546299"/>
                </c:manualLayout>
              </c:layout>
              <c:showVal val="1"/>
            </c:dLbl>
            <c:dLbl>
              <c:idx val="1"/>
              <c:layout>
                <c:manualLayout>
                  <c:x val="0.13030218953313971"/>
                  <c:y val="1.464068647048258E-2"/>
                </c:manualLayout>
              </c:layout>
              <c:showVal val="1"/>
            </c:dLbl>
            <c:dLbl>
              <c:idx val="2"/>
              <c:layout>
                <c:manualLayout>
                  <c:x val="-3.0384358621304463E-2"/>
                  <c:y val="-7.296124408290032E-2"/>
                </c:manualLayout>
              </c:layout>
              <c:showVal val="1"/>
            </c:dLbl>
            <c:dLbl>
              <c:idx val="3"/>
              <c:layout>
                <c:manualLayout>
                  <c:x val="1.7631986059502596E-2"/>
                  <c:y val="-5.9470778073270662E-2"/>
                </c:manualLayout>
              </c:layout>
              <c:showVal val="1"/>
            </c:dLbl>
            <c:txPr>
              <a:bodyPr/>
              <a:lstStyle/>
              <a:p>
                <a:pPr>
                  <a:defRPr sz="1100" b="1"/>
                </a:pPr>
                <a:endParaRPr lang="es-MX"/>
              </a:p>
            </c:txPr>
            <c:showVal val="1"/>
            <c:showLeaderLines val="1"/>
          </c:dLbls>
          <c:cat>
            <c:strRef>
              <c:f>'pagos linea'!$A$3:$A$6</c:f>
              <c:strCache>
                <c:ptCount val="4"/>
                <c:pt idx="0">
                  <c:v>Impuesto sobre Tenencia o Uso de Vehículos</c:v>
                </c:pt>
                <c:pt idx="1">
                  <c:v>Erogaciones por Remuneraciones al Trabajo Personal</c:v>
                </c:pt>
                <c:pt idx="2">
                  <c:v>Cedular</c:v>
                </c:pt>
                <c:pt idx="3">
                  <c:v>Otros</c:v>
                </c:pt>
              </c:strCache>
            </c:strRef>
          </c:cat>
          <c:val>
            <c:numRef>
              <c:f>'pagos linea'!$B$3:$B$6</c:f>
              <c:numCache>
                <c:formatCode>_(* #,##0.00_);_(* \(#,##0.00\);_(* "-"??_);_(@_)</c:formatCode>
                <c:ptCount val="4"/>
                <c:pt idx="0">
                  <c:v>66.171986176051547</c:v>
                </c:pt>
                <c:pt idx="1">
                  <c:v>28.359422646879427</c:v>
                </c:pt>
                <c:pt idx="2">
                  <c:v>2.8054482618418377</c:v>
                </c:pt>
                <c:pt idx="3">
                  <c:v>2.6631429152266719</c:v>
                </c:pt>
              </c:numCache>
            </c:numRef>
          </c:val>
        </c:ser>
      </c:pie3DChart>
    </c:plotArea>
    <c:legend>
      <c:legendPos val="r"/>
      <c:layout>
        <c:manualLayout>
          <c:xMode val="edge"/>
          <c:yMode val="edge"/>
          <c:x val="0.68597064824756682"/>
          <c:y val="0.30569675479306807"/>
          <c:w val="0.29358374922672237"/>
          <c:h val="0.48056150481189852"/>
        </c:manualLayout>
      </c:layout>
      <c:txPr>
        <a:bodyPr/>
        <a:lstStyle/>
        <a:p>
          <a:pPr>
            <a:defRPr sz="1200"/>
          </a:pPr>
          <a:endParaRPr lang="es-MX"/>
        </a:p>
      </c:txPr>
    </c:legend>
    <c:plotVisOnly val="1"/>
    <c:dispBlanksAs val="zero"/>
  </c:chart>
  <c:externalData r:id="rId1"/>
</c:chartSpace>
</file>

<file path=word/drawings/drawing1.xml><?xml version="1.0" encoding="utf-8"?>
<c:userShapes xmlns:c="http://schemas.openxmlformats.org/drawingml/2006/chart">
  <cdr:relSizeAnchor xmlns:cdr="http://schemas.openxmlformats.org/drawingml/2006/chartDrawing">
    <cdr:from>
      <cdr:x>0.04589</cdr:x>
      <cdr:y>0.88937</cdr:y>
    </cdr:from>
    <cdr:to>
      <cdr:x>0.36076</cdr:x>
      <cdr:y>0.95662</cdr:y>
    </cdr:to>
    <cdr:sp macro="" textlink="">
      <cdr:nvSpPr>
        <cdr:cNvPr id="2" name="1 CuadroTexto"/>
        <cdr:cNvSpPr txBox="1"/>
      </cdr:nvSpPr>
      <cdr:spPr>
        <a:xfrm xmlns:a="http://schemas.openxmlformats.org/drawingml/2006/main">
          <a:off x="276228" y="3905250"/>
          <a:ext cx="1895474"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200" b="1"/>
            <a:t>*</a:t>
          </a:r>
          <a:r>
            <a:rPr lang="es-MX" sz="1000"/>
            <a:t>Cifras  al 30 de junio de 2015</a:t>
          </a:r>
        </a:p>
      </cdr:txBody>
    </cdr:sp>
  </cdr:relSizeAnchor>
</c:userShapes>
</file>

<file path=word/drawings/drawing2.xml><?xml version="1.0" encoding="utf-8"?>
<c:userShapes xmlns:c="http://schemas.openxmlformats.org/drawingml/2006/chart">
  <cdr:relSizeAnchor xmlns:cdr="http://schemas.openxmlformats.org/drawingml/2006/chartDrawing">
    <cdr:from>
      <cdr:x>0.06592</cdr:x>
      <cdr:y>0.879</cdr:y>
    </cdr:from>
    <cdr:to>
      <cdr:x>0.36656</cdr:x>
      <cdr:y>0.94749</cdr:y>
    </cdr:to>
    <cdr:sp macro="" textlink="">
      <cdr:nvSpPr>
        <cdr:cNvPr id="2" name="1 CuadroTexto"/>
        <cdr:cNvSpPr txBox="1"/>
      </cdr:nvSpPr>
      <cdr:spPr>
        <a:xfrm xmlns:a="http://schemas.openxmlformats.org/drawingml/2006/main">
          <a:off x="390526" y="3667125"/>
          <a:ext cx="17811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dr:relSizeAnchor xmlns:cdr="http://schemas.openxmlformats.org/drawingml/2006/chartDrawing">
    <cdr:from>
      <cdr:x>0.09003</cdr:x>
      <cdr:y>0.90183</cdr:y>
    </cdr:from>
    <cdr:to>
      <cdr:x>0.44534</cdr:x>
      <cdr:y>0.9863</cdr:y>
    </cdr:to>
    <cdr:sp macro="" textlink="">
      <cdr:nvSpPr>
        <cdr:cNvPr id="3" name="2 CuadroTexto"/>
        <cdr:cNvSpPr txBox="1"/>
      </cdr:nvSpPr>
      <cdr:spPr>
        <a:xfrm xmlns:a="http://schemas.openxmlformats.org/drawingml/2006/main">
          <a:off x="533401" y="3762374"/>
          <a:ext cx="2105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200" b="1"/>
            <a:t>* </a:t>
          </a:r>
          <a:r>
            <a:rPr lang="es-MX" sz="1100"/>
            <a:t>Cifras al 30 de junio de 2015.</a:t>
          </a:r>
        </a:p>
      </cdr:txBody>
    </cdr:sp>
  </cdr:relSizeAnchor>
</c:userShapes>
</file>

<file path=word/drawings/drawing3.xml><?xml version="1.0" encoding="utf-8"?>
<c:userShapes xmlns:c="http://schemas.openxmlformats.org/drawingml/2006/chart">
  <cdr:relSizeAnchor xmlns:cdr="http://schemas.openxmlformats.org/drawingml/2006/chartDrawing">
    <cdr:from>
      <cdr:x>0.1821</cdr:x>
      <cdr:y>0.93567</cdr:y>
    </cdr:from>
    <cdr:to>
      <cdr:x>0.52904</cdr:x>
      <cdr:y>0.98635</cdr:y>
    </cdr:to>
    <cdr:sp macro="" textlink="">
      <cdr:nvSpPr>
        <cdr:cNvPr id="2" name="1 CuadroTexto"/>
        <cdr:cNvSpPr txBox="1"/>
      </cdr:nvSpPr>
      <cdr:spPr>
        <a:xfrm xmlns:a="http://schemas.openxmlformats.org/drawingml/2006/main">
          <a:off x="1104900" y="4572000"/>
          <a:ext cx="21050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200" b="1"/>
            <a:t>*</a:t>
          </a:r>
          <a:r>
            <a:rPr lang="es-MX" sz="1000"/>
            <a:t> Cifras al 30 de junio de 2015.</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63E61-1675-4058-A5B0-379139937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124</Pages>
  <Words>29363</Words>
  <Characters>161497</Characters>
  <Application>Microsoft Office Word</Application>
  <DocSecurity>0</DocSecurity>
  <Lines>1345</Lines>
  <Paragraphs>380</Paragraphs>
  <ScaleCrop>false</ScaleCrop>
  <HeadingPairs>
    <vt:vector size="2" baseType="variant">
      <vt:variant>
        <vt:lpstr>Título</vt:lpstr>
      </vt:variant>
      <vt:variant>
        <vt:i4>1</vt:i4>
      </vt:variant>
    </vt:vector>
  </HeadingPairs>
  <TitlesOfParts>
    <vt:vector size="1" baseType="lpstr">
      <vt:lpstr/>
    </vt:vector>
  </TitlesOfParts>
  <Company>INFORMATICA</Company>
  <LinksUpToDate>false</LinksUpToDate>
  <CharactersWithSpaces>190480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Unidad de Informatica Secretaria de Finanzas</dc:creator>
  <cp:lastModifiedBy>admin</cp:lastModifiedBy>
  <cp:revision>2</cp:revision>
  <cp:lastPrinted>2015-07-30T20:39:00Z</cp:lastPrinted>
  <dcterms:created xsi:type="dcterms:W3CDTF">2015-08-04T15:28:00Z</dcterms:created>
  <dcterms:modified xsi:type="dcterms:W3CDTF">2015-08-04T15:28:00Z</dcterms:modified>
</cp:coreProperties>
</file>