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drawings/drawing8.xml" ContentType="application/vnd.openxmlformats-officedocument.drawingml.chartshapes+xml"/>
  <Override PartName="/word/theme/themeOverride1.xml" ContentType="application/vnd.openxmlformats-officedocument.themeOverride+xml"/>
  <Override PartName="/word/drawings/drawing6.xml" ContentType="application/vnd.openxmlformats-officedocument.drawingml.chartshap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drawings/drawing9.xml" ContentType="application/vnd.openxmlformats-officedocument.drawingml.chartshapes+xml"/>
  <Default Extension="emf" ContentType="image/x-emf"/>
  <Override PartName="/word/drawings/drawing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BDE" w:rsidRDefault="00C97BDE" w:rsidP="00461035">
      <w:pPr>
        <w:spacing w:line="264" w:lineRule="auto"/>
        <w:contextualSpacing/>
        <w:jc w:val="both"/>
        <w:rPr>
          <w:rFonts w:ascii="Arial" w:hAnsi="Arial" w:cs="Arial"/>
          <w:b/>
          <w:spacing w:val="20"/>
        </w:rPr>
      </w:pPr>
      <w:r>
        <w:rPr>
          <w:rFonts w:ascii="Arial" w:hAnsi="Arial" w:cs="Arial"/>
          <w:b/>
          <w:spacing w:val="20"/>
        </w:rPr>
        <w:t>1.- PRESENTACION</w:t>
      </w:r>
    </w:p>
    <w:p w:rsidR="00397A99" w:rsidRDefault="00397A99">
      <w:pPr>
        <w:rPr>
          <w:rFonts w:ascii="Arial" w:hAnsi="Arial" w:cs="Arial"/>
          <w:b/>
          <w:spacing w:val="20"/>
        </w:rPr>
      </w:pPr>
    </w:p>
    <w:p w:rsidR="00397A99" w:rsidRPr="00397A99" w:rsidRDefault="00397A99" w:rsidP="00397A99">
      <w:pPr>
        <w:spacing w:after="240"/>
        <w:contextualSpacing/>
        <w:jc w:val="both"/>
        <w:rPr>
          <w:rFonts w:ascii="Arial" w:hAnsi="Arial" w:cs="Arial"/>
          <w:kern w:val="2"/>
          <w:lang w:eastAsia="en-US"/>
        </w:rPr>
      </w:pPr>
      <w:r w:rsidRPr="00397A99">
        <w:rPr>
          <w:rFonts w:ascii="Arial" w:hAnsi="Arial" w:cs="Arial"/>
          <w:kern w:val="2"/>
          <w:lang w:eastAsia="en-US"/>
        </w:rPr>
        <w:t>Vengo a dar cuenta a ese Honorable Congreso del Estado, del primer Informe de Avance de la Cuenta Pública correspondiente al periodo enero – marzo 2016, que entre otros contiene los resultados obtenidos por el Poder Ejecutivo a mi cargo, así como del Poder Judicial y Órganos Autónomos que tuvieron a bien, integrar y enviar la información que se señala en la Ley General de Contabilidad Gubernamental.</w:t>
      </w:r>
    </w:p>
    <w:p w:rsidR="00397A99" w:rsidRPr="00397A99" w:rsidRDefault="00397A99" w:rsidP="00397A99">
      <w:pPr>
        <w:spacing w:after="240"/>
        <w:contextualSpacing/>
        <w:jc w:val="both"/>
        <w:rPr>
          <w:rFonts w:ascii="Arial" w:hAnsi="Arial" w:cs="Arial"/>
          <w:kern w:val="2"/>
          <w:lang w:eastAsia="en-US"/>
        </w:rPr>
      </w:pPr>
    </w:p>
    <w:p w:rsidR="00397A99" w:rsidRPr="00397A99" w:rsidRDefault="00397A99" w:rsidP="00397A99">
      <w:pPr>
        <w:spacing w:after="240"/>
        <w:contextualSpacing/>
        <w:jc w:val="both"/>
        <w:rPr>
          <w:rFonts w:ascii="Arial" w:hAnsi="Arial" w:cs="Arial"/>
          <w:kern w:val="2"/>
          <w:lang w:eastAsia="en-US"/>
        </w:rPr>
      </w:pPr>
      <w:r w:rsidRPr="00397A99">
        <w:rPr>
          <w:rFonts w:ascii="Arial" w:hAnsi="Arial" w:cs="Arial"/>
          <w:kern w:val="2"/>
          <w:lang w:eastAsia="en-US"/>
        </w:rPr>
        <w:t>Así, en cumplimiento a lo establecido en los artículos 1, 2, 80 fracción V segundo párrafo en correlación con lo señalado en el artículo 59 fracción XXII último párrafo, 82 de la Constitución Política del Estado Libre y Soberano de Oaxaca; 52, 53 y 54 de la Ley General de Contabilidad Gubernamental, 12 de la Ley de Fiscalización Superior para el Estado de Oaxaca, presento a esta Sexagésima Segunda Legislatura, el Informe de Avance de Cuenta Pública del Estado correspondiente al periodo enero - marzo 2016.</w:t>
      </w:r>
    </w:p>
    <w:p w:rsidR="00397A99" w:rsidRPr="00397A99" w:rsidRDefault="00397A99" w:rsidP="00397A99">
      <w:pPr>
        <w:spacing w:after="240"/>
        <w:contextualSpacing/>
        <w:jc w:val="both"/>
        <w:rPr>
          <w:rFonts w:ascii="Arial" w:hAnsi="Arial" w:cs="Arial"/>
          <w:kern w:val="2"/>
          <w:lang w:eastAsia="en-US"/>
        </w:rPr>
      </w:pPr>
    </w:p>
    <w:p w:rsidR="00397A99" w:rsidRPr="00397A99" w:rsidRDefault="00397A99" w:rsidP="00397A99">
      <w:pPr>
        <w:spacing w:after="240"/>
        <w:contextualSpacing/>
        <w:jc w:val="both"/>
        <w:rPr>
          <w:rFonts w:ascii="Arial" w:hAnsi="Arial" w:cs="Arial"/>
          <w:kern w:val="2"/>
          <w:lang w:eastAsia="en-US"/>
        </w:rPr>
      </w:pPr>
      <w:r w:rsidRPr="00397A99">
        <w:rPr>
          <w:rFonts w:ascii="Arial" w:hAnsi="Arial" w:cs="Arial"/>
          <w:kern w:val="2"/>
          <w:lang w:eastAsia="en-US"/>
        </w:rPr>
        <w:t>Los resultados obtenidos durante el periodo que se informa muestran un balance financiero positivo, derivadas de un mejoramiento en la recaudación de ingresos presupuestarios y un esfuerzo de contención del gasto que se refleja en menores egresos presupuestarios.</w:t>
      </w:r>
    </w:p>
    <w:p w:rsidR="00397A99" w:rsidRPr="00397A99" w:rsidRDefault="00397A99" w:rsidP="00397A99">
      <w:pPr>
        <w:spacing w:after="240"/>
        <w:contextualSpacing/>
        <w:jc w:val="both"/>
        <w:rPr>
          <w:rFonts w:ascii="Arial" w:hAnsi="Arial" w:cs="Arial"/>
          <w:kern w:val="2"/>
          <w:lang w:eastAsia="en-US"/>
        </w:rPr>
      </w:pPr>
    </w:p>
    <w:p w:rsidR="00397A99" w:rsidRPr="00397A99" w:rsidRDefault="00397A99" w:rsidP="00397A99">
      <w:pPr>
        <w:spacing w:after="240"/>
        <w:contextualSpacing/>
        <w:jc w:val="both"/>
        <w:rPr>
          <w:rFonts w:ascii="Arial" w:hAnsi="Arial" w:cs="Arial"/>
          <w:kern w:val="2"/>
          <w:lang w:eastAsia="en-US"/>
        </w:rPr>
      </w:pPr>
      <w:r w:rsidRPr="00397A99">
        <w:rPr>
          <w:rFonts w:ascii="Arial" w:hAnsi="Arial" w:cs="Arial"/>
          <w:kern w:val="2"/>
          <w:lang w:eastAsia="en-US"/>
        </w:rPr>
        <w:t>El gobierno del Estado, en el contexto de la disciplina financiera, ha venido instrumentando sistemáticamente controles financieros así como en el ejercicio del gasto, cuyo documento constituye un testimonio integral, completo y veraz respecto de la situación que guardan las finanzas del Estado en el primer trimestre del año.</w:t>
      </w:r>
    </w:p>
    <w:p w:rsidR="00397A99" w:rsidRPr="00397A99" w:rsidRDefault="00397A99" w:rsidP="00397A99">
      <w:pPr>
        <w:spacing w:after="240"/>
        <w:contextualSpacing/>
        <w:jc w:val="both"/>
        <w:rPr>
          <w:rFonts w:ascii="Arial" w:hAnsi="Arial" w:cs="Arial"/>
          <w:kern w:val="2"/>
          <w:lang w:eastAsia="en-US"/>
        </w:rPr>
      </w:pPr>
    </w:p>
    <w:p w:rsidR="00397A99" w:rsidRPr="00397A99" w:rsidRDefault="00397A99" w:rsidP="00397A99">
      <w:pPr>
        <w:spacing w:after="240"/>
        <w:contextualSpacing/>
        <w:jc w:val="both"/>
        <w:rPr>
          <w:rFonts w:ascii="Arial" w:hAnsi="Arial" w:cs="Arial"/>
          <w:kern w:val="2"/>
          <w:lang w:eastAsia="en-US"/>
        </w:rPr>
      </w:pPr>
      <w:r w:rsidRPr="00397A99">
        <w:rPr>
          <w:rFonts w:ascii="Arial" w:hAnsi="Arial" w:cs="Arial"/>
          <w:kern w:val="2"/>
          <w:lang w:eastAsia="en-US"/>
        </w:rPr>
        <w:t xml:space="preserve">El Informe de Avance de la Cuenta Pública del periodo enero – marzo de 2016, registra la fuente de los ingresos, así como las acciones realizadas para la obtención de los mismos y la aplicación de estos en servicios e infraestructura pública, de tal manera que los estados financieros del Estado cumplen con los Postulados Básicos de Contabilidad Gubernamental y las Normas Internacionales de Información Financiera (NIIF) aplicables al sector público, evaluándose los avances en relación con los objetivos establecidos en el Plan Estatal de Desarrollo de Oaxaca 2011-2016. </w:t>
      </w:r>
    </w:p>
    <w:p w:rsidR="00397A99" w:rsidRPr="00397A99" w:rsidRDefault="00397A99" w:rsidP="00397A99">
      <w:pPr>
        <w:spacing w:after="240"/>
        <w:contextualSpacing/>
        <w:jc w:val="both"/>
        <w:rPr>
          <w:rFonts w:ascii="Arial" w:hAnsi="Arial" w:cs="Arial"/>
          <w:kern w:val="2"/>
          <w:lang w:eastAsia="en-US"/>
        </w:rPr>
      </w:pPr>
    </w:p>
    <w:p w:rsidR="00397A99" w:rsidRPr="00397A99" w:rsidRDefault="00397A99" w:rsidP="00397A99">
      <w:pPr>
        <w:spacing w:after="240"/>
        <w:contextualSpacing/>
        <w:jc w:val="both"/>
        <w:rPr>
          <w:rFonts w:ascii="Arial" w:hAnsi="Arial" w:cs="Arial"/>
          <w:kern w:val="2"/>
          <w:lang w:eastAsia="en-US"/>
        </w:rPr>
      </w:pPr>
      <w:r w:rsidRPr="00397A99">
        <w:rPr>
          <w:rFonts w:ascii="Arial" w:hAnsi="Arial" w:cs="Arial"/>
          <w:kern w:val="2"/>
          <w:lang w:eastAsia="en-US"/>
        </w:rPr>
        <w:t>En apego a la Ley General de Contabilidad Gubernamental y a los acuerdos aprobados y publicados por el Consejo Nacional de Armonización Contable, la armonización contable creada como obligación constitucional, consolida la implementación del modelo de contabilidad gubernamental en la integración de los estados financieros.</w:t>
      </w:r>
    </w:p>
    <w:p w:rsidR="00C97BDE" w:rsidRDefault="00C97BDE">
      <w:pPr>
        <w:rPr>
          <w:rFonts w:ascii="Arial" w:hAnsi="Arial" w:cs="Arial"/>
          <w:b/>
          <w:spacing w:val="20"/>
        </w:rPr>
      </w:pPr>
      <w:r>
        <w:rPr>
          <w:rFonts w:ascii="Arial" w:hAnsi="Arial" w:cs="Arial"/>
          <w:b/>
          <w:spacing w:val="20"/>
        </w:rPr>
        <w:br w:type="page"/>
      </w:r>
    </w:p>
    <w:p w:rsidR="00461035" w:rsidRPr="006F0F5C" w:rsidRDefault="00C97BDE" w:rsidP="00461035">
      <w:pPr>
        <w:spacing w:line="264" w:lineRule="auto"/>
        <w:contextualSpacing/>
        <w:jc w:val="both"/>
        <w:rPr>
          <w:rFonts w:ascii="Arial" w:hAnsi="Arial" w:cs="Arial"/>
          <w:b/>
          <w:spacing w:val="20"/>
        </w:rPr>
      </w:pPr>
      <w:r>
        <w:rPr>
          <w:rFonts w:ascii="Arial" w:hAnsi="Arial" w:cs="Arial"/>
          <w:b/>
          <w:spacing w:val="20"/>
        </w:rPr>
        <w:lastRenderedPageBreak/>
        <w:t>2</w:t>
      </w:r>
      <w:r w:rsidR="00461035" w:rsidRPr="006F0F5C">
        <w:rPr>
          <w:rFonts w:ascii="Arial" w:hAnsi="Arial" w:cs="Arial"/>
          <w:b/>
          <w:spacing w:val="20"/>
        </w:rPr>
        <w:t>.- PANORAMA ECONÓMICO</w:t>
      </w:r>
    </w:p>
    <w:p w:rsidR="00461035" w:rsidRPr="006F0F5C" w:rsidRDefault="00461035" w:rsidP="00461035">
      <w:pPr>
        <w:spacing w:line="264" w:lineRule="auto"/>
        <w:contextualSpacing/>
        <w:jc w:val="both"/>
        <w:rPr>
          <w:rFonts w:ascii="Arial" w:hAnsi="Arial" w:cs="Arial"/>
          <w:b/>
          <w:spacing w:val="20"/>
        </w:rPr>
      </w:pPr>
    </w:p>
    <w:p w:rsidR="00461035" w:rsidRPr="00972D0A" w:rsidRDefault="00C97BDE" w:rsidP="00461035">
      <w:pPr>
        <w:spacing w:after="240"/>
        <w:jc w:val="both"/>
        <w:rPr>
          <w:rFonts w:ascii="Arial" w:hAnsi="Arial" w:cs="Arial"/>
          <w:b/>
          <w:szCs w:val="20"/>
        </w:rPr>
      </w:pPr>
      <w:r>
        <w:rPr>
          <w:rFonts w:ascii="Arial" w:hAnsi="Arial" w:cs="Arial"/>
          <w:b/>
          <w:szCs w:val="20"/>
        </w:rPr>
        <w:t>2.1</w:t>
      </w:r>
      <w:r w:rsidR="00461035">
        <w:rPr>
          <w:rFonts w:ascii="Arial" w:hAnsi="Arial" w:cs="Arial"/>
          <w:b/>
          <w:szCs w:val="20"/>
        </w:rPr>
        <w:t xml:space="preserve">.- </w:t>
      </w:r>
      <w:r w:rsidR="00461035" w:rsidRPr="00972D0A">
        <w:rPr>
          <w:rFonts w:ascii="Arial" w:hAnsi="Arial" w:cs="Arial"/>
          <w:b/>
          <w:szCs w:val="20"/>
        </w:rPr>
        <w:t>ENTORNO INTERNACIONAL</w:t>
      </w:r>
      <w:r w:rsidR="00461035" w:rsidRPr="00022946">
        <w:rPr>
          <w:rFonts w:ascii="Arial" w:hAnsi="Arial" w:cs="Arial"/>
          <w:b/>
          <w:szCs w:val="20"/>
        </w:rPr>
        <w:t xml:space="preserve"> 2015 Y P</w:t>
      </w:r>
      <w:r w:rsidR="00461035" w:rsidRPr="00972D0A">
        <w:rPr>
          <w:rFonts w:ascii="Arial" w:hAnsi="Arial" w:cs="Arial"/>
          <w:b/>
          <w:szCs w:val="20"/>
        </w:rPr>
        <w:t>ERSPECTIVAS 2016</w:t>
      </w: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entorno internacional en 2015</w:t>
      </w:r>
      <w:r w:rsidRPr="00F26BF7">
        <w:rPr>
          <w:kern w:val="2"/>
          <w:vertAlign w:val="superscript"/>
        </w:rPr>
        <w:footnoteReference w:id="1"/>
      </w:r>
      <w:r w:rsidRPr="00461035">
        <w:rPr>
          <w:rFonts w:ascii="Arial" w:hAnsi="Arial" w:cs="Arial"/>
          <w:kern w:val="2"/>
          <w:lang w:eastAsia="en-US"/>
        </w:rPr>
        <w:t xml:space="preserve"> estuvo caracterizado por varios elementos: un escenario de crecimiento global menor a lo esperado al iniciar el año, un ambiente de volatilidad propicia</w:t>
      </w:r>
      <w:r w:rsidR="00F26BF7">
        <w:rPr>
          <w:rFonts w:ascii="Arial" w:hAnsi="Arial" w:cs="Arial"/>
          <w:kern w:val="2"/>
          <w:lang w:eastAsia="en-US"/>
        </w:rPr>
        <w:t>n</w:t>
      </w:r>
      <w:r w:rsidRPr="00461035">
        <w:rPr>
          <w:rFonts w:ascii="Arial" w:hAnsi="Arial" w:cs="Arial"/>
          <w:kern w:val="2"/>
          <w:lang w:eastAsia="en-US"/>
        </w:rPr>
        <w:t>do las expectativas sobre el incremento en las tasas de interés por parte de la Reserva Federal (FED), la caída en los precios de las materias primas, principalmente petróleo, y efectos adversos de una desaceleración de economía de China.</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Para 2016, con base en el análisis de la SHCP plasmado en los Pre-Criterios Generales de Política Económica, el entorno económico internacional de este año está caracterizado por episodios de alta volatilidad en los mercados financieros, caídas pronunciadas en los precios de las materias primas, divergencia en las políticas monetarias de las economías avanzadas, incertidumbre sobre el ritmo de crecimiento de economías emergentes y posibles consecuencias económicas ante el aumento de conflictos geopolíticos.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Sin embargo, durante 2016 se espera que la economía global muestre signos de recuperación. De acuerdo con el Fondo Monetario Internacional (FMI) la economía global crecerá 3.4 por ciento anual durante 2016, por arriba del 3.1 por ciento estimado para 2015 pero por debajo del pronóstico previo de 3.6 por ciento para 2016. Se prevé que la economía estadounidense continúe con un ritmo de crecimiento moderado.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b/>
          <w:i/>
          <w:kern w:val="2"/>
          <w:lang w:eastAsia="en-US"/>
        </w:rPr>
      </w:pPr>
      <w:r w:rsidRPr="00461035">
        <w:rPr>
          <w:rFonts w:ascii="Arial" w:hAnsi="Arial" w:cs="Arial"/>
          <w:b/>
          <w:i/>
          <w:kern w:val="2"/>
          <w:lang w:eastAsia="en-US"/>
        </w:rPr>
        <w:t>Economías avanzadas</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Dentro de las economías avanzadas, en 2015 Estados Unidos continuó su expansión económica y con ella la recuperación de su mercado laboral y de la posición financiera de los hogares. En cuanto a la política monetaria, la Reserva Federal de Estados Unidos (FED) en diciembre de 2015 inició su ciclo de alza de tasas, la cual se ubicó en mínimos históricos desde diciembre de 2008.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Banco Central Europeo (BCE) y el Banco Central de Japón anunciaron modificaciones a sus estímulos monetarios durante la segunda mitad del año 2015 para intensificar el impulso a la actividad económica.</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Así, la actividad económica de la zona del euro continuó recuperándose de forma más modesta, principalmente por los bajos precios del petróleo y una política monetaria expansiva. Se espera que en 2016 la zona del euro la demanda interna impulse la recuperación económica. Por último, en el resto de las economías avanzadas, en particular Japón, se mantienen las perspectivas de crecimiento económico.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b/>
          <w:i/>
          <w:kern w:val="2"/>
          <w:lang w:eastAsia="en-US"/>
        </w:rPr>
      </w:pPr>
      <w:r w:rsidRPr="00461035">
        <w:rPr>
          <w:rFonts w:ascii="Arial" w:hAnsi="Arial" w:cs="Arial"/>
          <w:b/>
          <w:i/>
          <w:kern w:val="2"/>
          <w:lang w:eastAsia="en-US"/>
        </w:rPr>
        <w:t>Economías emergentes</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Durante 2015 las economías emergentes han sido afectadas de forma general por la reducción en los precios de las materias primas, el incremento de las tasas de interés por la FED y la situación en el ritmo de crecimiento de China. De esta forma, se han generado menores flujos de capital hacia los mercados emergentes, en un contexto de depreciación de sus monedas frente al dólar; además de presentar un ritmo de crecimiento menor al esperado al inicio del año.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En 2016, las economías emergentes exportadoras de materias primas han registrado revisiones a la baja debido, principalmente, a la caída en los precios del petróleo, que durante los primeros meses del año disminuyeron debido a la persistente sobreoferta de crudo en el mercado petrolero, y otras materias primas, cuyos precios se han mantenido en niveles bajos, debido a un exceso de oferta y a una débil demanda.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Las economías emergentes de América Latina presentaron en conjunto una contracción de -0.1 por ciento para el primer trimestre del año 2015, resultado del moderado ritmo de crecimiento de Estados Unidos y de la disminución de los precios de las materias primas. Al cierre de 2015, la mayoría de las economías de América Latina experimentaron un menor dinamismo como resultado de una débil demanda interna, menores precios de materias primas y la desaceleración en la actividad económica de China. Destaca la economía brasileña, la cual se ha deteriorado significativamente. Durante el cuarto trimestre de 2015 registró un crecimiento negativo de 5.9 por ciento a tasa anual, acumulando siete trimestres en contracción económica.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factor de los precios de las materias primas se enmarca en un entorno de menor demanda mundial y una amplia oferta de estos insumos. Específicamente el precio del petróleo, ha registrado una fuerte caída desde finales de junio de 2014, relacionada, primordialmente con la persistente sobreoferta de crudo a nivel mundial de los países miembros de la Organización de Países Exportadores de Petróleo (OPEP) y de Estados Unidos y Rusia, y del debilitamiento de la demanda dado a la menor actividad económica.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br w:type="page"/>
      </w:r>
    </w:p>
    <w:p w:rsidR="00461035" w:rsidRPr="00461035"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2</w:t>
      </w:r>
      <w:r w:rsidR="00461035">
        <w:rPr>
          <w:rFonts w:ascii="Arial" w:hAnsi="Arial" w:cs="Arial"/>
          <w:b/>
          <w:kern w:val="2"/>
          <w:lang w:eastAsia="en-US"/>
        </w:rPr>
        <w:t xml:space="preserve">.2.- </w:t>
      </w:r>
      <w:r w:rsidR="00461035" w:rsidRPr="00461035">
        <w:rPr>
          <w:rFonts w:ascii="Arial" w:hAnsi="Arial" w:cs="Arial"/>
          <w:b/>
          <w:kern w:val="2"/>
          <w:lang w:eastAsia="en-US"/>
        </w:rPr>
        <w:t>ECONOMÍA NACIONAL 2015 Y PERSPECTIVAS 2016</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Al cierre de 2015, la economía mexicana registró un crecimiento de 2.5 por ciento, según cifras reportadas por el Instituto Nacional de Estadística y Geografía (INEGI)</w:t>
      </w:r>
      <w:r w:rsidRPr="00F26BF7">
        <w:rPr>
          <w:rFonts w:ascii="Arial" w:hAnsi="Arial" w:cs="Arial"/>
          <w:kern w:val="2"/>
          <w:vertAlign w:val="superscript"/>
          <w:lang w:eastAsia="en-US"/>
        </w:rPr>
        <w:footnoteReference w:id="2"/>
      </w:r>
      <w:r w:rsidRPr="00461035">
        <w:rPr>
          <w:rFonts w:ascii="Arial" w:hAnsi="Arial" w:cs="Arial"/>
          <w:kern w:val="2"/>
          <w:lang w:eastAsia="en-US"/>
        </w:rPr>
        <w:t>. Este dato quedó dentro del último rango estimado por la Secretaría de Hacienda de entre 2.0 y 2.8 por ciento, y por encima del rango del Banco de México (Banxico) de entre 1.9 y 2.4 por ciento. Este avance fue superior al que se registró en 2014 y 2013.</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La perspectiva para 2016 en México incluye retos asociados a la alta volatilidad financiera a nivel internacional, por ello es deseable que el país solidifique su compromiso con las finanzas públicas y la implementación oportuna de las reformas estructurales a fin de lograr un mejor desempeño en el corto plazo.</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De acuerdo a la SHCP, las estimaciones de crecimiento nacional para 2016 se apoyan en la proyección de un fortalecimiento de la demanda interna, ya que se anticipaba que el consumo y la inversión se verían impulsados por una mayor generación de empleos formales, la expansión del crédito, un incremento del salario real y una mejoría paulatina de la confianza de los consumidores y las empresas; así como por los beneficios asociados a las Reformas Estructurales del Gobierno Federal.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Entre los principales factores que podrían obstaculizar el crecimiento económico de México en el corto plazo según los especialistas, están, en orden de importancia, la debilidad del mercado externo y la economía mundial; la inestabilidad financiera internacional; y la plataforma de producción petrolera. De acuerdo a los Pre-Criterios Generales de Política Económica 2016 publicados por la SHCP, se estima para 2016 un precio del petróleo de 25 dólares por barril (dpb) y una plataforma de producción de 2,123 miles de barriles diarios (mbd).</w:t>
      </w:r>
      <w:r w:rsidRPr="00461035" w:rsidDel="00875043">
        <w:rPr>
          <w:rFonts w:ascii="Arial" w:hAnsi="Arial" w:cs="Arial"/>
          <w:kern w:val="2"/>
          <w:lang w:eastAsia="en-US"/>
        </w:rPr>
        <w:t xml:space="preserve">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b/>
          <w:i/>
          <w:kern w:val="2"/>
          <w:lang w:eastAsia="en-US"/>
        </w:rPr>
      </w:pPr>
      <w:r w:rsidRPr="00461035">
        <w:rPr>
          <w:rFonts w:ascii="Arial" w:hAnsi="Arial" w:cs="Arial"/>
          <w:b/>
          <w:i/>
          <w:kern w:val="2"/>
          <w:lang w:eastAsia="en-US"/>
        </w:rPr>
        <w:t>Por tipo de actividad económica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Al analizar la producción nacional por tipo de actividad económica, en 2015 se observaron resultados mixtos. Las actividades primarias, aunque registraron un retroceso en su ritmo de crecimiento durante el último trimestre del 2015, crecieron 3.1 por ciento en todo el año, pues aún se benefician del dinamismo considerable de los últimos cuatro años. Las actividades industriales, que incluyen la industria minera, manufacturera y de la construcción, registraron un incremento de 1%, después de también registrar un retroceso en el último trimestre del  2015. En cuanto a las actividades terciarias, que abarcan al comercio, transporte y otros servicios, terminaron el año con 3.3% de crecimiento.</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 xml:space="preserve">Los datos de actividad económica de principios de 2016 muestran que la dinámica del mercado interno continúa su buen desempeño. Esto se explica, principalmente, por la evolución favorable del sector servicios. En tanto, la producción industrial se vio afectada por la desaceleración de la demanda externa y la reducción de la producción de petróleo.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Esto último se debe a que en los meses recientes se han materializado algunos de los principales riesgos a la baja previstos en 2015: los resultados económicos de Estados Unidos indican que su producción industrial registrará una menor actividad que la proyectada. En consecuencia, las expectativas para Estados Unidos han tenido modificaciones a la baja significativas, así la previsión de crecimiento del PIB pasó de 2.7 por ciento en agosto de 2015 a 2.1 por ciento en marzo de 2016. Durante el mismo periodo, el pronóstico de crecimiento para su sector industrial disminuyó de 2.7 por ciento a 0.9 por ciento.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De manera más general, la evolución de la economía mundial ha sido menos favorable que lo previsto, por lo que las estimaciones para este año se han revisado a la baja. El FMI estima un crecimiento del PIB mundial para 2016 de 3.4 por ciento, menor que el de 3.8 por ciento pronosticado en julio de 2015. En consecuencia, se anticipa que las exportaciones no petroleras de México registrarán un menor dinamismo en 2016 que lo anticipado en los CGPE2016.</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b/>
          <w:i/>
          <w:kern w:val="2"/>
          <w:lang w:eastAsia="en-US"/>
        </w:rPr>
      </w:pPr>
      <w:r w:rsidRPr="00461035">
        <w:rPr>
          <w:rFonts w:ascii="Arial" w:hAnsi="Arial" w:cs="Arial"/>
          <w:b/>
          <w:i/>
          <w:kern w:val="2"/>
          <w:lang w:eastAsia="en-US"/>
        </w:rPr>
        <w:t>Empleo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relación con el empleo, el número de afiliados al Instituto Mexicano del Seguro Social (IMSS) al cierre del 2015 se ubicó en 17 millones 884 mil 33 trabajadores, haciendo que el empleo formal alcanzara una tasa de crecimiento de 3.7 por ciento en el año. La tasa de desocupación nacional a diciembre de 2015 registró un ligero incremento de 0.20 puntos porcentuales en el año, y ahora representa 3.96 por ciento del total de la Población Económicamente Activa (PEA). A febrero de 2016, el empleo formal creció a una tasa anual de 3.8 por ciento.</w:t>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br w:type="page"/>
      </w:r>
    </w:p>
    <w:p w:rsidR="00461035" w:rsidRPr="00461035"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2</w:t>
      </w:r>
      <w:r w:rsidR="00461035">
        <w:rPr>
          <w:rFonts w:ascii="Arial" w:hAnsi="Arial" w:cs="Arial"/>
          <w:b/>
          <w:kern w:val="2"/>
          <w:lang w:eastAsia="en-US"/>
        </w:rPr>
        <w:t xml:space="preserve">.3.- </w:t>
      </w:r>
      <w:r w:rsidR="00461035" w:rsidRPr="00461035">
        <w:rPr>
          <w:rFonts w:ascii="Arial" w:hAnsi="Arial" w:cs="Arial"/>
          <w:b/>
          <w:kern w:val="2"/>
          <w:lang w:eastAsia="en-US"/>
        </w:rPr>
        <w:t>ECONOMÍA ESTATAL 2015 Y PERSPECTIVAS 2016</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Al cierre de 2015 la economía del Estado de Oaxaca mostró una recuperación</w:t>
      </w:r>
      <w:r w:rsidRPr="00F26BF7">
        <w:rPr>
          <w:kern w:val="2"/>
          <w:vertAlign w:val="superscript"/>
        </w:rPr>
        <w:footnoteReference w:id="3"/>
      </w:r>
      <w:r w:rsidRPr="00461035">
        <w:rPr>
          <w:rFonts w:ascii="Arial" w:hAnsi="Arial" w:cs="Arial"/>
          <w:kern w:val="2"/>
          <w:lang w:eastAsia="en-US"/>
        </w:rPr>
        <w:t xml:space="preserve"> después de haber ligado desde 2012 tres años con tasas de crecimiento cada vez menores. Con base en los datos del PIBE más recientes reportados por el Instituto Nacional de Estadística y Geografía (INEGI), el estado de Oaxaca registró una producción anual de poco más de 208 mil millones de pesos en 2014, Se estima, con datos del Indicador Trimestral de la Actividad Económica Estatal (ITAEE), que creció hasta 214 mil millones en 2015, por lo que se estima que el crecimiento estatal en 2015 fue de 2.69 por ciento.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type id="_x0000_t202" coordsize="21600,21600" o:spt="202" path="m,l,21600r21600,l21600,xe">
            <v:stroke joinstyle="miter"/>
            <v:path gradientshapeok="t" o:connecttype="rect"/>
          </v:shapetype>
          <v:shape id="Cuadro de texto 2" o:spid="_x0000_s1106" type="#_x0000_t202" style="position:absolute;left:0;text-align:left;margin-left:42.8pt;margin-top:219.85pt;width:379.3pt;height:34.8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" filled="f" stroked="f">
            <v:textbox style="mso-fit-shape-to-text:t">
              <w:txbxContent>
                <w:p w:rsidR="00B570C7" w:rsidRDefault="00B570C7" w:rsidP="00461035">
                  <w:pPr>
                    <w:rPr>
                      <w:rFonts w:ascii="Arial" w:hAnsi="Arial" w:cs="Arial"/>
                      <w:sz w:val="16"/>
                      <w:szCs w:val="16"/>
                    </w:rPr>
                  </w:pPr>
                  <w:r>
                    <w:rPr>
                      <w:rFonts w:ascii="Arial" w:hAnsi="Arial" w:cs="Arial"/>
                      <w:sz w:val="16"/>
                      <w:szCs w:val="16"/>
                    </w:rPr>
                    <w:t>Nota: Dato 2015 es estimado con cifras del ITAEE al tercer trimestre 2015. Cifras en millones de pesos. Valores a precios constantes 2008.</w:t>
                  </w:r>
                </w:p>
                <w:p w:rsidR="00B570C7" w:rsidRPr="00EB203C" w:rsidRDefault="00B570C7" w:rsidP="00461035">
                  <w:pPr>
                    <w:rPr>
                      <w:rFonts w:ascii="Arial" w:hAnsi="Arial" w:cs="Arial"/>
                      <w:sz w:val="16"/>
                      <w:szCs w:val="16"/>
                    </w:rPr>
                  </w:pPr>
                  <w:r w:rsidRPr="00EB203C">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940489" cy="2811438"/>
            <wp:effectExtent l="0" t="0" r="0" b="8255"/>
            <wp:docPr id="323" name="Gráfico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lastRenderedPageBreak/>
        <w:pict>
          <v:shape id="_x0000_s1099" type="#_x0000_t202" style="position:absolute;left:0;text-align:left;margin-left:74.75pt;margin-top:195.45pt;width:345pt;height:16.4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" filled="f" stroked="f">
            <v:textbox style="mso-fit-shape-to-text:t">
              <w:txbxContent>
                <w:p w:rsidR="00B570C7" w:rsidRDefault="00B570C7" w:rsidP="00461035">
                  <w:pPr>
                    <w:rPr>
                      <w:rFonts w:ascii="Arial" w:hAnsi="Arial" w:cs="Arial"/>
                      <w:sz w:val="16"/>
                      <w:szCs w:val="16"/>
                    </w:rPr>
                  </w:pPr>
                  <w:r>
                    <w:rPr>
                      <w:rFonts w:ascii="Arial" w:hAnsi="Arial" w:cs="Arial"/>
                      <w:sz w:val="16"/>
                      <w:szCs w:val="16"/>
                    </w:rPr>
                    <w:t xml:space="preserve">Nota: Dato 2015 es estimado con cifras del ITAEE al tercer trimestre 2015. </w:t>
                  </w:r>
                </w:p>
                <w:p w:rsidR="00B570C7" w:rsidRPr="00EB203C" w:rsidRDefault="00B570C7" w:rsidP="00461035">
                  <w:pPr>
                    <w:rPr>
                      <w:rFonts w:ascii="Arial" w:hAnsi="Arial" w:cs="Arial"/>
                      <w:sz w:val="16"/>
                      <w:szCs w:val="16"/>
                    </w:rPr>
                  </w:pPr>
                  <w:r w:rsidRPr="00EB203C">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595751" cy="2434442"/>
            <wp:effectExtent l="0" t="0" r="0" b="4445"/>
            <wp:docPr id="311" name="Gráfico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2015 las actividades primarias en el Estado registraron un decrecimiento de -0.70 por ciento debido principalmente a una fuerte caída en el primer trimestre del año, de acuerdo con cifras del ITAEE. Las actividades secundarias alcanzaron un crecimiento de tan solo 2.90 por ciento, a pesar de un notable repunte de 7.50 por ciento en el tercer trimestre del año. Para las actividades terciarias, el ITAEE estima que en 2015 alcanzaron un crecimiento de 2.89 por ciento.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 id="_x0000_s1100" type="#_x0000_t202" style="position:absolute;left:0;text-align:left;margin-left:86.55pt;margin-top:156.05pt;width:312.2pt;height:16.4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" filled="f" stroked="f">
            <v:textbox style="mso-fit-shape-to-text:t">
              <w:txbxContent>
                <w:p w:rsidR="00B570C7" w:rsidRDefault="00B570C7" w:rsidP="00461035">
                  <w:pPr>
                    <w:rPr>
                      <w:rFonts w:ascii="Arial" w:hAnsi="Arial" w:cs="Arial"/>
                      <w:sz w:val="16"/>
                      <w:szCs w:val="16"/>
                    </w:rPr>
                  </w:pPr>
                  <w:r>
                    <w:rPr>
                      <w:rFonts w:ascii="Arial" w:hAnsi="Arial" w:cs="Arial"/>
                      <w:sz w:val="16"/>
                      <w:szCs w:val="16"/>
                    </w:rPr>
                    <w:t xml:space="preserve">Nota: Dato 2015 es estimado con cifras del ITAEE al tercer trimestre 2015. </w:t>
                  </w:r>
                </w:p>
                <w:p w:rsidR="00B570C7" w:rsidRPr="00EB203C" w:rsidRDefault="00B570C7" w:rsidP="00461035">
                  <w:pPr>
                    <w:rPr>
                      <w:rFonts w:ascii="Arial" w:hAnsi="Arial" w:cs="Arial"/>
                      <w:sz w:val="16"/>
                      <w:szCs w:val="16"/>
                    </w:rPr>
                  </w:pPr>
                  <w:r w:rsidRPr="00EB203C">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560124" cy="2006930"/>
            <wp:effectExtent l="0" t="0" r="0" b="0"/>
            <wp:docPr id="312" name="Gráfico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lastRenderedPageBreak/>
        <w:pict>
          <v:shape id="_x0000_s1101" type="#_x0000_t202" style="position:absolute;left:0;text-align:left;margin-left:85.9pt;margin-top:158.1pt;width:318.9pt;height:16.4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" filled="f" stroked="f">
            <v:textbox style="mso-fit-shape-to-text:t">
              <w:txbxContent>
                <w:p w:rsidR="00B570C7" w:rsidRDefault="00B570C7" w:rsidP="00461035">
                  <w:pPr>
                    <w:rPr>
                      <w:rFonts w:ascii="Arial" w:hAnsi="Arial" w:cs="Arial"/>
                      <w:sz w:val="16"/>
                      <w:szCs w:val="16"/>
                    </w:rPr>
                  </w:pPr>
                  <w:r>
                    <w:rPr>
                      <w:rFonts w:ascii="Arial" w:hAnsi="Arial" w:cs="Arial"/>
                      <w:sz w:val="16"/>
                      <w:szCs w:val="16"/>
                    </w:rPr>
                    <w:t xml:space="preserve">Nota: Dato 2015 es estimado con cifras del ITAEE al tercer trimestre 2015. </w:t>
                  </w:r>
                </w:p>
                <w:p w:rsidR="00B570C7" w:rsidRPr="00EB203C" w:rsidRDefault="00B570C7" w:rsidP="00461035">
                  <w:pPr>
                    <w:rPr>
                      <w:rFonts w:ascii="Arial" w:hAnsi="Arial" w:cs="Arial"/>
                      <w:sz w:val="16"/>
                      <w:szCs w:val="16"/>
                    </w:rPr>
                  </w:pPr>
                  <w:r w:rsidRPr="00EB203C">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536374" cy="2006930"/>
            <wp:effectExtent l="0" t="0" r="0" b="0"/>
            <wp:docPr id="313"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1035" w:rsidRDefault="00461035" w:rsidP="00461035">
      <w:pPr>
        <w:spacing w:after="240"/>
        <w:contextualSpacing/>
        <w:jc w:val="center"/>
        <w:rPr>
          <w:rFonts w:ascii="Arial" w:hAnsi="Arial" w:cs="Arial"/>
          <w:kern w:val="2"/>
          <w:lang w:eastAsia="en-US"/>
        </w:rPr>
      </w:pPr>
    </w:p>
    <w:p w:rsidR="00461035" w:rsidRDefault="00461035" w:rsidP="00461035">
      <w:pPr>
        <w:spacing w:after="240"/>
        <w:contextualSpacing/>
        <w:jc w:val="center"/>
        <w:rPr>
          <w:rFonts w:ascii="Arial" w:hAnsi="Arial" w:cs="Arial"/>
          <w:kern w:val="2"/>
          <w:lang w:eastAsia="en-US"/>
        </w:rPr>
      </w:pPr>
    </w:p>
    <w:p w:rsidR="00461035" w:rsidRPr="00461035" w:rsidRDefault="00461035" w:rsidP="00461035">
      <w:pPr>
        <w:spacing w:after="240"/>
        <w:contextualSpacing/>
        <w:jc w:val="center"/>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 id="_x0000_s1102" type="#_x0000_t202" style="position:absolute;left:0;text-align:left;margin-left:86.4pt;margin-top:158.55pt;width:318.9pt;height:16.4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" filled="f" stroked="f">
            <v:textbox style="mso-fit-shape-to-text:t">
              <w:txbxContent>
                <w:p w:rsidR="00B570C7" w:rsidRDefault="00B570C7" w:rsidP="00461035">
                  <w:pPr>
                    <w:rPr>
                      <w:rFonts w:ascii="Arial" w:hAnsi="Arial" w:cs="Arial"/>
                      <w:sz w:val="16"/>
                      <w:szCs w:val="16"/>
                    </w:rPr>
                  </w:pPr>
                  <w:r>
                    <w:rPr>
                      <w:rFonts w:ascii="Arial" w:hAnsi="Arial" w:cs="Arial"/>
                      <w:sz w:val="16"/>
                      <w:szCs w:val="16"/>
                    </w:rPr>
                    <w:t xml:space="preserve">Nota: Dato 2015 es estimado con cifras del ITAEE al tercer trimestre 2015. </w:t>
                  </w:r>
                </w:p>
                <w:p w:rsidR="00B570C7" w:rsidRPr="00EB203C" w:rsidRDefault="00B570C7" w:rsidP="00461035">
                  <w:pPr>
                    <w:rPr>
                      <w:rFonts w:ascii="Arial" w:hAnsi="Arial" w:cs="Arial"/>
                      <w:sz w:val="16"/>
                      <w:szCs w:val="16"/>
                    </w:rPr>
                  </w:pPr>
                  <w:r w:rsidRPr="00EB203C">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417620" cy="2066307"/>
            <wp:effectExtent l="0" t="0" r="2540" b="0"/>
            <wp:docPr id="314" name="Gráfico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b/>
          <w:i/>
          <w:kern w:val="2"/>
          <w:lang w:eastAsia="en-US"/>
        </w:rPr>
      </w:pPr>
      <w:r w:rsidRPr="00461035">
        <w:rPr>
          <w:rFonts w:ascii="Arial" w:hAnsi="Arial" w:cs="Arial"/>
          <w:b/>
          <w:i/>
          <w:kern w:val="2"/>
          <w:lang w:eastAsia="en-US"/>
        </w:rPr>
        <w:t>Mercado laboral estatal</w:t>
      </w:r>
    </w:p>
    <w:p w:rsidR="00461035" w:rsidRPr="00461035" w:rsidRDefault="00461035" w:rsidP="00461035">
      <w:pPr>
        <w:spacing w:after="240"/>
        <w:contextualSpacing/>
        <w:jc w:val="both"/>
        <w:rPr>
          <w:rFonts w:ascii="Arial" w:hAnsi="Arial" w:cs="Arial"/>
          <w:b/>
          <w:i/>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Con datos de la Encuesta Nacional de Ocupación y Empleo (ENOE), al cuarto trimestre de 2015 la Población Económicamente Activa (PEA)</w:t>
      </w:r>
      <w:r w:rsidRPr="00F26BF7">
        <w:rPr>
          <w:kern w:val="2"/>
          <w:vertAlign w:val="superscript"/>
          <w:lang w:eastAsia="en-US"/>
        </w:rPr>
        <w:footnoteReference w:id="4"/>
      </w:r>
      <w:r w:rsidRPr="00461035">
        <w:rPr>
          <w:rFonts w:ascii="Arial" w:hAnsi="Arial" w:cs="Arial"/>
          <w:kern w:val="2"/>
          <w:lang w:eastAsia="en-US"/>
        </w:rPr>
        <w:t xml:space="preserve"> en el estado de Oaxaca es de un millón 711 mil 751 personas, lo que representa el 42.5 por ciento de la población total del Estado. De este conjunto, un millón 665 mil 531 personas se encuentran ocupadas. </w:t>
      </w: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El segmento de la población ocupada se distribuye por cuatro tipos de regímenes laborales; bajo la modalidad de asalariados se ubican, al cuarto trimestre de 2015, 769 mil 455 personas que representan el 46 por ciento de la población ocupada; el número de trabajadores por cuenta propia, que alcanza un total de 624 mil 119 personas, o 37.4 por ciento de la población ocupada; la población ocupada en la modalidad sin pagos y otros, que representa el 12 por ciento de la población ocupada con 202 mil 582 personas ocupadas; y la modalidad de empleadores alcanza el 4 por ciento, con 69 mil 375 personas.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 id="_x0000_s1097" type="#_x0000_t202" style="position:absolute;left:0;text-align:left;margin-left:67.35pt;margin-top:208.3pt;width:210.2pt;height:16.4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" filled="f" stroked="f">
            <v:textbox style="mso-fit-shape-to-text:t">
              <w:txbxContent>
                <w:p w:rsidR="00B570C7" w:rsidRPr="00EB203C" w:rsidRDefault="00B570C7" w:rsidP="00461035">
                  <w:pPr>
                    <w:rPr>
                      <w:rFonts w:ascii="Arial" w:hAnsi="Arial" w:cs="Arial"/>
                      <w:sz w:val="16"/>
                      <w:szCs w:val="16"/>
                    </w:rPr>
                  </w:pPr>
                  <w:r w:rsidRPr="00EB203C">
                    <w:rPr>
                      <w:rFonts w:ascii="Arial" w:hAnsi="Arial" w:cs="Arial"/>
                      <w:sz w:val="16"/>
                      <w:szCs w:val="16"/>
                    </w:rPr>
                    <w:t xml:space="preserve">Fuente: </w:t>
                  </w:r>
                  <w:r>
                    <w:rPr>
                      <w:rFonts w:ascii="Arial" w:hAnsi="Arial" w:cs="Arial"/>
                      <w:sz w:val="16"/>
                      <w:szCs w:val="16"/>
                    </w:rPr>
                    <w:t xml:space="preserve">ENOE, </w:t>
                  </w:r>
                  <w:r w:rsidRPr="00EB203C">
                    <w:rPr>
                      <w:rFonts w:ascii="Arial" w:hAnsi="Arial" w:cs="Arial"/>
                      <w:sz w:val="16"/>
                      <w:szCs w:val="16"/>
                    </w:rPr>
                    <w:t>INEGI.</w:t>
                  </w:r>
                </w:p>
              </w:txbxContent>
            </v:textbox>
          </v:shape>
        </w:pict>
      </w:r>
      <w:r w:rsidR="00461035" w:rsidRPr="00461035">
        <w:rPr>
          <w:rFonts w:ascii="Arial" w:hAnsi="Arial" w:cs="Arial"/>
          <w:noProof/>
          <w:kern w:val="2"/>
          <w:lang w:val="es-MX" w:eastAsia="es-MX"/>
        </w:rPr>
        <w:drawing>
          <wp:inline distT="0" distB="0" distL="0" distR="0">
            <wp:extent cx="4572000" cy="2647950"/>
            <wp:effectExtent l="0" t="0" r="0" b="0"/>
            <wp:docPr id="316"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Solamente el uno por ciento de la población total, es decir 46 mil 220 personas se encuentra en situación de desocupación.</w:t>
      </w:r>
      <w:r w:rsidRPr="00F26BF7">
        <w:rPr>
          <w:kern w:val="2"/>
          <w:vertAlign w:val="superscript"/>
          <w:lang w:eastAsia="en-US"/>
        </w:rPr>
        <w:footnoteReference w:id="5"/>
      </w:r>
      <w:r w:rsidRPr="00461035">
        <w:rPr>
          <w:rFonts w:ascii="Arial" w:hAnsi="Arial" w:cs="Arial"/>
          <w:kern w:val="2"/>
          <w:lang w:eastAsia="en-US"/>
        </w:rPr>
        <w:t xml:space="preserve"> De esta forma, la tasa de desocupación estatal, entendida como el porcentaje de la PEA que se encuentra sin trabajar, pero que está buscando trabajo, es de 2.7 por ciento al cuarto trimestre de 2015, cifra inferior a la tasa nacional de 4.2 por ciento. Así, el estado de Oaxaca se ubica en la tercera posición entre las entidades con menor tasa de desocupación en el país.</w:t>
      </w: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both"/>
        <w:rPr>
          <w:rFonts w:ascii="Arial" w:hAnsi="Arial" w:cs="Arial"/>
          <w:kern w:val="2"/>
          <w:lang w:eastAsia="en-US"/>
        </w:rPr>
      </w:pPr>
      <w:r w:rsidRPr="000306A2">
        <w:rPr>
          <w:rFonts w:ascii="Arial" w:hAnsi="Arial" w:cs="Arial"/>
          <w:kern w:val="2"/>
          <w:lang w:eastAsia="en-US"/>
        </w:rPr>
        <w:pict>
          <v:shape id="_x0000_s1094" type="#_x0000_t202" style="position:absolute;left:0;text-align:left;margin-left:.45pt;margin-top:5.45pt;width:462.75pt;height:19.8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" filled="f" stroked="f">
            <v:textbox style="mso-next-textbox:#_x0000_s1094;mso-fit-shape-to-text:t">
              <w:txbxContent>
                <w:p w:rsidR="00B570C7" w:rsidRPr="00461035" w:rsidRDefault="00B570C7" w:rsidP="00461035">
                  <w:pPr>
                    <w:jc w:val="center"/>
                    <w:rPr>
                      <w:rFonts w:ascii="Arial Narrow" w:hAnsi="Arial Narrow"/>
                      <w:b/>
                      <w:bCs/>
                    </w:rPr>
                  </w:pPr>
                  <w:r w:rsidRPr="00FA74BC">
                    <w:rPr>
                      <w:rFonts w:ascii="Arial Narrow" w:hAnsi="Arial Narrow"/>
                      <w:b/>
                      <w:bCs/>
                    </w:rPr>
                    <w:t>ESTADO DE OAXACA: CIFRAS DE EMPLEO (2015)</w:t>
                  </w:r>
                </w:p>
              </w:txbxContent>
            </v:textbox>
          </v:shape>
        </w:pict>
      </w: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 id="_x0000_s1098" type="#_x0000_t202" style="position:absolute;left:0;text-align:left;margin-left:58.35pt;margin-top:169.95pt;width:338.5pt;height:16.4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" filled="f" stroked="f">
            <v:textbox style="mso-fit-shape-to-text:t">
              <w:txbxContent>
                <w:p w:rsidR="00B570C7" w:rsidRPr="003B0359" w:rsidRDefault="00B570C7" w:rsidP="00461035">
                  <w:pPr>
                    <w:rPr>
                      <w:rFonts w:ascii="Arial" w:hAnsi="Arial" w:cs="Arial"/>
                      <w:sz w:val="16"/>
                      <w:szCs w:val="16"/>
                    </w:rPr>
                  </w:pPr>
                  <w:r w:rsidRPr="003B0359">
                    <w:rPr>
                      <w:rFonts w:ascii="Arial" w:hAnsi="Arial" w:cs="Arial"/>
                      <w:sz w:val="16"/>
                      <w:szCs w:val="16"/>
                    </w:rPr>
                    <w:t>Fuente: ENOE, INEGI</w:t>
                  </w:r>
                  <w:r>
                    <w:rPr>
                      <w:rFonts w:ascii="Arial" w:hAnsi="Arial" w:cs="Arial"/>
                      <w:sz w:val="16"/>
                      <w:szCs w:val="16"/>
                    </w:rPr>
                    <w:t xml:space="preserve"> y Secretaría del Trabajo y Previsión Social</w:t>
                  </w:r>
                  <w:r w:rsidRPr="003B0359">
                    <w:rPr>
                      <w:rFonts w:ascii="Arial" w:hAnsi="Arial" w:cs="Arial"/>
                      <w:sz w:val="16"/>
                      <w:szCs w:val="16"/>
                    </w:rPr>
                    <w:t>.</w:t>
                  </w:r>
                </w:p>
              </w:txbxContent>
            </v:textbox>
          </v:shape>
        </w:pict>
      </w:r>
      <w:r w:rsidR="00461035" w:rsidRPr="00461035">
        <w:rPr>
          <w:rFonts w:ascii="Arial" w:hAnsi="Arial" w:cs="Arial"/>
          <w:noProof/>
          <w:kern w:val="2"/>
          <w:lang w:val="es-MX" w:eastAsia="es-MX"/>
        </w:rPr>
        <w:drawing>
          <wp:inline distT="0" distB="0" distL="0" distR="0">
            <wp:extent cx="4052081" cy="2066925"/>
            <wp:effectExtent l="0" t="0" r="5715" b="0"/>
            <wp:docPr id="31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029" cy="2070979"/>
                    </a:xfrm>
                    <a:prstGeom prst="rect">
                      <a:avLst/>
                    </a:prstGeom>
                    <a:noFill/>
                    <a:ln>
                      <a:noFill/>
                    </a:ln>
                  </pic:spPr>
                </pic:pic>
              </a:graphicData>
            </a:graphic>
          </wp:inline>
        </w:drawing>
      </w:r>
    </w:p>
    <w:p w:rsidR="00461035" w:rsidRDefault="00461035" w:rsidP="00461035">
      <w:pPr>
        <w:spacing w:after="240"/>
        <w:contextualSpacing/>
        <w:jc w:val="center"/>
        <w:rPr>
          <w:rFonts w:ascii="Arial" w:hAnsi="Arial" w:cs="Arial"/>
          <w:kern w:val="2"/>
          <w:lang w:eastAsia="en-US"/>
        </w:rPr>
      </w:pPr>
    </w:p>
    <w:p w:rsidR="00461035" w:rsidRDefault="00461035" w:rsidP="00461035">
      <w:pPr>
        <w:spacing w:after="240"/>
        <w:contextualSpacing/>
        <w:jc w:val="center"/>
        <w:rPr>
          <w:rFonts w:ascii="Arial" w:hAnsi="Arial" w:cs="Arial"/>
          <w:kern w:val="2"/>
          <w:lang w:eastAsia="en-US"/>
        </w:rPr>
      </w:pPr>
    </w:p>
    <w:p w:rsidR="00461035" w:rsidRDefault="00461035" w:rsidP="00461035">
      <w:pPr>
        <w:spacing w:after="240"/>
        <w:contextualSpacing/>
        <w:jc w:val="center"/>
        <w:rPr>
          <w:rFonts w:ascii="Arial" w:hAnsi="Arial" w:cs="Arial"/>
          <w:kern w:val="2"/>
          <w:lang w:eastAsia="en-US"/>
        </w:rPr>
      </w:pPr>
    </w:p>
    <w:p w:rsidR="00461035" w:rsidRPr="00461035" w:rsidRDefault="00461035" w:rsidP="00461035">
      <w:pPr>
        <w:spacing w:after="240"/>
        <w:contextualSpacing/>
        <w:jc w:val="center"/>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 id="_x0000_s1095" type="#_x0000_t202" style="position:absolute;left:0;text-align:left;margin-left:61.2pt;margin-top:167.6pt;width:202.7pt;height:16.4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" filled="f" stroked="f">
            <v:textbox style="mso-fit-shape-to-text:t">
              <w:txbxContent>
                <w:p w:rsidR="00B570C7" w:rsidRPr="003B0359" w:rsidRDefault="00B570C7" w:rsidP="00461035">
                  <w:pPr>
                    <w:rPr>
                      <w:rFonts w:ascii="Arial" w:hAnsi="Arial" w:cs="Arial"/>
                      <w:sz w:val="16"/>
                      <w:szCs w:val="16"/>
                    </w:rPr>
                  </w:pPr>
                  <w:r w:rsidRPr="003B0359">
                    <w:rPr>
                      <w:rFonts w:ascii="Arial" w:hAnsi="Arial" w:cs="Arial"/>
                      <w:sz w:val="16"/>
                      <w:szCs w:val="16"/>
                    </w:rPr>
                    <w:t>Fuente: ENOE, INEGI.</w:t>
                  </w:r>
                </w:p>
              </w:txbxContent>
            </v:textbox>
          </v:shape>
        </w:pict>
      </w:r>
      <w:r w:rsidR="00461035" w:rsidRPr="00461035">
        <w:rPr>
          <w:rFonts w:ascii="Arial" w:hAnsi="Arial" w:cs="Arial"/>
          <w:noProof/>
          <w:kern w:val="2"/>
          <w:lang w:val="es-MX" w:eastAsia="es-MX"/>
        </w:rPr>
        <w:drawing>
          <wp:inline distT="0" distB="0" distL="0" distR="0">
            <wp:extent cx="4572000" cy="2074545"/>
            <wp:effectExtent l="0" t="0" r="0" b="1905"/>
            <wp:docPr id="318"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 xml:space="preserve">Son las actividades terciarias las que emplean a más personas en la entidad, ocupando a 798 mil 438 personas. En segundo lugar, las actividades primarias emplean 548 mil 476 personas, mientras que las actividades secundarias emplean a 313 mil 498 personas.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Al analizar el empleo por rama de actividad económica, tres actividades emplean la mayor parte del segmento de la población ocupada: las actividades agropecuarias emplean el mayor número de personas, esto es un 33 por ciento, le sigue otros servicios con 26 por ciento de la población ocupada, y las actividades del  comercio con 15 por ciento de la población ocupada. </w:t>
      </w:r>
    </w:p>
    <w:p w:rsidR="00461035" w:rsidRDefault="00461035" w:rsidP="00461035">
      <w:pPr>
        <w:spacing w:after="240"/>
        <w:contextualSpacing/>
        <w:jc w:val="both"/>
        <w:rPr>
          <w:rFonts w:ascii="Arial" w:hAnsi="Arial" w:cs="Arial"/>
          <w:kern w:val="2"/>
          <w:lang w:eastAsia="en-US"/>
        </w:rPr>
      </w:pPr>
    </w:p>
    <w:p w:rsidR="008C080C" w:rsidRDefault="008C080C" w:rsidP="00461035">
      <w:pPr>
        <w:spacing w:after="240"/>
        <w:contextualSpacing/>
        <w:jc w:val="both"/>
        <w:rPr>
          <w:rFonts w:ascii="Arial" w:hAnsi="Arial" w:cs="Arial"/>
          <w:kern w:val="2"/>
          <w:lang w:eastAsia="en-US"/>
        </w:rPr>
      </w:pPr>
    </w:p>
    <w:p w:rsidR="008C080C" w:rsidRPr="00461035" w:rsidRDefault="008C080C"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center"/>
        <w:rPr>
          <w:rFonts w:ascii="Arial" w:hAnsi="Arial" w:cs="Arial"/>
          <w:kern w:val="2"/>
          <w:lang w:eastAsia="en-US"/>
        </w:rPr>
      </w:pPr>
      <w:r w:rsidRPr="000306A2">
        <w:rPr>
          <w:rFonts w:ascii="Arial" w:hAnsi="Arial" w:cs="Arial"/>
          <w:kern w:val="2"/>
          <w:lang w:eastAsia="en-US"/>
        </w:rPr>
        <w:pict>
          <v:shape id="_x0000_s1103" type="#_x0000_t202" style="position:absolute;left:0;text-align:left;margin-left:23.4pt;margin-top:215.2pt;width:202.7pt;height:16.4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" filled="f" stroked="f">
            <v:textbox style="mso-fit-shape-to-text:t">
              <w:txbxContent>
                <w:p w:rsidR="00B570C7" w:rsidRPr="003B0359" w:rsidRDefault="00B570C7" w:rsidP="00461035">
                  <w:pPr>
                    <w:rPr>
                      <w:rFonts w:ascii="Arial" w:hAnsi="Arial" w:cs="Arial"/>
                      <w:sz w:val="16"/>
                      <w:szCs w:val="16"/>
                    </w:rPr>
                  </w:pPr>
                  <w:r w:rsidRPr="003B0359">
                    <w:rPr>
                      <w:rFonts w:ascii="Arial" w:hAnsi="Arial" w:cs="Arial"/>
                      <w:sz w:val="16"/>
                      <w:szCs w:val="16"/>
                    </w:rPr>
                    <w:t>Fuente: ENOE, INEGI.</w:t>
                  </w:r>
                </w:p>
              </w:txbxContent>
            </v:textbox>
          </v:shape>
        </w:pict>
      </w:r>
      <w:r w:rsidR="00461035" w:rsidRPr="00461035">
        <w:rPr>
          <w:rFonts w:ascii="Arial" w:hAnsi="Arial" w:cs="Arial"/>
          <w:noProof/>
          <w:kern w:val="2"/>
          <w:lang w:val="es-MX" w:eastAsia="es-MX"/>
        </w:rPr>
        <w:drawing>
          <wp:inline distT="0" distB="0" distL="0" distR="0">
            <wp:extent cx="5314950" cy="2971800"/>
            <wp:effectExtent l="0" t="0" r="0" b="0"/>
            <wp:docPr id="64"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8C080C" w:rsidRDefault="008C080C">
      <w:pPr>
        <w:rPr>
          <w:rFonts w:ascii="Arial" w:hAnsi="Arial" w:cs="Arial"/>
          <w:kern w:val="2"/>
          <w:lang w:eastAsia="en-US"/>
        </w:rPr>
      </w:pPr>
      <w:r>
        <w:rPr>
          <w:rFonts w:ascii="Arial" w:hAnsi="Arial" w:cs="Arial"/>
          <w:kern w:val="2"/>
          <w:lang w:eastAsia="en-US"/>
        </w:rPr>
        <w:br w:type="page"/>
      </w: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El promedio en 2015 de los registros mensuales de trabajadores afiliados al IMSS en el estado de Oaxaca fue de 192,440 trabajadores, lo que representa, al compararlo con el promedio de 185 mil 592 trabajadores asegurados en 2014, un crecimiento interanual de 3.7 por ciento. La tasa media de crecimiento (TMC) de los últimos 10 años del número de trabajadores afiliados al IMSS en el estado de Oaxaca es de 2.96 por ciento. Al mes de marzo 2016 los Trabajadores permanentes y eventuales asegurados en el Instituto Mexicano del Seguro Social (IMSS) son 192 mil 374 trabajadores.</w:t>
      </w:r>
    </w:p>
    <w:p w:rsidR="008C080C" w:rsidRDefault="008C080C" w:rsidP="00461035">
      <w:pPr>
        <w:spacing w:after="240"/>
        <w:contextualSpacing/>
        <w:jc w:val="both"/>
        <w:rPr>
          <w:rFonts w:ascii="Arial" w:hAnsi="Arial" w:cs="Arial"/>
          <w:kern w:val="2"/>
          <w:lang w:eastAsia="en-US"/>
        </w:rPr>
      </w:pPr>
    </w:p>
    <w:p w:rsidR="008C080C" w:rsidRPr="00461035" w:rsidRDefault="008C080C" w:rsidP="00461035">
      <w:pPr>
        <w:spacing w:after="240"/>
        <w:contextualSpacing/>
        <w:jc w:val="both"/>
        <w:rPr>
          <w:rFonts w:ascii="Arial" w:hAnsi="Arial" w:cs="Arial"/>
          <w:kern w:val="2"/>
          <w:lang w:eastAsia="en-US"/>
        </w:rPr>
      </w:pPr>
    </w:p>
    <w:p w:rsidR="00461035" w:rsidRPr="00461035" w:rsidRDefault="000306A2" w:rsidP="008C080C">
      <w:pPr>
        <w:spacing w:after="240"/>
        <w:contextualSpacing/>
        <w:jc w:val="center"/>
        <w:rPr>
          <w:rFonts w:ascii="Arial" w:hAnsi="Arial" w:cs="Arial"/>
          <w:kern w:val="2"/>
          <w:lang w:eastAsia="en-US"/>
        </w:rPr>
      </w:pPr>
      <w:r w:rsidRPr="000306A2">
        <w:rPr>
          <w:rFonts w:ascii="Arial" w:hAnsi="Arial" w:cs="Arial"/>
          <w:kern w:val="2"/>
          <w:lang w:eastAsia="en-US"/>
        </w:rPr>
        <w:pict>
          <v:shape id="35 Cuadro de texto" o:spid="_x0000_s1093" type="#_x0000_t202" style="position:absolute;left:0;text-align:left;margin-left:109pt;margin-top:51.05pt;width:101.9pt;height:30.8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" filled="f" stroked="f" strokeweight=".5pt">
            <v:path arrowok="t"/>
            <v:textbox>
              <w:txbxContent>
                <w:p w:rsidR="00B570C7" w:rsidRPr="00BD3984" w:rsidRDefault="00B570C7" w:rsidP="00461035">
                  <w:pPr>
                    <w:rPr>
                      <w:rFonts w:ascii="Calibri" w:hAnsi="Calibri"/>
                      <w:sz w:val="16"/>
                    </w:rPr>
                  </w:pPr>
                  <w:r w:rsidRPr="00BD3984">
                    <w:rPr>
                      <w:rFonts w:ascii="Calibri" w:hAnsi="Calibri"/>
                      <w:bCs/>
                      <w:sz w:val="16"/>
                    </w:rPr>
                    <w:t>TMC Oaxaca = 2.78%</w:t>
                  </w:r>
                </w:p>
                <w:p w:rsidR="00B570C7" w:rsidRPr="00BD3984" w:rsidRDefault="00B570C7" w:rsidP="00461035">
                  <w:pPr>
                    <w:rPr>
                      <w:rFonts w:ascii="Calibri" w:hAnsi="Calibri"/>
                      <w:sz w:val="16"/>
                    </w:rPr>
                  </w:pPr>
                  <w:r w:rsidRPr="00BD3984">
                    <w:rPr>
                      <w:rFonts w:ascii="Calibri" w:hAnsi="Calibri"/>
                      <w:bCs/>
                      <w:sz w:val="16"/>
                    </w:rPr>
                    <w:t>TMC Nacional = 3.11%</w:t>
                  </w:r>
                </w:p>
              </w:txbxContent>
            </v:textbox>
          </v:shape>
        </w:pict>
      </w:r>
      <w:r w:rsidR="00461035" w:rsidRPr="00461035">
        <w:rPr>
          <w:rFonts w:ascii="Arial" w:hAnsi="Arial" w:cs="Arial"/>
          <w:noProof/>
          <w:kern w:val="2"/>
          <w:lang w:val="es-MX" w:eastAsia="es-MX"/>
        </w:rPr>
        <w:drawing>
          <wp:inline distT="0" distB="0" distL="0" distR="0">
            <wp:extent cx="4572000" cy="2743200"/>
            <wp:effectExtent l="0" t="0" r="0" b="0"/>
            <wp:docPr id="65"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1035" w:rsidRPr="00461035" w:rsidRDefault="000306A2" w:rsidP="008C080C">
      <w:pPr>
        <w:spacing w:after="240"/>
        <w:contextualSpacing/>
        <w:jc w:val="center"/>
        <w:rPr>
          <w:rFonts w:ascii="Arial" w:hAnsi="Arial" w:cs="Arial"/>
          <w:kern w:val="2"/>
          <w:lang w:eastAsia="en-US"/>
        </w:rPr>
      </w:pPr>
      <w:r w:rsidRPr="000306A2">
        <w:rPr>
          <w:rFonts w:ascii="Arial" w:hAnsi="Arial" w:cs="Arial"/>
          <w:kern w:val="2"/>
          <w:lang w:eastAsia="en-US"/>
        </w:rPr>
        <w:pict>
          <v:shape id="_x0000_s1096" type="#_x0000_t202" style="position:absolute;left:0;text-align:left;margin-left:57.55pt;margin-top:213.15pt;width:210.2pt;height:16.4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" filled="f" stroked="f">
            <v:textbox style="mso-fit-shape-to-text:t">
              <w:txbxContent>
                <w:p w:rsidR="00B570C7" w:rsidRPr="00972D0A" w:rsidRDefault="00B570C7" w:rsidP="00461035">
                  <w:pPr>
                    <w:rPr>
                      <w:rFonts w:ascii="Arial" w:hAnsi="Arial" w:cs="Arial"/>
                      <w:sz w:val="16"/>
                      <w:szCs w:val="16"/>
                    </w:rPr>
                  </w:pPr>
                  <w:r>
                    <w:rPr>
                      <w:rFonts w:ascii="Arial" w:hAnsi="Arial" w:cs="Arial"/>
                      <w:sz w:val="16"/>
                      <w:szCs w:val="16"/>
                    </w:rPr>
                    <w:t xml:space="preserve">* </w:t>
                  </w:r>
                  <w:r w:rsidRPr="00972D0A">
                    <w:rPr>
                      <w:rFonts w:ascii="Arial" w:hAnsi="Arial" w:cs="Arial"/>
                      <w:sz w:val="16"/>
                      <w:szCs w:val="16"/>
                    </w:rPr>
                    <w:t xml:space="preserve">Cifras a marzo 2016. </w:t>
                  </w:r>
                </w:p>
                <w:p w:rsidR="00B570C7" w:rsidRPr="00972D0A" w:rsidRDefault="00B570C7" w:rsidP="00461035">
                  <w:pPr>
                    <w:rPr>
                      <w:rFonts w:ascii="Arial" w:hAnsi="Arial" w:cs="Arial"/>
                      <w:sz w:val="16"/>
                      <w:szCs w:val="16"/>
                    </w:rPr>
                  </w:pPr>
                  <w:r w:rsidRPr="00972D0A">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572000" cy="2573079"/>
            <wp:effectExtent l="0" t="0" r="0" b="0"/>
            <wp:docPr id="66"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8C080C" w:rsidRDefault="00461035" w:rsidP="00461035">
      <w:pPr>
        <w:spacing w:after="240"/>
        <w:contextualSpacing/>
        <w:jc w:val="both"/>
        <w:rPr>
          <w:rFonts w:ascii="Arial" w:hAnsi="Arial" w:cs="Arial"/>
          <w:b/>
          <w:i/>
          <w:kern w:val="2"/>
          <w:lang w:eastAsia="en-US"/>
        </w:rPr>
      </w:pPr>
      <w:r w:rsidRPr="008C080C">
        <w:rPr>
          <w:rFonts w:ascii="Arial" w:hAnsi="Arial" w:cs="Arial"/>
          <w:b/>
          <w:i/>
          <w:kern w:val="2"/>
          <w:lang w:eastAsia="en-US"/>
        </w:rPr>
        <w:lastRenderedPageBreak/>
        <w:t>Inversión extranjera</w:t>
      </w:r>
    </w:p>
    <w:p w:rsidR="008C080C" w:rsidRDefault="008C080C"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La inversión extranjera representa un importante flujo de recursos para el Estado. A diciembre de 2015, bajo la nueva metodología de registro de la inversión de la Secretaría de Economía que reconoce los flujos de inversión de acuerdo en la entidad donde operan y no según su domicilio fiscal, el estado de Oaxaca registró un total de inversión extranjera directa de 181 millones de dólares. </w:t>
      </w:r>
    </w:p>
    <w:p w:rsidR="008C080C" w:rsidRPr="00461035" w:rsidRDefault="008C080C"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De este monto, 83.6 millones de dólares corresponden a nuevas inversiones, es decir, al establecimiento de plantas de manufactura, oficinas y otras estructuras físicas relacionadas con una compañía; 109.8 millones de dólares corresponden a reinversión de utilidades. Se registra también en 2015 un saldo negativo de 12.5 millones de dólares como cuentas entre compañías (préstamos de la matriz residente en el exterior a su filial en Oaxaca). </w:t>
      </w:r>
    </w:p>
    <w:p w:rsidR="008C080C" w:rsidRPr="00461035" w:rsidRDefault="008C080C"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Visto por sector de destino, la inversión extranjera ha beneficiado al sector Generación, transmisión y distribución de energía eléctrica, suministro de agua y de gas por ductos al consumidor final, pero principalmente al sector construcción asociado la generación de energía.</w:t>
      </w: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8C080C">
      <w:pPr>
        <w:spacing w:after="240"/>
        <w:contextualSpacing/>
        <w:jc w:val="center"/>
        <w:rPr>
          <w:rFonts w:ascii="Arial" w:hAnsi="Arial" w:cs="Arial"/>
          <w:kern w:val="2"/>
          <w:lang w:eastAsia="en-US"/>
        </w:rPr>
      </w:pPr>
      <w:r w:rsidRPr="000306A2">
        <w:rPr>
          <w:rFonts w:ascii="Arial" w:hAnsi="Arial" w:cs="Arial"/>
          <w:kern w:val="2"/>
          <w:lang w:eastAsia="en-US"/>
        </w:rPr>
        <w:pict>
          <v:shape id="_x0000_s1104" type="#_x0000_t202" style="position:absolute;left:0;text-align:left;margin-left:54.55pt;margin-top:222.95pt;width:210.2pt;height:25.6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" filled="f" stroked="f">
            <v:textbox style="mso-fit-shape-to-text:t">
              <w:txbxContent>
                <w:p w:rsidR="00B570C7" w:rsidRPr="003B0359" w:rsidRDefault="00B570C7" w:rsidP="00461035">
                  <w:pPr>
                    <w:rPr>
                      <w:rFonts w:ascii="Arial" w:hAnsi="Arial" w:cs="Arial"/>
                      <w:sz w:val="16"/>
                      <w:szCs w:val="16"/>
                    </w:rPr>
                  </w:pPr>
                  <w:r w:rsidRPr="003B0359">
                    <w:rPr>
                      <w:rFonts w:ascii="Arial" w:hAnsi="Arial" w:cs="Arial"/>
                      <w:sz w:val="16"/>
                      <w:szCs w:val="16"/>
                    </w:rPr>
                    <w:t>*Cifras en millones de dólares</w:t>
                  </w:r>
                </w:p>
                <w:p w:rsidR="00B570C7" w:rsidRPr="003B0359" w:rsidRDefault="00B570C7" w:rsidP="00461035">
                  <w:pPr>
                    <w:rPr>
                      <w:rFonts w:ascii="Arial" w:hAnsi="Arial" w:cs="Arial"/>
                      <w:sz w:val="16"/>
                      <w:szCs w:val="16"/>
                    </w:rPr>
                  </w:pPr>
                  <w:r w:rsidRPr="003B0359">
                    <w:rPr>
                      <w:rFonts w:ascii="Arial" w:hAnsi="Arial" w:cs="Arial"/>
                      <w:sz w:val="16"/>
                      <w:szCs w:val="16"/>
                    </w:rPr>
                    <w:t>Fuente: Secretaría de Economía e INEGI.</w:t>
                  </w:r>
                </w:p>
              </w:txbxContent>
            </v:textbox>
          </v:shape>
        </w:pict>
      </w:r>
      <w:r w:rsidR="00461035" w:rsidRPr="00461035">
        <w:rPr>
          <w:rFonts w:ascii="Arial" w:hAnsi="Arial" w:cs="Arial"/>
          <w:noProof/>
          <w:kern w:val="2"/>
          <w:lang w:val="es-MX" w:eastAsia="es-MX"/>
        </w:rPr>
        <w:drawing>
          <wp:inline distT="0" distB="0" distL="0" distR="0">
            <wp:extent cx="4535981" cy="2743200"/>
            <wp:effectExtent l="0" t="0" r="0" b="0"/>
            <wp:docPr id="67"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8C080C" w:rsidRDefault="008C080C">
      <w:pPr>
        <w:rPr>
          <w:rFonts w:ascii="Arial" w:hAnsi="Arial" w:cs="Arial"/>
          <w:kern w:val="2"/>
          <w:lang w:eastAsia="en-US"/>
        </w:rPr>
      </w:pPr>
      <w:r>
        <w:rPr>
          <w:rFonts w:ascii="Arial" w:hAnsi="Arial" w:cs="Arial"/>
          <w:kern w:val="2"/>
          <w:lang w:eastAsia="en-US"/>
        </w:rPr>
        <w:br w:type="page"/>
      </w:r>
    </w:p>
    <w:p w:rsidR="00461035" w:rsidRPr="008C080C" w:rsidRDefault="00461035" w:rsidP="00461035">
      <w:pPr>
        <w:spacing w:after="240"/>
        <w:contextualSpacing/>
        <w:jc w:val="both"/>
        <w:rPr>
          <w:rFonts w:ascii="Arial" w:hAnsi="Arial" w:cs="Arial"/>
          <w:b/>
          <w:i/>
          <w:kern w:val="2"/>
          <w:lang w:eastAsia="en-US"/>
        </w:rPr>
      </w:pPr>
      <w:r w:rsidRPr="008C080C">
        <w:rPr>
          <w:rFonts w:ascii="Arial" w:hAnsi="Arial" w:cs="Arial"/>
          <w:b/>
          <w:i/>
          <w:kern w:val="2"/>
          <w:lang w:eastAsia="en-US"/>
        </w:rPr>
        <w:lastRenderedPageBreak/>
        <w:t>Inflación</w:t>
      </w:r>
    </w:p>
    <w:p w:rsidR="008C080C" w:rsidRDefault="008C080C"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Al mes de diciembre 2015 la inflación anual nacional se ubicaba en 2.13 por ciento, pero al mes de marzo 2016 se ubica en 3.03 por ciento. En la ciudad de Oaxaca la inflación al mes de diciembre 2015 fue de 2.58 por ciento pero al mes de marzo 2016 se ubica en 3.56 por ciento. Con este fuerte incremento en los primeros meses del 2016 la variación de los índices de precios nacional y de la ciudad de Oaxaca, la tendencia, que hasta diciembre 2015 se mantenía a la baja, ahora muestra un ligera tendencia a la alza. </w:t>
      </w:r>
    </w:p>
    <w:p w:rsidR="008C080C" w:rsidRDefault="008C080C" w:rsidP="00461035">
      <w:pPr>
        <w:spacing w:after="240"/>
        <w:contextualSpacing/>
        <w:jc w:val="both"/>
        <w:rPr>
          <w:rFonts w:ascii="Arial" w:hAnsi="Arial" w:cs="Arial"/>
          <w:kern w:val="2"/>
          <w:lang w:eastAsia="en-US"/>
        </w:rPr>
      </w:pPr>
    </w:p>
    <w:p w:rsidR="008C080C" w:rsidRDefault="008C080C" w:rsidP="00461035">
      <w:pPr>
        <w:spacing w:after="240"/>
        <w:contextualSpacing/>
        <w:jc w:val="both"/>
        <w:rPr>
          <w:rFonts w:ascii="Arial" w:hAnsi="Arial" w:cs="Arial"/>
          <w:kern w:val="2"/>
          <w:lang w:eastAsia="en-US"/>
        </w:rPr>
      </w:pPr>
    </w:p>
    <w:p w:rsidR="008C080C" w:rsidRPr="00461035" w:rsidRDefault="008C080C" w:rsidP="00461035">
      <w:pPr>
        <w:spacing w:after="240"/>
        <w:contextualSpacing/>
        <w:jc w:val="both"/>
        <w:rPr>
          <w:rFonts w:ascii="Arial" w:hAnsi="Arial" w:cs="Arial"/>
          <w:kern w:val="2"/>
          <w:lang w:eastAsia="en-US"/>
        </w:rPr>
      </w:pPr>
    </w:p>
    <w:p w:rsidR="00461035" w:rsidRPr="00461035" w:rsidRDefault="000306A2" w:rsidP="008C080C">
      <w:pPr>
        <w:spacing w:after="240"/>
        <w:contextualSpacing/>
        <w:jc w:val="center"/>
        <w:rPr>
          <w:rFonts w:ascii="Arial" w:hAnsi="Arial" w:cs="Arial"/>
          <w:kern w:val="2"/>
          <w:lang w:eastAsia="en-US"/>
        </w:rPr>
      </w:pPr>
      <w:r w:rsidRPr="000306A2">
        <w:rPr>
          <w:rFonts w:ascii="Arial" w:hAnsi="Arial" w:cs="Arial"/>
          <w:kern w:val="2"/>
          <w:lang w:eastAsia="en-US"/>
        </w:rPr>
        <w:pict>
          <v:shape id="_x0000_s1105" type="#_x0000_t202" style="position:absolute;left:0;text-align:left;margin-left:51.25pt;margin-top:230.3pt;width:210.2pt;height:16.4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" filled="f" stroked="f">
            <v:textbox style="mso-fit-shape-to-text:t">
              <w:txbxContent>
                <w:p w:rsidR="00B570C7" w:rsidRPr="00474103" w:rsidRDefault="00B570C7" w:rsidP="00461035">
                  <w:pPr>
                    <w:rPr>
                      <w:rFonts w:ascii="Arial" w:hAnsi="Arial" w:cs="Arial"/>
                      <w:sz w:val="16"/>
                      <w:szCs w:val="16"/>
                    </w:rPr>
                  </w:pPr>
                  <w:r w:rsidRPr="00474103">
                    <w:rPr>
                      <w:rFonts w:ascii="Arial" w:hAnsi="Arial" w:cs="Arial"/>
                      <w:sz w:val="16"/>
                      <w:szCs w:val="16"/>
                    </w:rPr>
                    <w:t>Fuente: INEGI.</w:t>
                  </w:r>
                </w:p>
              </w:txbxContent>
            </v:textbox>
          </v:shape>
        </w:pict>
      </w:r>
      <w:r w:rsidR="00461035" w:rsidRPr="00461035">
        <w:rPr>
          <w:rFonts w:ascii="Arial" w:hAnsi="Arial" w:cs="Arial"/>
          <w:noProof/>
          <w:kern w:val="2"/>
          <w:lang w:val="es-MX" w:eastAsia="es-MX"/>
        </w:rPr>
        <w:drawing>
          <wp:inline distT="0" distB="0" distL="0" distR="0">
            <wp:extent cx="4991100" cy="2762250"/>
            <wp:effectExtent l="0" t="0" r="0" b="0"/>
            <wp:docPr id="68"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A07BA1"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w:t>
      </w:r>
      <w:r w:rsidR="00461035" w:rsidRPr="00A07BA1">
        <w:rPr>
          <w:rFonts w:ascii="Arial" w:hAnsi="Arial" w:cs="Arial"/>
          <w:b/>
          <w:kern w:val="2"/>
          <w:lang w:eastAsia="en-US"/>
        </w:rPr>
        <w:t>.- RESULTADOS DE LAS OPERACIONES DERIVADAS DE LA APLICACIÓN DE LA LEY DE INGRESOS, E INFORMACIÓN SOBRE LA GESTIÓN Y CUMPLIMIENTO DE SUS PRINCIPALES OBJETIVOS.</w:t>
      </w:r>
    </w:p>
    <w:p w:rsidR="00461035" w:rsidRPr="00A07BA1" w:rsidRDefault="00461035" w:rsidP="00461035">
      <w:pPr>
        <w:spacing w:after="240"/>
        <w:contextualSpacing/>
        <w:jc w:val="both"/>
        <w:rPr>
          <w:rFonts w:ascii="Arial" w:hAnsi="Arial" w:cs="Arial"/>
          <w:b/>
          <w:kern w:val="2"/>
          <w:lang w:eastAsia="en-US"/>
        </w:rPr>
      </w:pPr>
    </w:p>
    <w:p w:rsidR="00461035" w:rsidRPr="00A07BA1" w:rsidRDefault="00C97BDE" w:rsidP="00461035">
      <w:pPr>
        <w:spacing w:after="240"/>
        <w:contextualSpacing/>
        <w:jc w:val="both"/>
        <w:rPr>
          <w:rFonts w:ascii="Arial" w:hAnsi="Arial" w:cs="Arial"/>
          <w:b/>
          <w:kern w:val="2"/>
          <w:lang w:eastAsia="en-US"/>
        </w:rPr>
      </w:pPr>
      <w:r>
        <w:rPr>
          <w:rFonts w:ascii="Arial" w:hAnsi="Arial" w:cs="Arial"/>
          <w:b/>
          <w:kern w:val="2"/>
          <w:lang w:eastAsia="en-US"/>
        </w:rPr>
        <w:t>3</w:t>
      </w:r>
      <w:r w:rsidR="00461035" w:rsidRPr="00A07BA1">
        <w:rPr>
          <w:rFonts w:ascii="Arial" w:hAnsi="Arial" w:cs="Arial"/>
          <w:b/>
          <w:kern w:val="2"/>
          <w:lang w:eastAsia="en-US"/>
        </w:rPr>
        <w:t>.1.- REFORMA AL MARCO INSTITUCIONAL EN MATERIA HACENDARIA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Plan Estatal  de Desarrollo, como documento que rige la Política Pública de la actual administración considero como prioridad la reestructuración de las finanzas públicas, la administración tributaria, además el manejo y control del gasto público. Restructuración que partió de la reforma al marco institucional del Estado en materia hacendaria. </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Para lograr los objetivos trazados en el Plan Estatal de Desarrollo (PED) y  Programa Estatal de Financiamiento para el Desarrollo del Estado de Oaxaca (Prefide), al inicio de esta administración se realizó un detallado diagnóstico que permitió ubicar los elementos del andamiaje institucional que tenían que ser actualizados o sustituidos, e incluso el de crear nuevos instrumentos.</w:t>
      </w:r>
    </w:p>
    <w:p w:rsidR="00A07BA1" w:rsidRPr="00461035" w:rsidRDefault="00A07BA1"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Así, desde el envío del primer paquete económico al Honorable Congreso del Estado, se incluyó importantes reformas fiscales considerando criterios de equidad y eficiencia tributaria para el cobro de contribuciones locales que permitan incrementar la recaudación del estado, con lo cual Oaxaca se constituye en un caso exitoso en materia de reformas hacendarias a nivel de gobiernos subnacionales.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A07BA1" w:rsidRDefault="00A07BA1">
      <w:pPr>
        <w:rPr>
          <w:rFonts w:ascii="Arial" w:hAnsi="Arial" w:cs="Arial"/>
          <w:b/>
          <w:kern w:val="2"/>
          <w:lang w:eastAsia="en-US"/>
        </w:rPr>
      </w:pPr>
      <w:r>
        <w:rPr>
          <w:rFonts w:ascii="Arial" w:hAnsi="Arial" w:cs="Arial"/>
          <w:b/>
          <w:kern w:val="2"/>
          <w:lang w:eastAsia="en-US"/>
        </w:rPr>
        <w:br w:type="page"/>
      </w:r>
    </w:p>
    <w:p w:rsidR="00461035" w:rsidRPr="00A07BA1" w:rsidRDefault="00461035" w:rsidP="00461035">
      <w:pPr>
        <w:spacing w:after="240"/>
        <w:contextualSpacing/>
        <w:jc w:val="both"/>
        <w:rPr>
          <w:rFonts w:ascii="Arial" w:hAnsi="Arial" w:cs="Arial"/>
          <w:b/>
          <w:kern w:val="2"/>
          <w:lang w:eastAsia="en-US"/>
        </w:rPr>
      </w:pPr>
      <w:r w:rsidRPr="00A07BA1">
        <w:rPr>
          <w:rFonts w:ascii="Arial" w:hAnsi="Arial" w:cs="Arial"/>
          <w:b/>
          <w:kern w:val="2"/>
          <w:lang w:eastAsia="en-US"/>
        </w:rPr>
        <w:lastRenderedPageBreak/>
        <w:t>Reformas al marco institucional hacendario, 2011-2016</w:t>
      </w:r>
    </w:p>
    <w:p w:rsidR="00461035" w:rsidRPr="00461035" w:rsidRDefault="00461035" w:rsidP="00461035">
      <w:pPr>
        <w:spacing w:after="240"/>
        <w:contextualSpacing/>
        <w:jc w:val="both"/>
        <w:rPr>
          <w:rFonts w:ascii="Arial" w:hAnsi="Arial" w:cs="Arial"/>
          <w:kern w:val="2"/>
          <w:lang w:eastAsia="en-US"/>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13"/>
        <w:gridCol w:w="1622"/>
        <w:gridCol w:w="1507"/>
        <w:gridCol w:w="1440"/>
        <w:gridCol w:w="1554"/>
        <w:gridCol w:w="1532"/>
      </w:tblGrid>
      <w:tr w:rsidR="00461035" w:rsidRPr="00A07BA1" w:rsidTr="00461035">
        <w:trPr>
          <w:trHeight w:val="316"/>
          <w:jc w:val="center"/>
        </w:trPr>
        <w:tc>
          <w:tcPr>
            <w:tcW w:w="1513" w:type="dxa"/>
            <w:shd w:val="clear" w:color="auto" w:fill="8B814F"/>
            <w:tcMar>
              <w:top w:w="72" w:type="dxa"/>
              <w:left w:w="144" w:type="dxa"/>
              <w:bottom w:w="72" w:type="dxa"/>
              <w:right w:w="144" w:type="dxa"/>
            </w:tcMar>
            <w:vAlign w:val="center"/>
            <w:hideMark/>
          </w:tcPr>
          <w:p w:rsidR="00461035" w:rsidRPr="00A07BA1" w:rsidRDefault="00461035" w:rsidP="00A07BA1">
            <w:pPr>
              <w:spacing w:after="240"/>
              <w:contextualSpacing/>
              <w:jc w:val="center"/>
              <w:rPr>
                <w:rFonts w:ascii="Arial" w:hAnsi="Arial" w:cs="Arial"/>
                <w:color w:val="FFFFFF" w:themeColor="background1"/>
                <w:kern w:val="2"/>
                <w:sz w:val="22"/>
                <w:szCs w:val="22"/>
                <w:lang w:eastAsia="en-US"/>
              </w:rPr>
            </w:pPr>
            <w:r w:rsidRPr="00A07BA1">
              <w:rPr>
                <w:rFonts w:ascii="Arial" w:hAnsi="Arial" w:cs="Arial"/>
                <w:color w:val="FFFFFF" w:themeColor="background1"/>
                <w:kern w:val="2"/>
                <w:sz w:val="22"/>
                <w:szCs w:val="22"/>
                <w:lang w:eastAsia="en-US"/>
              </w:rPr>
              <w:t>2011</w:t>
            </w:r>
          </w:p>
        </w:tc>
        <w:tc>
          <w:tcPr>
            <w:tcW w:w="1622" w:type="dxa"/>
            <w:shd w:val="clear" w:color="auto" w:fill="8B814F"/>
            <w:tcMar>
              <w:top w:w="72" w:type="dxa"/>
              <w:left w:w="144" w:type="dxa"/>
              <w:bottom w:w="72" w:type="dxa"/>
              <w:right w:w="144" w:type="dxa"/>
            </w:tcMar>
            <w:vAlign w:val="center"/>
            <w:hideMark/>
          </w:tcPr>
          <w:p w:rsidR="00461035" w:rsidRPr="00A07BA1" w:rsidRDefault="00461035" w:rsidP="00A07BA1">
            <w:pPr>
              <w:spacing w:after="240"/>
              <w:contextualSpacing/>
              <w:jc w:val="center"/>
              <w:rPr>
                <w:rFonts w:ascii="Arial" w:hAnsi="Arial" w:cs="Arial"/>
                <w:color w:val="FFFFFF" w:themeColor="background1"/>
                <w:kern w:val="2"/>
                <w:sz w:val="22"/>
                <w:szCs w:val="22"/>
                <w:lang w:eastAsia="en-US"/>
              </w:rPr>
            </w:pPr>
            <w:r w:rsidRPr="00A07BA1">
              <w:rPr>
                <w:rFonts w:ascii="Arial" w:hAnsi="Arial" w:cs="Arial"/>
                <w:color w:val="FFFFFF" w:themeColor="background1"/>
                <w:kern w:val="2"/>
                <w:sz w:val="22"/>
                <w:szCs w:val="22"/>
                <w:lang w:eastAsia="en-US"/>
              </w:rPr>
              <w:t>2012</w:t>
            </w:r>
          </w:p>
        </w:tc>
        <w:tc>
          <w:tcPr>
            <w:tcW w:w="1507" w:type="dxa"/>
            <w:shd w:val="clear" w:color="auto" w:fill="8B814F"/>
            <w:tcMar>
              <w:top w:w="72" w:type="dxa"/>
              <w:left w:w="144" w:type="dxa"/>
              <w:bottom w:w="72" w:type="dxa"/>
              <w:right w:w="144" w:type="dxa"/>
            </w:tcMar>
            <w:vAlign w:val="center"/>
            <w:hideMark/>
          </w:tcPr>
          <w:p w:rsidR="00461035" w:rsidRPr="00A07BA1" w:rsidRDefault="00461035" w:rsidP="00A07BA1">
            <w:pPr>
              <w:spacing w:after="240"/>
              <w:contextualSpacing/>
              <w:jc w:val="center"/>
              <w:rPr>
                <w:rFonts w:ascii="Arial" w:hAnsi="Arial" w:cs="Arial"/>
                <w:color w:val="FFFFFF" w:themeColor="background1"/>
                <w:kern w:val="2"/>
                <w:sz w:val="22"/>
                <w:szCs w:val="22"/>
                <w:lang w:eastAsia="en-US"/>
              </w:rPr>
            </w:pPr>
            <w:r w:rsidRPr="00A07BA1">
              <w:rPr>
                <w:rFonts w:ascii="Arial" w:hAnsi="Arial" w:cs="Arial"/>
                <w:color w:val="FFFFFF" w:themeColor="background1"/>
                <w:kern w:val="2"/>
                <w:sz w:val="22"/>
                <w:szCs w:val="22"/>
                <w:lang w:eastAsia="en-US"/>
              </w:rPr>
              <w:t>2013</w:t>
            </w:r>
          </w:p>
        </w:tc>
        <w:tc>
          <w:tcPr>
            <w:tcW w:w="1440" w:type="dxa"/>
            <w:shd w:val="clear" w:color="auto" w:fill="8B814F"/>
            <w:vAlign w:val="center"/>
          </w:tcPr>
          <w:p w:rsidR="00461035" w:rsidRPr="00A07BA1" w:rsidRDefault="00461035" w:rsidP="00A07BA1">
            <w:pPr>
              <w:spacing w:after="240"/>
              <w:contextualSpacing/>
              <w:jc w:val="center"/>
              <w:rPr>
                <w:rFonts w:ascii="Arial" w:hAnsi="Arial" w:cs="Arial"/>
                <w:color w:val="FFFFFF" w:themeColor="background1"/>
                <w:kern w:val="2"/>
                <w:sz w:val="22"/>
                <w:szCs w:val="22"/>
                <w:lang w:eastAsia="en-US"/>
              </w:rPr>
            </w:pPr>
            <w:r w:rsidRPr="00A07BA1">
              <w:rPr>
                <w:rFonts w:ascii="Arial" w:hAnsi="Arial" w:cs="Arial"/>
                <w:color w:val="FFFFFF" w:themeColor="background1"/>
                <w:kern w:val="2"/>
                <w:sz w:val="22"/>
                <w:szCs w:val="22"/>
                <w:lang w:eastAsia="en-US"/>
              </w:rPr>
              <w:t>2014</w:t>
            </w:r>
          </w:p>
        </w:tc>
        <w:tc>
          <w:tcPr>
            <w:tcW w:w="1554" w:type="dxa"/>
            <w:shd w:val="clear" w:color="auto" w:fill="8B814F"/>
            <w:vAlign w:val="center"/>
          </w:tcPr>
          <w:p w:rsidR="00461035" w:rsidRPr="00A07BA1" w:rsidRDefault="00461035" w:rsidP="00A07BA1">
            <w:pPr>
              <w:spacing w:after="240"/>
              <w:contextualSpacing/>
              <w:jc w:val="center"/>
              <w:rPr>
                <w:rFonts w:ascii="Arial" w:hAnsi="Arial" w:cs="Arial"/>
                <w:color w:val="FFFFFF" w:themeColor="background1"/>
                <w:kern w:val="2"/>
                <w:sz w:val="22"/>
                <w:szCs w:val="22"/>
                <w:lang w:eastAsia="en-US"/>
              </w:rPr>
            </w:pPr>
            <w:r w:rsidRPr="00A07BA1">
              <w:rPr>
                <w:rFonts w:ascii="Arial" w:hAnsi="Arial" w:cs="Arial"/>
                <w:color w:val="FFFFFF" w:themeColor="background1"/>
                <w:kern w:val="2"/>
                <w:sz w:val="22"/>
                <w:szCs w:val="22"/>
                <w:lang w:eastAsia="en-US"/>
              </w:rPr>
              <w:t>2015</w:t>
            </w:r>
          </w:p>
        </w:tc>
        <w:tc>
          <w:tcPr>
            <w:tcW w:w="1532" w:type="dxa"/>
            <w:shd w:val="clear" w:color="auto" w:fill="8B814F"/>
            <w:vAlign w:val="center"/>
          </w:tcPr>
          <w:p w:rsidR="00461035" w:rsidRPr="00A07BA1" w:rsidRDefault="00461035" w:rsidP="00A07BA1">
            <w:pPr>
              <w:spacing w:after="240"/>
              <w:contextualSpacing/>
              <w:jc w:val="center"/>
              <w:rPr>
                <w:rFonts w:ascii="Arial" w:hAnsi="Arial" w:cs="Arial"/>
                <w:color w:val="FFFFFF" w:themeColor="background1"/>
                <w:kern w:val="2"/>
                <w:sz w:val="22"/>
                <w:szCs w:val="22"/>
                <w:lang w:eastAsia="en-US"/>
              </w:rPr>
            </w:pPr>
            <w:r w:rsidRPr="00A07BA1">
              <w:rPr>
                <w:rFonts w:ascii="Arial" w:hAnsi="Arial" w:cs="Arial"/>
                <w:color w:val="FFFFFF" w:themeColor="background1"/>
                <w:kern w:val="2"/>
                <w:sz w:val="22"/>
                <w:szCs w:val="22"/>
                <w:lang w:eastAsia="en-US"/>
              </w:rPr>
              <w:t>2016</w:t>
            </w:r>
          </w:p>
        </w:tc>
      </w:tr>
      <w:tr w:rsidR="00461035" w:rsidRPr="00A07BA1" w:rsidTr="00461035">
        <w:trPr>
          <w:trHeight w:val="20"/>
          <w:jc w:val="center"/>
        </w:trPr>
        <w:tc>
          <w:tcPr>
            <w:tcW w:w="1513" w:type="dxa"/>
            <w:shd w:val="clear" w:color="auto" w:fill="F2F2F2"/>
            <w:tcMar>
              <w:top w:w="72" w:type="dxa"/>
              <w:left w:w="144" w:type="dxa"/>
              <w:bottom w:w="72" w:type="dxa"/>
              <w:right w:w="144" w:type="dxa"/>
            </w:tcMar>
            <w:hideMark/>
          </w:tcPr>
          <w:p w:rsidR="00461035" w:rsidRPr="00A07BA1" w:rsidRDefault="00461035" w:rsidP="00A07BA1">
            <w:pPr>
              <w:spacing w:after="240"/>
              <w:contextualSpacing/>
              <w:rPr>
                <w:rFonts w:ascii="Arial" w:hAnsi="Arial" w:cs="Arial"/>
                <w:kern w:val="2"/>
                <w:sz w:val="14"/>
                <w:szCs w:val="14"/>
                <w:lang w:eastAsia="en-US"/>
              </w:rPr>
            </w:pPr>
            <w:r w:rsidRPr="00A07BA1">
              <w:rPr>
                <w:rFonts w:ascii="Arial" w:hAnsi="Arial" w:cs="Arial"/>
                <w:kern w:val="2"/>
                <w:sz w:val="14"/>
                <w:szCs w:val="14"/>
                <w:lang w:eastAsia="en-US"/>
              </w:rPr>
              <w:t>Se promulgaron las siguientes disposiciones legales:</w:t>
            </w:r>
          </w:p>
          <w:p w:rsidR="00461035" w:rsidRPr="00A07BA1" w:rsidRDefault="00461035" w:rsidP="00A07BA1">
            <w:pPr>
              <w:spacing w:after="240"/>
              <w:contextualSpacing/>
              <w:rPr>
                <w:rFonts w:ascii="Arial" w:hAnsi="Arial" w:cs="Arial"/>
                <w:kern w:val="2"/>
                <w:sz w:val="14"/>
                <w:szCs w:val="14"/>
                <w:lang w:eastAsia="en-US"/>
              </w:rPr>
            </w:pPr>
          </w:p>
          <w:p w:rsidR="00461035" w:rsidRDefault="00461035"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Pr="00A07BA1" w:rsidRDefault="00A07BA1" w:rsidP="00A07BA1">
            <w:pPr>
              <w:spacing w:after="240"/>
              <w:contextualSpacing/>
              <w:rPr>
                <w:rFonts w:ascii="Arial" w:hAnsi="Arial" w:cs="Arial"/>
                <w:kern w:val="2"/>
                <w:sz w:val="14"/>
                <w:szCs w:val="14"/>
                <w:lang w:eastAsia="en-US"/>
              </w:rPr>
            </w:pPr>
          </w:p>
          <w:p w:rsidR="00461035" w:rsidRPr="00A07BA1" w:rsidRDefault="00461035" w:rsidP="004967F5">
            <w:pPr>
              <w:pStyle w:val="Prrafodelista"/>
              <w:numPr>
                <w:ilvl w:val="0"/>
                <w:numId w:val="4"/>
              </w:numPr>
              <w:tabs>
                <w:tab w:val="num" w:pos="93"/>
              </w:tabs>
              <w:spacing w:after="240"/>
              <w:ind w:left="376" w:hanging="283"/>
              <w:contextualSpacing/>
              <w:rPr>
                <w:rFonts w:ascii="Arial" w:hAnsi="Arial" w:cs="Arial"/>
                <w:kern w:val="2"/>
                <w:sz w:val="14"/>
                <w:szCs w:val="14"/>
                <w:lang w:eastAsia="en-US"/>
              </w:rPr>
            </w:pPr>
            <w:r w:rsidRPr="00A07BA1">
              <w:rPr>
                <w:rFonts w:ascii="Arial" w:hAnsi="Arial" w:cs="Arial"/>
                <w:kern w:val="2"/>
                <w:sz w:val="14"/>
                <w:szCs w:val="14"/>
                <w:lang w:eastAsia="en-US"/>
              </w:rPr>
              <w:t>Impuesto Estatal Sobre la Tenencia Vehicular.</w:t>
            </w:r>
          </w:p>
          <w:p w:rsidR="00461035" w:rsidRPr="00A07BA1" w:rsidRDefault="00461035" w:rsidP="004967F5">
            <w:pPr>
              <w:pStyle w:val="Prrafodelista"/>
              <w:numPr>
                <w:ilvl w:val="0"/>
                <w:numId w:val="4"/>
              </w:numPr>
              <w:tabs>
                <w:tab w:val="num" w:pos="93"/>
              </w:tabs>
              <w:spacing w:after="240"/>
              <w:ind w:left="376" w:hanging="283"/>
              <w:contextualSpacing/>
              <w:rPr>
                <w:rFonts w:ascii="Arial" w:hAnsi="Arial" w:cs="Arial"/>
                <w:kern w:val="2"/>
                <w:sz w:val="14"/>
                <w:szCs w:val="14"/>
                <w:lang w:eastAsia="en-US"/>
              </w:rPr>
            </w:pPr>
            <w:r w:rsidRPr="00A07BA1">
              <w:rPr>
                <w:rFonts w:ascii="Arial" w:hAnsi="Arial" w:cs="Arial"/>
                <w:kern w:val="2"/>
                <w:sz w:val="14"/>
                <w:szCs w:val="14"/>
                <w:lang w:eastAsia="en-US"/>
              </w:rPr>
              <w:t>Se amplió la base del Impuesto sobre la prestación de servicios de Hospedaje</w:t>
            </w:r>
          </w:p>
        </w:tc>
        <w:tc>
          <w:tcPr>
            <w:tcW w:w="1622" w:type="dxa"/>
            <w:shd w:val="clear" w:color="auto" w:fill="F2F2F2"/>
            <w:tcMar>
              <w:top w:w="72" w:type="dxa"/>
              <w:left w:w="144" w:type="dxa"/>
              <w:bottom w:w="72" w:type="dxa"/>
              <w:right w:w="144" w:type="dxa"/>
            </w:tcMar>
            <w:hideMark/>
          </w:tcPr>
          <w:p w:rsidR="00461035" w:rsidRPr="00A07BA1" w:rsidRDefault="00461035" w:rsidP="00A07BA1">
            <w:pPr>
              <w:spacing w:after="240"/>
              <w:contextualSpacing/>
              <w:rPr>
                <w:rFonts w:ascii="Arial" w:hAnsi="Arial" w:cs="Arial"/>
                <w:kern w:val="2"/>
                <w:sz w:val="14"/>
                <w:szCs w:val="14"/>
                <w:lang w:eastAsia="en-US"/>
              </w:rPr>
            </w:pPr>
            <w:r w:rsidRPr="00A07BA1">
              <w:rPr>
                <w:rFonts w:ascii="Arial" w:hAnsi="Arial" w:cs="Arial"/>
                <w:kern w:val="2"/>
                <w:sz w:val="14"/>
                <w:szCs w:val="14"/>
                <w:lang w:eastAsia="en-US"/>
              </w:rPr>
              <w:t>Se promulgaron las siguientes disposiciones legales:</w:t>
            </w:r>
          </w:p>
          <w:p w:rsidR="00461035" w:rsidRDefault="00461035"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Pr="00A07BA1" w:rsidRDefault="00A07BA1" w:rsidP="00A07BA1">
            <w:pPr>
              <w:spacing w:after="240"/>
              <w:contextualSpacing/>
              <w:rPr>
                <w:rFonts w:ascii="Arial" w:hAnsi="Arial" w:cs="Arial"/>
                <w:kern w:val="2"/>
                <w:sz w:val="14"/>
                <w:szCs w:val="14"/>
                <w:lang w:eastAsia="en-US"/>
              </w:rPr>
            </w:pP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Ley Estatal de Presupuesto y Responsabilidad Hacendaria.</w:t>
            </w: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 xml:space="preserve">Ley de Deuda Pública. </w:t>
            </w: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 xml:space="preserve">Ley Estatal de Derechos. </w:t>
            </w: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 xml:space="preserve">Ley de Pensiones para los Empleados del Gobierno del Estado de Oaxaca. </w:t>
            </w: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 xml:space="preserve">Creación del Impuesto Sobre Demasías Caducas. </w:t>
            </w: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Eliminación de exenciones al Impuesto Sobre Nóminas.</w:t>
            </w:r>
          </w:p>
          <w:p w:rsidR="00461035" w:rsidRPr="00A07BA1" w:rsidRDefault="00461035" w:rsidP="004967F5">
            <w:pPr>
              <w:pStyle w:val="Prrafodelista"/>
              <w:numPr>
                <w:ilvl w:val="0"/>
                <w:numId w:val="5"/>
              </w:numPr>
              <w:tabs>
                <w:tab w:val="num" w:pos="423"/>
              </w:tabs>
              <w:spacing w:after="240"/>
              <w:ind w:left="325"/>
              <w:contextualSpacing/>
              <w:rPr>
                <w:rFonts w:ascii="Arial" w:hAnsi="Arial" w:cs="Arial"/>
                <w:kern w:val="2"/>
                <w:sz w:val="14"/>
                <w:szCs w:val="14"/>
                <w:lang w:eastAsia="en-US"/>
              </w:rPr>
            </w:pPr>
            <w:r w:rsidRPr="00A07BA1">
              <w:rPr>
                <w:rFonts w:ascii="Arial" w:hAnsi="Arial" w:cs="Arial"/>
                <w:kern w:val="2"/>
                <w:sz w:val="14"/>
                <w:szCs w:val="14"/>
                <w:lang w:eastAsia="en-US"/>
              </w:rPr>
              <w:t>Actualización de las cuotas por suministro de agua potable.</w:t>
            </w:r>
          </w:p>
          <w:p w:rsidR="00461035" w:rsidRPr="00A07BA1" w:rsidRDefault="00461035" w:rsidP="00A07BA1">
            <w:pPr>
              <w:spacing w:after="240"/>
              <w:contextualSpacing/>
              <w:rPr>
                <w:rFonts w:ascii="Arial" w:hAnsi="Arial" w:cs="Arial"/>
                <w:kern w:val="2"/>
                <w:sz w:val="14"/>
                <w:szCs w:val="14"/>
                <w:lang w:eastAsia="en-US"/>
              </w:rPr>
            </w:pPr>
          </w:p>
        </w:tc>
        <w:tc>
          <w:tcPr>
            <w:tcW w:w="1507" w:type="dxa"/>
            <w:shd w:val="clear" w:color="auto" w:fill="F2F2F2"/>
            <w:tcMar>
              <w:top w:w="72" w:type="dxa"/>
              <w:left w:w="144" w:type="dxa"/>
              <w:bottom w:w="72" w:type="dxa"/>
              <w:right w:w="144" w:type="dxa"/>
            </w:tcMar>
            <w:hideMark/>
          </w:tcPr>
          <w:p w:rsidR="00461035" w:rsidRPr="00A07BA1" w:rsidRDefault="00461035" w:rsidP="00A07BA1">
            <w:pPr>
              <w:spacing w:after="240"/>
              <w:contextualSpacing/>
              <w:rPr>
                <w:rFonts w:ascii="Arial" w:hAnsi="Arial" w:cs="Arial"/>
                <w:kern w:val="2"/>
                <w:sz w:val="14"/>
                <w:szCs w:val="14"/>
                <w:lang w:eastAsia="en-US"/>
              </w:rPr>
            </w:pPr>
            <w:r w:rsidRPr="00A07BA1">
              <w:rPr>
                <w:rFonts w:ascii="Arial" w:hAnsi="Arial" w:cs="Arial"/>
                <w:kern w:val="2"/>
                <w:sz w:val="14"/>
                <w:szCs w:val="14"/>
                <w:lang w:eastAsia="en-US"/>
              </w:rPr>
              <w:t>Se promulgaron las siguientes disposiciones legales:</w:t>
            </w:r>
          </w:p>
          <w:p w:rsidR="00461035" w:rsidRDefault="00461035"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Pr="00A07BA1" w:rsidRDefault="00A07BA1" w:rsidP="00A07BA1">
            <w:pPr>
              <w:spacing w:after="240"/>
              <w:contextualSpacing/>
              <w:rPr>
                <w:rFonts w:ascii="Arial" w:hAnsi="Arial" w:cs="Arial"/>
                <w:kern w:val="2"/>
                <w:sz w:val="14"/>
                <w:szCs w:val="14"/>
                <w:lang w:eastAsia="en-US"/>
              </w:rPr>
            </w:pP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Código Fiscal para el Estado de Oaxaca.</w:t>
            </w: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Ley Estatal de Hacienda.</w:t>
            </w: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 xml:space="preserve">Ley de Asociaciones Público Privadas para el Estado de Oaxaca. </w:t>
            </w: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 xml:space="preserve">Ley del Organismo Operador Público denominado Servicios de Agua Potable y Alcantarillado de Oaxaca. </w:t>
            </w: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Adiciones y reformas a la Ley Orgánica del Poder Ejecutivo del Estado de Oaxaca.</w:t>
            </w: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Reformas a la Ley Estatal de Presupuesto y Responsabilidad Hacendaria.</w:t>
            </w:r>
          </w:p>
          <w:p w:rsidR="00461035" w:rsidRPr="00A07BA1" w:rsidRDefault="00461035" w:rsidP="004967F5">
            <w:pPr>
              <w:pStyle w:val="Prrafodelista"/>
              <w:numPr>
                <w:ilvl w:val="0"/>
                <w:numId w:val="6"/>
              </w:numPr>
              <w:tabs>
                <w:tab w:val="num" w:pos="281"/>
              </w:tabs>
              <w:spacing w:after="240"/>
              <w:ind w:left="262"/>
              <w:contextualSpacing/>
              <w:rPr>
                <w:rFonts w:ascii="Arial" w:hAnsi="Arial" w:cs="Arial"/>
                <w:kern w:val="2"/>
                <w:sz w:val="14"/>
                <w:szCs w:val="14"/>
                <w:lang w:eastAsia="en-US"/>
              </w:rPr>
            </w:pPr>
            <w:r w:rsidRPr="00A07BA1">
              <w:rPr>
                <w:rFonts w:ascii="Arial" w:hAnsi="Arial" w:cs="Arial"/>
                <w:kern w:val="2"/>
                <w:sz w:val="14"/>
                <w:szCs w:val="14"/>
                <w:lang w:eastAsia="en-US"/>
              </w:rPr>
              <w:t>Adiciones y reformas a la Ley Estatal de Derechos</w:t>
            </w:r>
          </w:p>
        </w:tc>
        <w:tc>
          <w:tcPr>
            <w:tcW w:w="1440" w:type="dxa"/>
            <w:shd w:val="clear" w:color="auto" w:fill="F2F2F2"/>
          </w:tcPr>
          <w:p w:rsidR="00461035" w:rsidRPr="00A07BA1" w:rsidRDefault="00461035" w:rsidP="00A07BA1">
            <w:pPr>
              <w:spacing w:after="240"/>
              <w:contextualSpacing/>
              <w:rPr>
                <w:rFonts w:ascii="Arial" w:hAnsi="Arial" w:cs="Arial"/>
                <w:kern w:val="2"/>
                <w:sz w:val="14"/>
                <w:szCs w:val="14"/>
                <w:lang w:eastAsia="en-US"/>
              </w:rPr>
            </w:pPr>
            <w:r w:rsidRPr="00A07BA1">
              <w:rPr>
                <w:rFonts w:ascii="Arial" w:hAnsi="Arial" w:cs="Arial"/>
                <w:kern w:val="2"/>
                <w:sz w:val="14"/>
                <w:szCs w:val="14"/>
                <w:lang w:eastAsia="en-US"/>
              </w:rPr>
              <w:t>Se promulgaron los Decretos que reformaron, adicionaron y derogaron las siguientes disposiciones legales:</w:t>
            </w:r>
          </w:p>
          <w:p w:rsidR="00461035" w:rsidRDefault="00461035" w:rsidP="00A07BA1">
            <w:pPr>
              <w:spacing w:after="240"/>
              <w:contextualSpacing/>
              <w:rPr>
                <w:rFonts w:ascii="Arial" w:hAnsi="Arial" w:cs="Arial"/>
                <w:kern w:val="2"/>
                <w:sz w:val="14"/>
                <w:szCs w:val="14"/>
                <w:lang w:eastAsia="en-US"/>
              </w:rPr>
            </w:pPr>
          </w:p>
          <w:p w:rsidR="00461035" w:rsidRPr="00A07BA1" w:rsidRDefault="00461035" w:rsidP="004967F5">
            <w:pPr>
              <w:pStyle w:val="Prrafodelista"/>
              <w:numPr>
                <w:ilvl w:val="0"/>
                <w:numId w:val="7"/>
              </w:numPr>
              <w:tabs>
                <w:tab w:val="num" w:pos="273"/>
              </w:tabs>
              <w:spacing w:after="240"/>
              <w:ind w:left="273" w:hanging="142"/>
              <w:contextualSpacing/>
              <w:rPr>
                <w:rFonts w:ascii="Arial" w:hAnsi="Arial" w:cs="Arial"/>
                <w:kern w:val="2"/>
                <w:sz w:val="14"/>
                <w:szCs w:val="14"/>
                <w:lang w:eastAsia="en-US"/>
              </w:rPr>
            </w:pPr>
            <w:r w:rsidRPr="00A07BA1">
              <w:rPr>
                <w:rFonts w:ascii="Arial" w:hAnsi="Arial" w:cs="Arial"/>
                <w:kern w:val="2"/>
                <w:sz w:val="14"/>
                <w:szCs w:val="14"/>
                <w:lang w:eastAsia="en-US"/>
              </w:rPr>
              <w:t>Código Fiscal para el Estado de Oaxaca</w:t>
            </w:r>
          </w:p>
          <w:p w:rsidR="00461035" w:rsidRPr="00A07BA1" w:rsidRDefault="00461035" w:rsidP="004967F5">
            <w:pPr>
              <w:pStyle w:val="Prrafodelista"/>
              <w:numPr>
                <w:ilvl w:val="0"/>
                <w:numId w:val="7"/>
              </w:numPr>
              <w:tabs>
                <w:tab w:val="num" w:pos="273"/>
              </w:tabs>
              <w:spacing w:after="240"/>
              <w:ind w:left="273" w:hanging="142"/>
              <w:contextualSpacing/>
              <w:rPr>
                <w:rFonts w:ascii="Arial" w:hAnsi="Arial" w:cs="Arial"/>
                <w:kern w:val="2"/>
                <w:sz w:val="14"/>
                <w:szCs w:val="14"/>
                <w:lang w:eastAsia="en-US"/>
              </w:rPr>
            </w:pPr>
            <w:r w:rsidRPr="00A07BA1">
              <w:rPr>
                <w:rFonts w:ascii="Arial" w:hAnsi="Arial" w:cs="Arial"/>
                <w:kern w:val="2"/>
                <w:sz w:val="14"/>
                <w:szCs w:val="14"/>
                <w:lang w:eastAsia="en-US"/>
              </w:rPr>
              <w:t>Ley Estatal de Hacienda</w:t>
            </w:r>
          </w:p>
          <w:p w:rsidR="00461035" w:rsidRPr="00A07BA1" w:rsidRDefault="00461035" w:rsidP="004967F5">
            <w:pPr>
              <w:pStyle w:val="Prrafodelista"/>
              <w:numPr>
                <w:ilvl w:val="0"/>
                <w:numId w:val="7"/>
              </w:numPr>
              <w:tabs>
                <w:tab w:val="num" w:pos="273"/>
              </w:tabs>
              <w:spacing w:after="240"/>
              <w:ind w:left="273" w:hanging="142"/>
              <w:contextualSpacing/>
              <w:rPr>
                <w:rFonts w:ascii="Arial" w:hAnsi="Arial" w:cs="Arial"/>
                <w:kern w:val="2"/>
                <w:sz w:val="14"/>
                <w:szCs w:val="14"/>
                <w:lang w:eastAsia="en-US"/>
              </w:rPr>
            </w:pPr>
            <w:r w:rsidRPr="00A07BA1">
              <w:rPr>
                <w:rFonts w:ascii="Arial" w:hAnsi="Arial" w:cs="Arial"/>
                <w:kern w:val="2"/>
                <w:sz w:val="14"/>
                <w:szCs w:val="14"/>
                <w:lang w:eastAsia="en-US"/>
              </w:rPr>
              <w:t>Ley de Coordinación Fiscal para el Estado de Oaxaca</w:t>
            </w:r>
          </w:p>
          <w:p w:rsidR="00461035" w:rsidRPr="00A07BA1" w:rsidRDefault="00461035" w:rsidP="004967F5">
            <w:pPr>
              <w:pStyle w:val="Prrafodelista"/>
              <w:numPr>
                <w:ilvl w:val="0"/>
                <w:numId w:val="7"/>
              </w:numPr>
              <w:tabs>
                <w:tab w:val="num" w:pos="273"/>
              </w:tabs>
              <w:spacing w:after="240"/>
              <w:ind w:left="273" w:hanging="142"/>
              <w:contextualSpacing/>
              <w:rPr>
                <w:rFonts w:ascii="Arial" w:hAnsi="Arial" w:cs="Arial"/>
                <w:kern w:val="2"/>
                <w:sz w:val="14"/>
                <w:szCs w:val="14"/>
                <w:lang w:eastAsia="en-US"/>
              </w:rPr>
            </w:pPr>
            <w:r w:rsidRPr="00A07BA1">
              <w:rPr>
                <w:rFonts w:ascii="Arial" w:hAnsi="Arial" w:cs="Arial"/>
                <w:kern w:val="2"/>
                <w:sz w:val="14"/>
                <w:szCs w:val="14"/>
                <w:lang w:eastAsia="en-US"/>
              </w:rPr>
              <w:t>Ley de Deuda Pública</w:t>
            </w:r>
          </w:p>
          <w:p w:rsidR="00461035" w:rsidRPr="00A07BA1" w:rsidRDefault="00461035" w:rsidP="004967F5">
            <w:pPr>
              <w:pStyle w:val="Prrafodelista"/>
              <w:numPr>
                <w:ilvl w:val="0"/>
                <w:numId w:val="7"/>
              </w:numPr>
              <w:tabs>
                <w:tab w:val="num" w:pos="273"/>
              </w:tabs>
              <w:spacing w:after="240"/>
              <w:ind w:left="273" w:hanging="142"/>
              <w:contextualSpacing/>
              <w:rPr>
                <w:rFonts w:ascii="Arial" w:hAnsi="Arial" w:cs="Arial"/>
                <w:kern w:val="2"/>
                <w:sz w:val="14"/>
                <w:szCs w:val="14"/>
                <w:lang w:eastAsia="en-US"/>
              </w:rPr>
            </w:pPr>
            <w:r w:rsidRPr="00A07BA1">
              <w:rPr>
                <w:rFonts w:ascii="Arial" w:hAnsi="Arial" w:cs="Arial"/>
                <w:kern w:val="2"/>
                <w:sz w:val="14"/>
                <w:szCs w:val="14"/>
                <w:lang w:eastAsia="en-US"/>
              </w:rPr>
              <w:t>Ley Estatal de Derechos</w:t>
            </w:r>
          </w:p>
        </w:tc>
        <w:tc>
          <w:tcPr>
            <w:tcW w:w="1554" w:type="dxa"/>
            <w:shd w:val="clear" w:color="auto" w:fill="F2F2F2"/>
          </w:tcPr>
          <w:p w:rsidR="00461035" w:rsidRPr="00A07BA1" w:rsidRDefault="00461035" w:rsidP="00A07BA1">
            <w:pPr>
              <w:spacing w:after="240"/>
              <w:contextualSpacing/>
              <w:rPr>
                <w:rFonts w:ascii="Arial" w:hAnsi="Arial" w:cs="Arial"/>
                <w:kern w:val="2"/>
                <w:sz w:val="14"/>
                <w:szCs w:val="14"/>
                <w:lang w:eastAsia="en-US"/>
              </w:rPr>
            </w:pPr>
            <w:r w:rsidRPr="00A07BA1">
              <w:rPr>
                <w:rFonts w:ascii="Arial" w:hAnsi="Arial" w:cs="Arial"/>
                <w:kern w:val="2"/>
                <w:sz w:val="14"/>
                <w:szCs w:val="14"/>
                <w:lang w:eastAsia="en-US"/>
              </w:rPr>
              <w:t>Se promulgan las siguientes disposiciones:</w:t>
            </w:r>
          </w:p>
          <w:p w:rsidR="00461035" w:rsidRDefault="00461035"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Pr="00A07BA1" w:rsidRDefault="00A07BA1" w:rsidP="00A07BA1">
            <w:pPr>
              <w:spacing w:after="240"/>
              <w:contextualSpacing/>
              <w:rPr>
                <w:rFonts w:ascii="Arial" w:hAnsi="Arial" w:cs="Arial"/>
                <w:kern w:val="2"/>
                <w:sz w:val="14"/>
                <w:szCs w:val="14"/>
                <w:lang w:eastAsia="en-US"/>
              </w:rPr>
            </w:pP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Reglamento Interno de la Secretaría de Finanzas del Poder Ejecutivo del Estado.</w:t>
            </w: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Ley que Regula las Casas de Empeño en el Estado</w:t>
            </w: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Ley de Firma Electrónica Certificada para el Estado.</w:t>
            </w: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Reglas de Carácter General que facilitan el cumplimiento de las obligaciones fiscales a cargo de los contribuyentes de la Hacienda Pública Estatal, para el Ejercicio Fiscal 2015.</w:t>
            </w:r>
          </w:p>
          <w:p w:rsidR="00461035" w:rsidRPr="00A07BA1" w:rsidRDefault="00461035" w:rsidP="00A07BA1">
            <w:pPr>
              <w:tabs>
                <w:tab w:val="num" w:pos="392"/>
              </w:tabs>
              <w:spacing w:after="240"/>
              <w:ind w:left="392" w:hanging="284"/>
              <w:contextualSpacing/>
              <w:rPr>
                <w:rFonts w:ascii="Arial" w:hAnsi="Arial" w:cs="Arial"/>
                <w:kern w:val="2"/>
                <w:sz w:val="14"/>
                <w:szCs w:val="14"/>
                <w:lang w:eastAsia="en-US"/>
              </w:rPr>
            </w:pPr>
          </w:p>
          <w:p w:rsidR="00461035" w:rsidRPr="00A07BA1" w:rsidRDefault="00461035" w:rsidP="00A07BA1">
            <w:pPr>
              <w:tabs>
                <w:tab w:val="num" w:pos="392"/>
              </w:tabs>
              <w:spacing w:after="240"/>
              <w:contextualSpacing/>
              <w:rPr>
                <w:rFonts w:ascii="Arial" w:hAnsi="Arial" w:cs="Arial"/>
                <w:b/>
                <w:kern w:val="2"/>
                <w:sz w:val="14"/>
                <w:szCs w:val="14"/>
                <w:lang w:eastAsia="en-US"/>
              </w:rPr>
            </w:pPr>
            <w:r w:rsidRPr="00A07BA1">
              <w:rPr>
                <w:rFonts w:ascii="Arial" w:hAnsi="Arial" w:cs="Arial"/>
                <w:b/>
                <w:kern w:val="2"/>
                <w:sz w:val="14"/>
                <w:szCs w:val="14"/>
                <w:lang w:eastAsia="en-US"/>
              </w:rPr>
              <w:t>Entran en vigor los Decretos que reformaron, adicionaron y derogaron las siguientes disposiciones legales:</w:t>
            </w:r>
          </w:p>
          <w:p w:rsidR="00461035" w:rsidRPr="00A07BA1" w:rsidRDefault="00461035" w:rsidP="00A07BA1">
            <w:pPr>
              <w:tabs>
                <w:tab w:val="num" w:pos="392"/>
              </w:tabs>
              <w:spacing w:after="240"/>
              <w:ind w:left="392" w:hanging="284"/>
              <w:contextualSpacing/>
              <w:rPr>
                <w:rFonts w:ascii="Arial" w:hAnsi="Arial" w:cs="Arial"/>
                <w:kern w:val="2"/>
                <w:sz w:val="14"/>
                <w:szCs w:val="14"/>
                <w:lang w:eastAsia="en-US"/>
              </w:rPr>
            </w:pP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Ley Estatal de Derechos</w:t>
            </w: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Ley Estatal de Hacienda.</w:t>
            </w:r>
          </w:p>
          <w:p w:rsidR="00461035" w:rsidRPr="00A07BA1" w:rsidRDefault="00461035" w:rsidP="004967F5">
            <w:pPr>
              <w:pStyle w:val="Prrafodelista"/>
              <w:numPr>
                <w:ilvl w:val="0"/>
                <w:numId w:val="8"/>
              </w:numPr>
              <w:tabs>
                <w:tab w:val="num" w:pos="392"/>
              </w:tabs>
              <w:spacing w:after="240"/>
              <w:ind w:left="392" w:hanging="284"/>
              <w:contextualSpacing/>
              <w:rPr>
                <w:rFonts w:ascii="Arial" w:hAnsi="Arial" w:cs="Arial"/>
                <w:kern w:val="2"/>
                <w:sz w:val="14"/>
                <w:szCs w:val="14"/>
                <w:lang w:eastAsia="en-US"/>
              </w:rPr>
            </w:pPr>
            <w:r w:rsidRPr="00A07BA1">
              <w:rPr>
                <w:rFonts w:ascii="Arial" w:hAnsi="Arial" w:cs="Arial"/>
                <w:kern w:val="2"/>
                <w:sz w:val="14"/>
                <w:szCs w:val="14"/>
                <w:lang w:eastAsia="en-US"/>
              </w:rPr>
              <w:t>Código Fiscal para el Estado de Oaxaca</w:t>
            </w:r>
          </w:p>
        </w:tc>
        <w:tc>
          <w:tcPr>
            <w:tcW w:w="1532" w:type="dxa"/>
            <w:shd w:val="clear" w:color="auto" w:fill="F2F2F2"/>
          </w:tcPr>
          <w:p w:rsidR="00461035" w:rsidRPr="00A07BA1" w:rsidRDefault="00461035" w:rsidP="00A07BA1">
            <w:pPr>
              <w:spacing w:after="240"/>
              <w:contextualSpacing/>
              <w:rPr>
                <w:rFonts w:ascii="Arial" w:hAnsi="Arial" w:cs="Arial"/>
                <w:kern w:val="2"/>
                <w:sz w:val="14"/>
                <w:szCs w:val="14"/>
                <w:lang w:eastAsia="en-US"/>
              </w:rPr>
            </w:pPr>
            <w:r w:rsidRPr="00A07BA1">
              <w:rPr>
                <w:rFonts w:ascii="Arial" w:hAnsi="Arial" w:cs="Arial"/>
                <w:kern w:val="2"/>
                <w:sz w:val="14"/>
                <w:szCs w:val="14"/>
                <w:lang w:eastAsia="en-US"/>
              </w:rPr>
              <w:t>Entran en vigor las siguientes disposiciones legales</w:t>
            </w:r>
          </w:p>
          <w:p w:rsidR="00461035" w:rsidRDefault="00461035"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Default="00A07BA1" w:rsidP="00A07BA1">
            <w:pPr>
              <w:spacing w:after="240"/>
              <w:contextualSpacing/>
              <w:rPr>
                <w:rFonts w:ascii="Arial" w:hAnsi="Arial" w:cs="Arial"/>
                <w:kern w:val="2"/>
                <w:sz w:val="14"/>
                <w:szCs w:val="14"/>
                <w:lang w:eastAsia="en-US"/>
              </w:rPr>
            </w:pPr>
          </w:p>
          <w:p w:rsidR="00A07BA1" w:rsidRPr="00A07BA1" w:rsidRDefault="00A07BA1" w:rsidP="00A07BA1">
            <w:pPr>
              <w:spacing w:after="240"/>
              <w:contextualSpacing/>
              <w:rPr>
                <w:rFonts w:ascii="Arial" w:hAnsi="Arial" w:cs="Arial"/>
                <w:kern w:val="2"/>
                <w:sz w:val="14"/>
                <w:szCs w:val="14"/>
                <w:lang w:eastAsia="en-US"/>
              </w:rPr>
            </w:pP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 xml:space="preserve">Ley de Ingresos del Estado de Oaxaca para el ejercicio fiscal 2016. </w:t>
            </w: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Ley que Regula las Casas de Empeño en el Estado</w:t>
            </w: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Reglas de Carácter General que facilitan el cumplimiento de las obligaciones fiscales a cargo de los contribuyentes de la Hacienda Pública Estatal, para el Ejercicio Fiscal 2015.</w:t>
            </w: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Acuerdo por el que se prorroga el plazo para realizar el pago y acceder al estímulo fiscal del Impuesto sobre Tenencia o Uso de Vehículos.</w:t>
            </w:r>
          </w:p>
          <w:p w:rsidR="00A07BA1" w:rsidRDefault="00A07BA1" w:rsidP="00A07BA1">
            <w:pPr>
              <w:spacing w:after="240"/>
              <w:contextualSpacing/>
              <w:rPr>
                <w:rFonts w:ascii="Arial" w:hAnsi="Arial" w:cs="Arial"/>
                <w:b/>
                <w:kern w:val="2"/>
                <w:sz w:val="14"/>
                <w:szCs w:val="14"/>
                <w:lang w:eastAsia="en-US"/>
              </w:rPr>
            </w:pPr>
          </w:p>
          <w:p w:rsidR="00461035" w:rsidRPr="00A07BA1" w:rsidRDefault="00461035" w:rsidP="00A07BA1">
            <w:pPr>
              <w:spacing w:after="240"/>
              <w:contextualSpacing/>
              <w:rPr>
                <w:rFonts w:ascii="Arial" w:hAnsi="Arial" w:cs="Arial"/>
                <w:b/>
                <w:kern w:val="2"/>
                <w:sz w:val="14"/>
                <w:szCs w:val="14"/>
                <w:lang w:eastAsia="en-US"/>
              </w:rPr>
            </w:pPr>
            <w:r w:rsidRPr="00A07BA1">
              <w:rPr>
                <w:rFonts w:ascii="Arial" w:hAnsi="Arial" w:cs="Arial"/>
                <w:b/>
                <w:kern w:val="2"/>
                <w:sz w:val="14"/>
                <w:szCs w:val="14"/>
                <w:lang w:eastAsia="en-US"/>
              </w:rPr>
              <w:t xml:space="preserve">Disposiciones que se reformaron: </w:t>
            </w:r>
          </w:p>
          <w:p w:rsidR="00461035" w:rsidRDefault="00461035" w:rsidP="00A07BA1">
            <w:pPr>
              <w:spacing w:after="240"/>
              <w:ind w:left="286" w:hanging="176"/>
              <w:contextualSpacing/>
              <w:rPr>
                <w:rFonts w:ascii="Arial" w:hAnsi="Arial" w:cs="Arial"/>
                <w:kern w:val="2"/>
                <w:sz w:val="14"/>
                <w:szCs w:val="14"/>
                <w:lang w:eastAsia="en-US"/>
              </w:rPr>
            </w:pPr>
          </w:p>
          <w:p w:rsidR="00A07BA1" w:rsidRDefault="00A07BA1" w:rsidP="00A07BA1">
            <w:pPr>
              <w:spacing w:after="240"/>
              <w:ind w:left="286" w:hanging="176"/>
              <w:contextualSpacing/>
              <w:rPr>
                <w:rFonts w:ascii="Arial" w:hAnsi="Arial" w:cs="Arial"/>
                <w:kern w:val="2"/>
                <w:sz w:val="14"/>
                <w:szCs w:val="14"/>
                <w:lang w:eastAsia="en-US"/>
              </w:rPr>
            </w:pPr>
          </w:p>
          <w:p w:rsidR="00A07BA1" w:rsidRDefault="00A07BA1" w:rsidP="00A07BA1">
            <w:pPr>
              <w:spacing w:after="240"/>
              <w:ind w:left="286" w:hanging="176"/>
              <w:contextualSpacing/>
              <w:rPr>
                <w:rFonts w:ascii="Arial" w:hAnsi="Arial" w:cs="Arial"/>
                <w:kern w:val="2"/>
                <w:sz w:val="14"/>
                <w:szCs w:val="14"/>
                <w:lang w:eastAsia="en-US"/>
              </w:rPr>
            </w:pPr>
          </w:p>
          <w:p w:rsidR="00A07BA1" w:rsidRDefault="00A07BA1" w:rsidP="00A07BA1">
            <w:pPr>
              <w:spacing w:after="240"/>
              <w:ind w:left="286" w:hanging="176"/>
              <w:contextualSpacing/>
              <w:rPr>
                <w:rFonts w:ascii="Arial" w:hAnsi="Arial" w:cs="Arial"/>
                <w:kern w:val="2"/>
                <w:sz w:val="14"/>
                <w:szCs w:val="14"/>
                <w:lang w:eastAsia="en-US"/>
              </w:rPr>
            </w:pPr>
          </w:p>
          <w:p w:rsidR="00A07BA1" w:rsidRDefault="00A07BA1" w:rsidP="00A07BA1">
            <w:pPr>
              <w:spacing w:after="240"/>
              <w:ind w:left="286" w:hanging="176"/>
              <w:contextualSpacing/>
              <w:rPr>
                <w:rFonts w:ascii="Arial" w:hAnsi="Arial" w:cs="Arial"/>
                <w:kern w:val="2"/>
                <w:sz w:val="14"/>
                <w:szCs w:val="14"/>
                <w:lang w:eastAsia="en-US"/>
              </w:rPr>
            </w:pPr>
          </w:p>
          <w:p w:rsidR="00A07BA1" w:rsidRPr="00A07BA1" w:rsidRDefault="00A07BA1" w:rsidP="00A07BA1">
            <w:pPr>
              <w:spacing w:after="240"/>
              <w:ind w:left="286" w:hanging="176"/>
              <w:contextualSpacing/>
              <w:rPr>
                <w:rFonts w:ascii="Arial" w:hAnsi="Arial" w:cs="Arial"/>
                <w:kern w:val="2"/>
                <w:sz w:val="14"/>
                <w:szCs w:val="14"/>
                <w:lang w:eastAsia="en-US"/>
              </w:rPr>
            </w:pP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Ley Estatal de Derechos</w:t>
            </w: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Ley Estatal de Hacienda.</w:t>
            </w:r>
          </w:p>
          <w:p w:rsidR="00461035" w:rsidRPr="00A07BA1" w:rsidRDefault="00461035" w:rsidP="004967F5">
            <w:pPr>
              <w:pStyle w:val="Prrafodelista"/>
              <w:numPr>
                <w:ilvl w:val="0"/>
                <w:numId w:val="9"/>
              </w:numPr>
              <w:tabs>
                <w:tab w:val="num" w:pos="284"/>
              </w:tabs>
              <w:spacing w:after="240"/>
              <w:ind w:left="286" w:hanging="176"/>
              <w:contextualSpacing/>
              <w:rPr>
                <w:rFonts w:ascii="Arial" w:hAnsi="Arial" w:cs="Arial"/>
                <w:kern w:val="2"/>
                <w:sz w:val="14"/>
                <w:szCs w:val="14"/>
                <w:lang w:eastAsia="en-US"/>
              </w:rPr>
            </w:pPr>
            <w:r w:rsidRPr="00A07BA1">
              <w:rPr>
                <w:rFonts w:ascii="Arial" w:hAnsi="Arial" w:cs="Arial"/>
                <w:kern w:val="2"/>
                <w:sz w:val="14"/>
                <w:szCs w:val="14"/>
                <w:lang w:eastAsia="en-US"/>
              </w:rPr>
              <w:t>Código Fiscal para el Estado de Oaxaca</w:t>
            </w:r>
          </w:p>
        </w:tc>
      </w:tr>
    </w:tbl>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A07BA1" w:rsidRDefault="00A07BA1">
      <w:pPr>
        <w:rPr>
          <w:rFonts w:ascii="Arial" w:hAnsi="Arial" w:cs="Arial"/>
          <w:b/>
          <w:kern w:val="2"/>
          <w:lang w:eastAsia="en-US"/>
        </w:rPr>
      </w:pPr>
      <w:r>
        <w:rPr>
          <w:rFonts w:ascii="Arial" w:hAnsi="Arial" w:cs="Arial"/>
          <w:b/>
          <w:kern w:val="2"/>
          <w:lang w:eastAsia="en-US"/>
        </w:rPr>
        <w:br w:type="page"/>
      </w:r>
    </w:p>
    <w:p w:rsidR="00461035" w:rsidRPr="00A07BA1"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w:t>
      </w:r>
      <w:r w:rsidR="00461035" w:rsidRPr="00A07BA1">
        <w:rPr>
          <w:rFonts w:ascii="Arial" w:hAnsi="Arial" w:cs="Arial"/>
          <w:b/>
          <w:kern w:val="2"/>
          <w:lang w:eastAsia="en-US"/>
        </w:rPr>
        <w:t>.2.- POLÍTICA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cumplimiento al Plan Estatal de Desarrollo de Oaxaca 2011-2016, la hacienda pública del estado se ha planteado como objetivo principal de la política tributaria, incrementar los ingresos totales del estado mediante el fortalecimiento de la hacienda pública local, que permita garantizar el financiamiento del desarrollo y crecimiento económico del estado.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presente año, han permanecido las acciones que permiten lograr la eficiencia recaudatoria con el apoyo de un marco normativo modernizado y la continuidad de mejoras tecnológicas que faciliten al contribuyente cumplir con sus obligaciones fiscales. Ejemplo de esto son el uso de canales de atención y recepción de pagos y la incorporación de mejores mecanismos de fiscalización para alcanzar objetivos establecidos, siempre dentro del marco de legalidad, eficiencia y eficacia.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Incrementar los ingresos propios del estado tiene dos grandes virtudes: la primera porque amplía en el corto plazo la capacidad del estado para la provisión de más bienes y servicios públicos para la población; la segunda porque en el mediano y largo plazo permite incrementar los ingresos, que por concepto de participaciones federales, recibirá nuestro estado a partir del efecto positivo que tiene sobre los coeficientes que determinan la repartición de dichos recursos entre todas las entidades del país; es decir, a mayor esfuerzo recaudatorio, el Estado se verá compensado con mayores recursos por concepto de Participaciones Federales.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resultados que se presentan en este informe de Cuenta Pública del primer trimestre del ejercicio fiscal 2016, reflejan cómo el fortalecer el sistema tributario ha permitido incrementar los ingresos del Estado y por consiguiente cumplir la meta establecida.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resultado obtenido, demuestra que cuando se trabaja con políticas públicas bien definidas, técnicamente solventes y guiadas bajo un cumplimiento estricto a las estrategias de un plan establecido, se pueden incrementar los ingresos propios.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A07BA1">
      <w:pPr>
        <w:spacing w:after="240"/>
        <w:contextualSpacing/>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F26BF7" w:rsidRDefault="00F26BF7" w:rsidP="00461035">
      <w:pPr>
        <w:spacing w:after="240"/>
        <w:contextualSpacing/>
        <w:jc w:val="both"/>
        <w:rPr>
          <w:rFonts w:ascii="Arial" w:hAnsi="Arial" w:cs="Arial"/>
          <w:kern w:val="2"/>
          <w:lang w:eastAsia="en-US"/>
        </w:rPr>
      </w:pPr>
    </w:p>
    <w:p w:rsidR="00F26BF7" w:rsidRDefault="00F26BF7" w:rsidP="00461035">
      <w:pPr>
        <w:spacing w:after="240"/>
        <w:contextualSpacing/>
        <w:jc w:val="both"/>
        <w:rPr>
          <w:rFonts w:ascii="Arial" w:hAnsi="Arial" w:cs="Arial"/>
          <w:kern w:val="2"/>
          <w:lang w:eastAsia="en-US"/>
        </w:rPr>
      </w:pPr>
    </w:p>
    <w:p w:rsidR="00F26BF7" w:rsidRDefault="00F26BF7" w:rsidP="00461035">
      <w:pPr>
        <w:spacing w:after="240"/>
        <w:contextualSpacing/>
        <w:jc w:val="both"/>
        <w:rPr>
          <w:rFonts w:ascii="Arial" w:hAnsi="Arial" w:cs="Arial"/>
          <w:kern w:val="2"/>
          <w:lang w:eastAsia="en-US"/>
        </w:rPr>
      </w:pPr>
      <w:r w:rsidRPr="00F26BF7">
        <w:rPr>
          <w:rFonts w:ascii="Arial" w:hAnsi="Arial" w:cs="Arial"/>
          <w:noProof/>
          <w:kern w:val="2"/>
          <w:lang w:val="es-MX" w:eastAsia="es-MX"/>
        </w:rPr>
        <w:drawing>
          <wp:inline distT="0" distB="0" distL="0" distR="0">
            <wp:extent cx="5882005" cy="2407652"/>
            <wp:effectExtent l="19050" t="19050" r="23495" b="11698"/>
            <wp:docPr id="254"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2407652"/>
                    </a:xfrm>
                    <a:prstGeom prst="rect">
                      <a:avLst/>
                    </a:prstGeom>
                    <a:noFill/>
                    <a:ln w="3175">
                      <a:solidFill>
                        <a:schemeClr val="tx1"/>
                      </a:solidFill>
                    </a:ln>
                  </pic:spPr>
                </pic:pic>
              </a:graphicData>
            </a:graphic>
          </wp:inline>
        </w:drawing>
      </w:r>
    </w:p>
    <w:p w:rsidR="00F26BF7" w:rsidRPr="00461035" w:rsidRDefault="00F26BF7"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logros alcanzados, derivan de la aplicación de la política recaudatoria, de establecer una mayor presencia fiscal a través de acciones de fiscalización y seguimiento al cumplimiento de obligaciones.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A07BA1" w:rsidRDefault="00A07BA1">
      <w:pPr>
        <w:rPr>
          <w:rFonts w:ascii="Arial" w:hAnsi="Arial" w:cs="Arial"/>
          <w:kern w:val="2"/>
          <w:lang w:eastAsia="en-US"/>
        </w:rPr>
      </w:pPr>
      <w:r>
        <w:rPr>
          <w:rFonts w:ascii="Arial" w:hAnsi="Arial" w:cs="Arial"/>
          <w:kern w:val="2"/>
          <w:lang w:eastAsia="en-US"/>
        </w:rPr>
        <w:br w:type="page"/>
      </w:r>
    </w:p>
    <w:p w:rsidR="00461035" w:rsidRPr="00472FFF"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3.2.1</w:t>
      </w:r>
      <w:r w:rsidR="00472FFF" w:rsidRPr="00472FFF">
        <w:rPr>
          <w:rFonts w:ascii="Arial" w:hAnsi="Arial" w:cs="Arial"/>
          <w:b/>
          <w:kern w:val="2"/>
          <w:lang w:eastAsia="en-US"/>
        </w:rPr>
        <w:t>.- ACCIONES DE FISCALIZACIÓN.</w:t>
      </w:r>
    </w:p>
    <w:p w:rsidR="00461035" w:rsidRPr="00461035" w:rsidRDefault="00461035" w:rsidP="00461035">
      <w:pPr>
        <w:spacing w:after="240"/>
        <w:contextualSpacing/>
        <w:jc w:val="both"/>
        <w:rPr>
          <w:rFonts w:ascii="Arial" w:hAnsi="Arial" w:cs="Arial"/>
          <w:kern w:val="2"/>
          <w:lang w:eastAsia="en-US"/>
        </w:rPr>
      </w:pPr>
    </w:p>
    <w:p w:rsidR="00461035" w:rsidRPr="00472FFF" w:rsidRDefault="00C97BDE" w:rsidP="00461035">
      <w:pPr>
        <w:spacing w:after="240"/>
        <w:contextualSpacing/>
        <w:jc w:val="both"/>
        <w:rPr>
          <w:rFonts w:ascii="Arial" w:hAnsi="Arial" w:cs="Arial"/>
          <w:b/>
          <w:kern w:val="2"/>
          <w:lang w:eastAsia="en-US"/>
        </w:rPr>
      </w:pPr>
      <w:r>
        <w:rPr>
          <w:rFonts w:ascii="Arial" w:hAnsi="Arial" w:cs="Arial"/>
          <w:b/>
          <w:kern w:val="2"/>
          <w:lang w:eastAsia="en-US"/>
        </w:rPr>
        <w:t>3.2.1.1</w:t>
      </w:r>
      <w:r w:rsidR="00472FFF" w:rsidRPr="00472FFF">
        <w:rPr>
          <w:rFonts w:ascii="Arial" w:hAnsi="Arial" w:cs="Arial"/>
          <w:b/>
          <w:kern w:val="2"/>
          <w:lang w:eastAsia="en-US"/>
        </w:rPr>
        <w:t>.- IMPUESTOS FEDERALES.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Con base en el Convenio de Colaboración Administrativa en Materia Fiscal Federal, durante el periodo enero a marzo de 2016 se realizaron 37 actos de fiscalización en las diversas regiones del Estado, profundizando con acciones sustantivas en los casos no corregidos derivado de acciones ágiles, logrando con ello un incremento en la percepción de riesgo de los contribuyentes incumplidos; además de estos actos, con la finalidad de combatir la evasión fiscal, en este trimestre se llevaron a cabo 8 casos de ejemplaridad, con las acciones antes señaladas se superó el número de acciones programadas para el periodo que se reporta, de acuerdo al Programa Operativo Anual.</w:t>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 </w:t>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anchor distT="0" distB="0" distL="114300" distR="114300" simplePos="0" relativeHeight="251660288" behindDoc="1" locked="0" layoutInCell="1" allowOverlap="1">
            <wp:simplePos x="0" y="0"/>
            <wp:positionH relativeFrom="column">
              <wp:posOffset>386080</wp:posOffset>
            </wp:positionH>
            <wp:positionV relativeFrom="paragraph">
              <wp:posOffset>1570194</wp:posOffset>
            </wp:positionV>
            <wp:extent cx="4899660" cy="3131185"/>
            <wp:effectExtent l="0" t="0" r="0" b="0"/>
            <wp:wrapNone/>
            <wp:docPr id="7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9660" cy="3131185"/>
                    </a:xfrm>
                    <a:prstGeom prst="rect">
                      <a:avLst/>
                    </a:prstGeom>
                    <a:noFill/>
                  </pic:spPr>
                </pic:pic>
              </a:graphicData>
            </a:graphic>
          </wp:anchor>
        </w:drawing>
      </w:r>
      <w:r w:rsidRPr="00461035">
        <w:rPr>
          <w:rFonts w:ascii="Arial" w:hAnsi="Arial" w:cs="Arial"/>
          <w:kern w:val="2"/>
          <w:lang w:eastAsia="en-US"/>
        </w:rPr>
        <w:t>En cuanto al número de actos de fiscalización realizados, hasta el ejercicio 2013 se tenía la tendencia de un incremento en relación al ejercicio anterior de la siguiente manera: para 2011 en 19 %, para 2012 en 45 % y para 2013 en un 76 %; sin embargo, a partir de los ejercicios 2014 y 2015, las nuevas directrices dictadas por el SAT se encaminaron a la realización de un número menor de acciones de fiscalización, pero logrando una mayor eficiencia operativa, lo cual conlleva a lograr un incremento en la recaudación, es por ello que para el ejercicio 2016 se estableció una meta de 241actos.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b/>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b/>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72FFF" w:rsidRDefault="00472FFF" w:rsidP="00461035">
      <w:pPr>
        <w:spacing w:after="240"/>
        <w:contextualSpacing/>
        <w:jc w:val="both"/>
        <w:rPr>
          <w:rFonts w:ascii="Arial" w:hAnsi="Arial" w:cs="Arial"/>
          <w:kern w:val="2"/>
          <w:lang w:eastAsia="en-US"/>
        </w:rPr>
      </w:pPr>
    </w:p>
    <w:p w:rsidR="00472FFF" w:rsidRDefault="00472FFF" w:rsidP="00461035">
      <w:pPr>
        <w:spacing w:after="240"/>
        <w:contextualSpacing/>
        <w:jc w:val="both"/>
        <w:rPr>
          <w:rFonts w:ascii="Arial" w:hAnsi="Arial" w:cs="Arial"/>
          <w:kern w:val="2"/>
          <w:lang w:eastAsia="en-US"/>
        </w:rPr>
      </w:pPr>
    </w:p>
    <w:p w:rsidR="00472FFF" w:rsidRDefault="00472FFF" w:rsidP="00461035">
      <w:pPr>
        <w:spacing w:after="240"/>
        <w:contextualSpacing/>
        <w:jc w:val="both"/>
        <w:rPr>
          <w:rFonts w:ascii="Arial" w:hAnsi="Arial" w:cs="Arial"/>
          <w:kern w:val="2"/>
          <w:lang w:eastAsia="en-US"/>
        </w:rPr>
      </w:pPr>
    </w:p>
    <w:p w:rsidR="00472FFF" w:rsidRDefault="00472FFF" w:rsidP="00461035">
      <w:pPr>
        <w:spacing w:after="240"/>
        <w:contextualSpacing/>
        <w:jc w:val="both"/>
        <w:rPr>
          <w:rFonts w:ascii="Arial" w:hAnsi="Arial" w:cs="Arial"/>
          <w:kern w:val="2"/>
          <w:lang w:eastAsia="en-US"/>
        </w:rPr>
      </w:pPr>
    </w:p>
    <w:p w:rsidR="00472FFF" w:rsidRDefault="00472FFF" w:rsidP="00461035">
      <w:pPr>
        <w:spacing w:after="240"/>
        <w:contextualSpacing/>
        <w:jc w:val="both"/>
        <w:rPr>
          <w:rFonts w:ascii="Arial" w:hAnsi="Arial" w:cs="Arial"/>
          <w:kern w:val="2"/>
          <w:lang w:eastAsia="en-US"/>
        </w:rPr>
      </w:pPr>
    </w:p>
    <w:p w:rsidR="00461035" w:rsidRPr="00472FFF" w:rsidRDefault="00C97BDE" w:rsidP="00461035">
      <w:pPr>
        <w:spacing w:after="240"/>
        <w:contextualSpacing/>
        <w:jc w:val="both"/>
        <w:rPr>
          <w:rFonts w:ascii="Arial" w:hAnsi="Arial" w:cs="Arial"/>
          <w:b/>
          <w:kern w:val="2"/>
          <w:lang w:eastAsia="en-US"/>
        </w:rPr>
      </w:pPr>
      <w:r>
        <w:rPr>
          <w:rFonts w:ascii="Arial" w:hAnsi="Arial" w:cs="Arial"/>
          <w:b/>
          <w:kern w:val="2"/>
          <w:lang w:eastAsia="en-US"/>
        </w:rPr>
        <w:t>3.2.1.2.-</w:t>
      </w:r>
      <w:r w:rsidR="00472FFF" w:rsidRPr="00472FFF">
        <w:rPr>
          <w:rFonts w:ascii="Arial" w:hAnsi="Arial" w:cs="Arial"/>
          <w:b/>
          <w:kern w:val="2"/>
          <w:lang w:eastAsia="en-US"/>
        </w:rPr>
        <w:t xml:space="preserve"> IMPUESTOS ESTATALES.</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lo que se refiere al POA Estatal, la meta anual para el ejercicio 2016 es de 25 actos de fiscalización, de los cuales al mes de marzo se han concluido 15 acciones, lográndose un avance del 60 por ciento respecto a la meta señalada</w:t>
      </w:r>
    </w:p>
    <w:p w:rsidR="00472FFF" w:rsidRDefault="00472FFF" w:rsidP="00461035">
      <w:pPr>
        <w:spacing w:after="240"/>
        <w:contextualSpacing/>
        <w:jc w:val="both"/>
        <w:rPr>
          <w:rFonts w:ascii="Arial" w:hAnsi="Arial" w:cs="Arial"/>
          <w:kern w:val="2"/>
          <w:lang w:eastAsia="en-US"/>
        </w:rPr>
      </w:pPr>
    </w:p>
    <w:p w:rsidR="00472FFF" w:rsidRPr="00461035" w:rsidRDefault="00472FFF"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72FFF">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4485735" cy="2622430"/>
            <wp:effectExtent l="0" t="0" r="0" b="6985"/>
            <wp:docPr id="71"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472FFF" w:rsidRPr="00461035" w:rsidRDefault="00472FFF"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72FFF" w:rsidRDefault="00472FFF">
      <w:pPr>
        <w:rPr>
          <w:rFonts w:ascii="Arial" w:hAnsi="Arial" w:cs="Arial"/>
          <w:kern w:val="2"/>
          <w:lang w:eastAsia="en-US"/>
        </w:rPr>
      </w:pPr>
      <w:r>
        <w:rPr>
          <w:rFonts w:ascii="Arial" w:hAnsi="Arial" w:cs="Arial"/>
          <w:kern w:val="2"/>
          <w:lang w:eastAsia="en-US"/>
        </w:rPr>
        <w:br w:type="page"/>
      </w:r>
    </w:p>
    <w:p w:rsidR="00461035" w:rsidRPr="00472FFF"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3.2.1.3.-</w:t>
      </w:r>
      <w:r w:rsidR="00472FFF" w:rsidRPr="00472FFF">
        <w:rPr>
          <w:rFonts w:ascii="Arial" w:hAnsi="Arial" w:cs="Arial"/>
          <w:b/>
          <w:kern w:val="2"/>
          <w:lang w:eastAsia="en-US"/>
        </w:rPr>
        <w:t xml:space="preserve"> CIFRAS COBRADAS.</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Como resultado de la actividad fiscalizadora en materia federal y estatal, se obtuvieron recursos económicos adicionales para nuestro Estado, lo que contribuye a sufragar el gasto público, la recaudación obtenida al mes de marzo del presente ejercicio es de $32,168,210.00, por concepto de cifras cobradas, correspondiendo a impuestos federales la cantidad de $30,613,770.00 y a impuestos Estatales $1,554,440.00, cantidades que en suma representan un 47 por ciento de avance respecto de la meta establecida en la Ley de Ingresos del Estado para el ejercicio 2016, en cantidad de $68,412,999.00</w:t>
      </w:r>
    </w:p>
    <w:p w:rsidR="00472FFF" w:rsidRDefault="00472FFF" w:rsidP="00461035">
      <w:pPr>
        <w:spacing w:after="240"/>
        <w:contextualSpacing/>
        <w:jc w:val="both"/>
        <w:rPr>
          <w:rFonts w:ascii="Arial" w:hAnsi="Arial" w:cs="Arial"/>
          <w:kern w:val="2"/>
          <w:lang w:eastAsia="en-US"/>
        </w:rPr>
      </w:pPr>
    </w:p>
    <w:p w:rsidR="00472FFF" w:rsidRDefault="00472FFF" w:rsidP="00461035">
      <w:pPr>
        <w:spacing w:after="240"/>
        <w:contextualSpacing/>
        <w:jc w:val="both"/>
        <w:rPr>
          <w:rFonts w:ascii="Arial" w:hAnsi="Arial" w:cs="Arial"/>
          <w:kern w:val="2"/>
          <w:lang w:eastAsia="en-US"/>
        </w:rPr>
      </w:pPr>
    </w:p>
    <w:p w:rsidR="00D2071E" w:rsidRDefault="00D2071E" w:rsidP="00461035">
      <w:pPr>
        <w:spacing w:after="240"/>
        <w:contextualSpacing/>
        <w:jc w:val="both"/>
        <w:rPr>
          <w:rFonts w:ascii="Arial" w:hAnsi="Arial" w:cs="Arial"/>
          <w:kern w:val="2"/>
          <w:lang w:eastAsia="en-US"/>
        </w:rPr>
      </w:pPr>
    </w:p>
    <w:p w:rsidR="00D2071E" w:rsidRDefault="00D2071E" w:rsidP="00461035">
      <w:pPr>
        <w:spacing w:after="240"/>
        <w:contextualSpacing/>
        <w:jc w:val="both"/>
        <w:rPr>
          <w:rFonts w:ascii="Arial" w:hAnsi="Arial" w:cs="Arial"/>
          <w:kern w:val="2"/>
          <w:lang w:eastAsia="en-US"/>
        </w:rPr>
      </w:pPr>
    </w:p>
    <w:p w:rsidR="00D2071E" w:rsidRPr="00461035" w:rsidRDefault="00D2071E"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both"/>
        <w:rPr>
          <w:rFonts w:ascii="Arial" w:hAnsi="Arial" w:cs="Arial"/>
          <w:kern w:val="2"/>
          <w:lang w:eastAsia="en-US"/>
        </w:rPr>
      </w:pPr>
      <w:r w:rsidRPr="000306A2">
        <w:rPr>
          <w:rFonts w:ascii="Arial" w:hAnsi="Arial" w:cs="Arial"/>
          <w:kern w:val="2"/>
          <w:lang w:eastAsia="en-US"/>
        </w:rPr>
        <w:pict>
          <v:group id="14 Grupo" o:spid="_x0000_s1088" style="position:absolute;left:0;text-align:left;margin-left:91.55pt;margin-top:-7.25pt;width:278.5pt;height:195.55pt;z-index:-251655168;mso-width-relative:margin;mso-height-relative:margin" coordorigin=",319" coordsize="45053,2786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Gráfico" o:spid="_x0000_s1089" type="#_x0000_t75" style="position:absolute;top:319;width:45038;height:278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">
              <v:imagedata r:id="rId24" o:title=""/>
              <o:lock v:ext="edit" aspectratio="f"/>
            </v:shape>
            <v:shape id="11 CuadroTexto" o:spid="_x0000_s1090" type="#_x0000_t202" style="position:absolute;left:4282;top:8036;width:9982;height:40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vW8QA&#10;AADbAAAADwAAAGRycy9kb3ducmV2LnhtbERPz2vCMBS+C/4P4Qm7jJnaDRnVKLIxGSjK3A47Pptn&#10;W21eShJr3V9vDgOPH9/v6bwztWjJ+cqygtEwAUGcW11xoeDn++PpFYQPyBpry6TgSh7ms35vipm2&#10;F/6idhcKEUPYZ6igDKHJpPR5SQb90DbEkTtYZzBE6AqpHV5iuKllmiRjabDi2FBiQ28l5afd2Sj4&#10;27q1TdP1crT/fa7a8P543Kw2Sj0MusUERKAu3MX/7k+t4CWOjV/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r1vEAAAA2wAAAA8AAAAAAAAAAAAAAAAAmAIAAGRycy9k&#10;b3ducmV2LnhtbFBLBQYAAAAABAAEAPUAAACJAwAAAAA=&#10;" filled="f" stroked="f">
              <v:textbox>
                <w:txbxContent>
                  <w:p w:rsidR="00B570C7" w:rsidRPr="00406742" w:rsidRDefault="00B570C7" w:rsidP="00461035">
                    <w:pPr>
                      <w:pStyle w:val="NormalWeb"/>
                      <w:spacing w:before="0" w:beforeAutospacing="0" w:after="0" w:afterAutospacing="0"/>
                      <w:rPr>
                        <w:b/>
                        <w:sz w:val="15"/>
                        <w:szCs w:val="15"/>
                      </w:rPr>
                    </w:pPr>
                    <w:r w:rsidRPr="00406742">
                      <w:rPr>
                        <w:rFonts w:asciiTheme="minorHAnsi" w:hAnsi="Calibri" w:cstheme="minorBidi"/>
                        <w:b/>
                        <w:color w:val="000000" w:themeColor="text1"/>
                        <w:sz w:val="15"/>
                        <w:szCs w:val="15"/>
                      </w:rPr>
                      <w:t>ESTATALES</w:t>
                    </w:r>
                  </w:p>
                  <w:p w:rsidR="00B570C7" w:rsidRPr="00406742" w:rsidRDefault="00B570C7" w:rsidP="00461035">
                    <w:pPr>
                      <w:pStyle w:val="NormalWeb"/>
                      <w:spacing w:before="0" w:beforeAutospacing="0" w:after="0" w:afterAutospacing="0"/>
                      <w:rPr>
                        <w:b/>
                        <w:sz w:val="15"/>
                        <w:szCs w:val="15"/>
                      </w:rPr>
                    </w:pPr>
                    <w:r w:rsidRPr="00406742">
                      <w:rPr>
                        <w:rFonts w:asciiTheme="minorHAnsi" w:hAnsi="Calibri" w:cstheme="minorBidi"/>
                        <w:b/>
                        <w:color w:val="000000" w:themeColor="text1"/>
                        <w:sz w:val="15"/>
                        <w:szCs w:val="15"/>
                      </w:rPr>
                      <w:t>$ 1, 554,440.00</w:t>
                    </w:r>
                  </w:p>
                </w:txbxContent>
              </v:textbox>
            </v:shape>
            <v:shape id="12 CuadroTexto" o:spid="_x0000_s1091" type="#_x0000_t202" style="position:absolute;left:2263;top:13720;width:10321;height:43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wMcA&#10;AADbAAAADwAAAGRycy9kb3ducmV2LnhtbESPQWvCQBSE74X+h+UJvYhujFJsdJXSUikoiraHHp/Z&#10;Z5I2+zbsbmPaX+8WhB6HmfmGmS87U4uWnK8sKxgNExDEudUVFwre314GUxA+IGusLZOCH/KwXNze&#10;zDHT9sx7ag+hEBHCPkMFZQhNJqXPSzLoh7Yhjt7JOoMhSldI7fAc4aaWaZLcS4MVx4USG3oqKf86&#10;fBsFvzu3sWm6WY2OH+OqDc/9z+16q9Rdr3ucgQjUhf/wtf2qFUwe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CsDHAAAA2wAAAA8AAAAAAAAAAAAAAAAAmAIAAGRy&#10;cy9kb3ducmV2LnhtbFBLBQYAAAAABAAEAPUAAACMAwAAAAA=&#10;" filled="f" stroked="f">
              <v:textbox>
                <w:txbxContent>
                  <w:p w:rsidR="00B570C7" w:rsidRPr="00406742" w:rsidRDefault="00B570C7" w:rsidP="00461035">
                    <w:pPr>
                      <w:pStyle w:val="NormalWeb"/>
                      <w:spacing w:before="0" w:beforeAutospacing="0" w:after="0" w:afterAutospacing="0"/>
                      <w:rPr>
                        <w:b/>
                        <w:sz w:val="15"/>
                        <w:szCs w:val="15"/>
                      </w:rPr>
                    </w:pPr>
                    <w:r w:rsidRPr="00406742">
                      <w:rPr>
                        <w:rFonts w:asciiTheme="minorHAnsi" w:hAnsi="Calibri" w:cstheme="minorBidi"/>
                        <w:b/>
                        <w:color w:val="000000" w:themeColor="text1"/>
                        <w:sz w:val="15"/>
                        <w:szCs w:val="15"/>
                      </w:rPr>
                      <w:t>FEDERALES</w:t>
                    </w:r>
                  </w:p>
                  <w:p w:rsidR="00B570C7" w:rsidRPr="00406742" w:rsidRDefault="00B570C7" w:rsidP="00461035">
                    <w:pPr>
                      <w:pStyle w:val="NormalWeb"/>
                      <w:spacing w:before="0" w:beforeAutospacing="0" w:after="0" w:afterAutospacing="0"/>
                      <w:rPr>
                        <w:b/>
                        <w:sz w:val="15"/>
                        <w:szCs w:val="15"/>
                      </w:rPr>
                    </w:pPr>
                    <w:r w:rsidRPr="00406742">
                      <w:rPr>
                        <w:rFonts w:asciiTheme="minorHAnsi" w:hAnsi="Calibri" w:cstheme="minorBidi"/>
                        <w:b/>
                        <w:color w:val="000000" w:themeColor="text1"/>
                        <w:sz w:val="15"/>
                        <w:szCs w:val="15"/>
                      </w:rPr>
                      <w:t>$30, 613,770.00</w:t>
                    </w:r>
                  </w:p>
                </w:txbxContent>
              </v:textbox>
            </v:shape>
            <v:shape id="13 CuadroTexto" o:spid="_x0000_s1092" type="#_x0000_t202" style="position:absolute;left:27209;top:1898;width:16345;height:2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B570C7" w:rsidRPr="00406742" w:rsidRDefault="00B570C7" w:rsidP="00461035">
                    <w:pPr>
                      <w:pStyle w:val="NormalWeb"/>
                      <w:spacing w:before="0" w:beforeAutospacing="0" w:after="0" w:afterAutospacing="0"/>
                      <w:rPr>
                        <w:b/>
                        <w:sz w:val="15"/>
                        <w:szCs w:val="15"/>
                      </w:rPr>
                    </w:pPr>
                    <w:r w:rsidRPr="00406742">
                      <w:rPr>
                        <w:rFonts w:asciiTheme="minorHAnsi" w:hAnsi="Calibri" w:cstheme="minorBidi"/>
                        <w:b/>
                        <w:color w:val="000000" w:themeColor="text1"/>
                        <w:sz w:val="15"/>
                        <w:szCs w:val="15"/>
                      </w:rPr>
                      <w:t>$68</w:t>
                    </w:r>
                    <w:r>
                      <w:rPr>
                        <w:rFonts w:asciiTheme="minorHAnsi" w:hAnsi="Calibri" w:cstheme="minorBidi"/>
                        <w:b/>
                        <w:color w:val="000000" w:themeColor="text1"/>
                        <w:sz w:val="15"/>
                        <w:szCs w:val="15"/>
                      </w:rPr>
                      <w:t>,</w:t>
                    </w:r>
                    <w:r w:rsidRPr="00406742">
                      <w:rPr>
                        <w:rFonts w:asciiTheme="minorHAnsi" w:hAnsi="Calibri" w:cstheme="minorBidi"/>
                        <w:b/>
                        <w:color w:val="000000" w:themeColor="text1"/>
                        <w:sz w:val="15"/>
                        <w:szCs w:val="15"/>
                      </w:rPr>
                      <w:t>412,999.00</w:t>
                    </w:r>
                  </w:p>
                </w:txbxContent>
              </v:textbox>
            </v:shape>
          </v:group>
        </w:pic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D2071E" w:rsidRDefault="00D2071E">
      <w:pPr>
        <w:rPr>
          <w:rFonts w:ascii="Arial" w:hAnsi="Arial" w:cs="Arial"/>
          <w:kern w:val="2"/>
          <w:lang w:eastAsia="en-US"/>
        </w:rPr>
      </w:pPr>
      <w:r>
        <w:rPr>
          <w:rFonts w:ascii="Arial" w:hAnsi="Arial" w:cs="Arial"/>
          <w:kern w:val="2"/>
          <w:lang w:eastAsia="en-US"/>
        </w:rPr>
        <w:br w:type="page"/>
      </w:r>
    </w:p>
    <w:p w:rsidR="00461035" w:rsidRPr="00D2071E"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3.2.1.4.-</w:t>
      </w:r>
      <w:r w:rsidR="00D2071E" w:rsidRPr="00472FFF">
        <w:rPr>
          <w:rFonts w:ascii="Arial" w:hAnsi="Arial" w:cs="Arial"/>
          <w:b/>
          <w:kern w:val="2"/>
          <w:lang w:eastAsia="en-US"/>
        </w:rPr>
        <w:t xml:space="preserve"> </w:t>
      </w:r>
      <w:r w:rsidR="00D2071E" w:rsidRPr="00D2071E">
        <w:rPr>
          <w:rFonts w:ascii="Arial" w:hAnsi="Arial" w:cs="Arial"/>
          <w:b/>
          <w:kern w:val="2"/>
          <w:lang w:eastAsia="en-US"/>
        </w:rPr>
        <w:t>CIFRAS VIRTUALES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Como se señaló en el punto anterior, con la actividad fiscalizadora el Estado obtiene recursos económicos adicionales, en este sentido, además de las cifras cobradas ya referidas, al mes de marzo se han determinado cifras virtuales en cantidad de $2,796,457.00, cabe señalar que a través del Programa Operativo Anual 2016 se tiene establecida una meta al mes de marzo de $5</w:t>
      </w:r>
      <w:r w:rsidR="00F26BF7">
        <w:rPr>
          <w:rFonts w:ascii="Arial" w:hAnsi="Arial" w:cs="Arial"/>
          <w:kern w:val="2"/>
          <w:lang w:eastAsia="en-US"/>
        </w:rPr>
        <w:t>,</w:t>
      </w:r>
      <w:r w:rsidRPr="00461035">
        <w:rPr>
          <w:rFonts w:ascii="Arial" w:hAnsi="Arial" w:cs="Arial"/>
          <w:kern w:val="2"/>
          <w:lang w:eastAsia="en-US"/>
        </w:rPr>
        <w:t>673,000.00 y una meta anual de $28</w:t>
      </w:r>
      <w:r w:rsidR="00F26BF7">
        <w:rPr>
          <w:rFonts w:ascii="Arial" w:hAnsi="Arial" w:cs="Arial"/>
          <w:kern w:val="2"/>
          <w:lang w:eastAsia="en-US"/>
        </w:rPr>
        <w:t>,</w:t>
      </w:r>
      <w:r w:rsidRPr="00461035">
        <w:rPr>
          <w:rFonts w:ascii="Arial" w:hAnsi="Arial" w:cs="Arial"/>
          <w:kern w:val="2"/>
          <w:lang w:eastAsia="en-US"/>
        </w:rPr>
        <w:t xml:space="preserve">800,000.00 lográndose un avance  al mes de marzo del 49.3 % y un avance respecto de la meta anual del 9.71 %, como se muestra a continuación, cabe destacar que la importancia que tiene la determinación de estas cifras con motivo de los actos de fiscalización,  es que las mismas sirven de base para que el Estado se allegue de recursos a través de participaciones federales en el Fondo de Fiscalización y Recaudación: </w:t>
      </w:r>
    </w:p>
    <w:p w:rsidR="00D2071E" w:rsidRDefault="00D2071E" w:rsidP="00461035">
      <w:pPr>
        <w:spacing w:after="240"/>
        <w:contextualSpacing/>
        <w:jc w:val="both"/>
        <w:rPr>
          <w:rFonts w:ascii="Arial" w:hAnsi="Arial" w:cs="Arial"/>
          <w:kern w:val="2"/>
          <w:lang w:eastAsia="en-US"/>
        </w:rPr>
      </w:pPr>
    </w:p>
    <w:p w:rsidR="00D2071E" w:rsidRDefault="00D2071E" w:rsidP="00461035">
      <w:pPr>
        <w:spacing w:after="240"/>
        <w:contextualSpacing/>
        <w:jc w:val="both"/>
        <w:rPr>
          <w:rFonts w:ascii="Arial" w:hAnsi="Arial" w:cs="Arial"/>
          <w:kern w:val="2"/>
          <w:lang w:eastAsia="en-US"/>
        </w:rPr>
      </w:pPr>
    </w:p>
    <w:p w:rsidR="00D2071E" w:rsidRDefault="00D2071E" w:rsidP="00461035">
      <w:pPr>
        <w:spacing w:after="240"/>
        <w:contextualSpacing/>
        <w:jc w:val="both"/>
        <w:rPr>
          <w:rFonts w:ascii="Arial" w:hAnsi="Arial" w:cs="Arial"/>
          <w:kern w:val="2"/>
          <w:lang w:eastAsia="en-US"/>
        </w:rPr>
      </w:pPr>
    </w:p>
    <w:p w:rsidR="00D2071E" w:rsidRDefault="00D2071E" w:rsidP="00461035">
      <w:pPr>
        <w:spacing w:after="240"/>
        <w:contextualSpacing/>
        <w:jc w:val="both"/>
        <w:rPr>
          <w:rFonts w:ascii="Arial" w:hAnsi="Arial" w:cs="Arial"/>
          <w:kern w:val="2"/>
          <w:lang w:eastAsia="en-US"/>
        </w:rPr>
      </w:pPr>
    </w:p>
    <w:p w:rsidR="00D2071E" w:rsidRDefault="00D2071E"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anchor distT="0" distB="0" distL="114300" distR="114300" simplePos="0" relativeHeight="251662336" behindDoc="1" locked="0" layoutInCell="1" allowOverlap="1">
            <wp:simplePos x="0" y="0"/>
            <wp:positionH relativeFrom="column">
              <wp:posOffset>1110615</wp:posOffset>
            </wp:positionH>
            <wp:positionV relativeFrom="paragraph">
              <wp:posOffset>87630</wp:posOffset>
            </wp:positionV>
            <wp:extent cx="3838575" cy="2164715"/>
            <wp:effectExtent l="0" t="0" r="0" b="6985"/>
            <wp:wrapNone/>
            <wp:docPr id="72" name="Gráfico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br w:type="page"/>
      </w:r>
    </w:p>
    <w:p w:rsidR="00461035" w:rsidRPr="00D2071E"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3.2.2</w:t>
      </w:r>
      <w:r w:rsidR="00D2071E" w:rsidRPr="00D2071E">
        <w:rPr>
          <w:rFonts w:ascii="Arial" w:hAnsi="Arial" w:cs="Arial"/>
          <w:b/>
          <w:kern w:val="2"/>
          <w:lang w:eastAsia="en-US"/>
        </w:rPr>
        <w:t>.- ESTÍMULOS FISCALES</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Uno de los ejes de la política tributaria, ha sido la de otorgar beneficios al contribuyente cumplido. En tal sentido, en el paquete fiscal 2016, se establecieron los siguientes estímulos fiscales para el pago del Impuesto Sobre Tenencia y/o uso de vehículos:</w:t>
      </w:r>
    </w:p>
    <w:p w:rsidR="00D2071E" w:rsidRPr="00461035" w:rsidRDefault="00D2071E"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 los propietarios y/o tenedores de vehículos de hasta nueve años modelo anterior, considerando el valor total del vehículo con el factor de depreciación que se establece en la Ley Estatal de Hacienda por tipo y servicio del vehículo pagaran $1.00 o el 50 por ciento del impuesto determinado de acuerdo a lo establecido en la Ley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Así mismo para los propietarios de vehículos del servicio privado de 10 o más años de antigüedad, se estableció el beneficio para el pago de un peso.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Para vehículos de hasta quince pasajeros enajenados por primera vez al consumidor por el fabricante, ensamblador, distribuidor o comerciales en el ramo de vehículos, se pagará un peso o el 50 por ciento del impuesto de acuerdo a establecido en la Ley de Ingresos del Estado.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Se otorga un estímulo fiscal del 50 por ciento en el pago del Impuesto de los últimos 10 ejercicios fiscales, y del ejercicio actual a quienes tengan adeudos por el citado impuesto.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Se exime del pago de este Impuesto y Derechos Vehiculares relacionados que correspondan, a los propietarios y/o tenedores de vehículos que no hayan realizado el trámite de baja por pérdida total por robo o siniestro en los ejercicios fiscales 2011 al 2016, según corresponda, considerando el ejercicio fiscal inmediato posterior en el que ocurrió lo antes señalado.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Además, para los contribuyentes propietarios o tenedores de vehículos, se otorga el 50 por ciento en el pago por derecho de verificación de emisiones a la atmosfera correspondiente al primer semestre del ejercicio 2016.</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Adicionalmente a los ya mencionados se estableció el estímulo fiscal del 100 por ciento sobre las actualizaciones y recargos derivados del Impuesto sobre Tenencia o Uso de Vehículos Federal y Estatal; Impuesto sobre Enajenación de Vehículos Usados, Impuesto sobre Adquisición de Vehículos Usados y derechos vehiculares relacionados de los últimos diez años y del ejercicio actual.</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Para facilitar el pago a los contribuyentes, se implementó el programa de pago a tres y seis meses sin intereses con tarjeta de crédito con diversas instituciones bancarias.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Por otra parte, tratándose de personas adultas mayores, se les otorga en el presente ejercicio el descuento del 50 por ciento de la tarifa establecida, a los que soliciten la expedición de licencias de manejo a que se refiere el artículo 42 de la Ley Estatal de Derechos.</w:t>
      </w: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Como resultado de los estímulos establecidos, en el periodo de enero a marzo de 2016, se observó un buen comportamiento en el cumplimiento de pago del Impuesto sobre Tenencia y/o Uso de Vehículos,  toda vez que se recibieron  151,157 pagos.</w:t>
      </w:r>
    </w:p>
    <w:p w:rsidR="00D2071E" w:rsidRDefault="00D2071E" w:rsidP="00461035">
      <w:pPr>
        <w:spacing w:after="240"/>
        <w:contextualSpacing/>
        <w:jc w:val="both"/>
        <w:rPr>
          <w:rFonts w:ascii="Arial" w:hAnsi="Arial" w:cs="Arial"/>
          <w:kern w:val="2"/>
          <w:lang w:eastAsia="en-US"/>
        </w:rPr>
      </w:pPr>
    </w:p>
    <w:p w:rsidR="00D2071E" w:rsidRPr="00461035" w:rsidRDefault="00D2071E" w:rsidP="00461035">
      <w:pPr>
        <w:spacing w:after="240"/>
        <w:contextualSpacing/>
        <w:jc w:val="both"/>
        <w:rPr>
          <w:rFonts w:ascii="Arial" w:hAnsi="Arial" w:cs="Arial"/>
          <w:kern w:val="2"/>
          <w:lang w:eastAsia="en-US"/>
        </w:rPr>
      </w:pPr>
    </w:p>
    <w:p w:rsidR="00461035" w:rsidRPr="00461035" w:rsidRDefault="000306A2" w:rsidP="00461035">
      <w:pPr>
        <w:spacing w:after="240"/>
        <w:contextualSpacing/>
        <w:jc w:val="both"/>
        <w:rPr>
          <w:rFonts w:ascii="Arial" w:hAnsi="Arial" w:cs="Arial"/>
          <w:kern w:val="2"/>
          <w:lang w:eastAsia="en-US"/>
        </w:rPr>
      </w:pPr>
      <w:r w:rsidRPr="000306A2">
        <w:rPr>
          <w:rFonts w:ascii="Arial" w:hAnsi="Arial" w:cs="Arial"/>
          <w:kern w:val="2"/>
          <w:lang w:eastAsia="en-US"/>
        </w:rPr>
        <w:pict>
          <v:group id="4 Grupo" o:spid="_x0000_s1107" style="position:absolute;left:0;text-align:left;margin-left:9.35pt;margin-top:8.75pt;width:440.45pt;height:321.25pt;z-index:251679744;mso-width-relative:margin;mso-height-relative:margin" coordorigin="-1578" coordsize="60198,4391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">
            <v:shape id="1 Gráfico" o:spid="_x0000_s1108" type="#_x0000_t75" style="position:absolute;left:-1643;top:-65;width:60354;height:440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">
              <v:imagedata r:id="rId26" o:title=""/>
              <o:lock v:ext="edit" aspectratio="f"/>
            </v:shape>
            <v:shape id="3 CuadroTexto" o:spid="_x0000_s1109" type="#_x0000_t202" style="position:absolute;left:6159;top:39433;width:30268;height:2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qasQA&#10;AADbAAAADwAAAGRycy9kb3ducmV2LnhtbESPQUvDQBCF70L/wzIFL2InehBNuy3SIlg9SFMPHofs&#10;NBvMzobsNo3/3jkI3mZ4b977ZrWZQmdGHlIbxcLdogDDUkfXSmPh8/hy+wgmZRJHXRS28MMJNuvZ&#10;1YpKFy9y4LHKjdEQSSVZ8Dn3JWKqPQdKi9izqHaKQ6Cs69CgG+ii4aHD+6J4wECtaIOnnree6+/q&#10;HCzs6GaqCr//OtTvT284nvGI+w9rr+fT8xJM5in/m/+uX53iK73+og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76mrEAAAA2wAAAA8AAAAAAAAAAAAAAAAAmAIAAGRycy9k&#10;b3ducmV2LnhtbFBLBQYAAAAABAAEAPUAAACJAwAAAAA=&#10;" fillcolor="window" stroked="f">
              <v:textbox>
                <w:txbxContent>
                  <w:p w:rsidR="00B570C7" w:rsidRDefault="00B570C7" w:rsidP="00461035">
                    <w:pPr>
                      <w:pStyle w:val="NormalWeb"/>
                      <w:spacing w:before="0" w:beforeAutospacing="0" w:after="0" w:afterAutospacing="0"/>
                    </w:pPr>
                    <w:r>
                      <w:rPr>
                        <w:rFonts w:asciiTheme="minorHAnsi" w:hAnsi="Calibri" w:cstheme="minorBidi"/>
                        <w:color w:val="000000" w:themeColor="dark1"/>
                        <w:sz w:val="22"/>
                        <w:szCs w:val="22"/>
                      </w:rPr>
                      <w:t>* Cifras al  31 de marzo de 2016</w:t>
                    </w:r>
                  </w:p>
                </w:txbxContent>
              </v:textbox>
            </v:shape>
          </v:group>
        </w:pic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br w:type="page"/>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Así mismo, durante los meses enero - marzo del ejercicio 2016, se reflejó un ligero crecimiento respecto al cierre del ejercicio 2015 del 1 por ciento en el padrón vehicular, por lo tanto al mes de marzo se tienen registrados 519,880 vehículos. (Automóvil, camión, camioneta, motocicleta y ómnibus-autobús).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D2071E">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5391509" cy="3478394"/>
            <wp:effectExtent l="0" t="0" r="19050" b="27305"/>
            <wp:docPr id="7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caso del Impuesto sobre Erogaciones por Remuneraciones al Trabajo Personal, se consideró un estímulo a las micro, pequeñas y medianas empresas que se encuentren al corriente con sus obligaciones y también a las empresas de nueva creación.</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Así mismo las personas físicas, morales o unidades económicas sujetas al pago del Impuesto antes señalado fueron beneficiados con un estímulo fiscal del 100 por ciento respecto a los accesorios derivados de dicho Impuesto.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Durante el primer trimestre del ejercicio fiscal 2016 se amplió el universo de personas físicas, morales y unidades económicas registradas en el padrón  fiscal, logrando un incremento del Padrón Estatal de Contribuyentes de dicho impuesto de en un 4.1% respecto al ejercicio 2015.</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D2071E">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4925683" cy="3475628"/>
            <wp:effectExtent l="0" t="0" r="8890" b="0"/>
            <wp:docPr id="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6649" cy="3476310"/>
                    </a:xfrm>
                    <a:prstGeom prst="rect">
                      <a:avLst/>
                    </a:prstGeom>
                    <a:noFill/>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Derivado de lo anterior, se tiene que, de 3,571 empresas registradas en el padrón estatal del Impuesto Sobre Nóminas en el año 2011, para el primer trimestre del ejercicio fiscal 2016 esta cifra se incrementó a 8,665 contribuyentes, lo que representa un incremento acumulado de más de 100 por ciento en el lapso de cinco años de la presente administración.</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Al primer trimestre del ejercicio fiscal 2016 se otorgaron incentivos y condonaciones por la cantidad de 130 millones 77 mil pesos, las cuales se integran de: estímulos fiscales para el pago por concepto del Impuesto Sobre Tenencia o Uso de Vehículos, Impuesto Sobre Erogaciones por Remuneraciones al Trabajo Personal e Impuesto para el Desarrollo Social y sus accesorios por 80 millones 680 mil pesos; por concepto de Derechos, accesorios de derechos y aprovechamientos se otorgaron estímulos por  49 millones 396 mil pesos.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inline distT="0" distB="0" distL="0" distR="0">
            <wp:extent cx="5882005" cy="6422347"/>
            <wp:effectExtent l="0" t="0" r="4445" b="0"/>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6422347"/>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1D054B" w:rsidRDefault="00C97BDE" w:rsidP="00461035">
      <w:pPr>
        <w:spacing w:after="240"/>
        <w:contextualSpacing/>
        <w:jc w:val="both"/>
        <w:rPr>
          <w:rFonts w:ascii="Arial" w:hAnsi="Arial" w:cs="Arial"/>
          <w:b/>
          <w:kern w:val="2"/>
          <w:lang w:eastAsia="en-US"/>
        </w:rPr>
      </w:pPr>
      <w:r>
        <w:rPr>
          <w:rFonts w:ascii="Arial" w:hAnsi="Arial" w:cs="Arial"/>
          <w:b/>
          <w:kern w:val="2"/>
          <w:lang w:eastAsia="en-US"/>
        </w:rPr>
        <w:t>3</w:t>
      </w:r>
      <w:r w:rsidR="001D054B" w:rsidRPr="00D2071E">
        <w:rPr>
          <w:rFonts w:ascii="Arial" w:hAnsi="Arial" w:cs="Arial"/>
          <w:b/>
          <w:kern w:val="2"/>
          <w:lang w:eastAsia="en-US"/>
        </w:rPr>
        <w:t>.2.</w:t>
      </w:r>
      <w:r w:rsidR="001D054B">
        <w:rPr>
          <w:rFonts w:ascii="Arial" w:hAnsi="Arial" w:cs="Arial"/>
          <w:b/>
          <w:kern w:val="2"/>
          <w:lang w:eastAsia="en-US"/>
        </w:rPr>
        <w:t>3</w:t>
      </w:r>
      <w:r w:rsidR="001D054B" w:rsidRPr="00D2071E">
        <w:rPr>
          <w:rFonts w:ascii="Arial" w:hAnsi="Arial" w:cs="Arial"/>
          <w:b/>
          <w:kern w:val="2"/>
          <w:lang w:eastAsia="en-US"/>
        </w:rPr>
        <w:t xml:space="preserve">.- </w:t>
      </w:r>
      <w:r w:rsidR="001D054B" w:rsidRPr="001D054B">
        <w:rPr>
          <w:rFonts w:ascii="Arial" w:hAnsi="Arial" w:cs="Arial"/>
          <w:b/>
          <w:kern w:val="2"/>
          <w:lang w:eastAsia="en-US"/>
        </w:rPr>
        <w:t xml:space="preserve">FACILIDADES ADMINISTRATIVAS Y PROCESO DE MODERNIZACIÓN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Una de las prioridades de la actual administración es el rediseño administrativo y tecnológico, la mejora continua de los servicios que permitan a los contribuyentes contar con más canales de atención y recepción de pagos para el cumplimiento oportuno de sus obligaciones fiscales.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De las acciones realizadas en el periodo enero- marzo de 2016, se obtuvieron los resultados siguientes: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último semestre del ejercicio fiscal 2015, la Secretaría de Finanzas inicio con el desarrollo de un nuevo sistema tributario denominado Sistema de Ingresos de Oaxaca (SIOX),  con dicho sistema se pretende obtener una nueva plataforma que permite integrar diversos procesos tributarios como son: la recaudación, registro de contribuyentes, declaraciones y pagos, control de obligaciones, entre otros. Esta herramienta electrónica  entre otras funciones, hace posible que todas las dependencias incluidas en la Ley Estatal de Derechos puedan agilizar la prestación de sus servicios, generando líneas de captura para que una vez realizado el pago, permita al contribuyente terminar sus trámites en el mismo día.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sistema SIOX cuenta con cinco módulos. El primero de ellos, se liberó en el mes de enero del presente ejercicio, y se encuentra funcionando al 100%, incluye mecanismos de control innovadores en el cobro de contribuciones, permite la recaudación de los ingresos contenidos en la Ley Estatal de Derechos y armoniza la contabilidad de los ingresos para que cumplan con las normas establecidas por la Ley General de Contabilidad y el CONAC.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Así mismo, se estima que los cuatros módulos restantes estarán concluidos en el tercer trimestre del ejercicio 2016, los cuales estarán enfocados a la reestructuración de los padrones fiscales, para el debido cobro y gestión de los impuestos estatales, federales coordinados e impuestos y derechos vehiculares.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La visión de esta tecnología desarrollada en la Secretaría de Finanzas, es contar con un sistema de ingresos que integre todas las funciones que intervienen en el proceso recaudatorio y que además permita dar cumplimiento a las disposiciones legales actualizadas en la presente administración estatal y  también a las disposiciones de carácter federal aplicables.</w:t>
      </w:r>
    </w:p>
    <w:p w:rsidR="00461035" w:rsidRPr="00461035" w:rsidRDefault="00461035" w:rsidP="00461035">
      <w:pPr>
        <w:spacing w:after="240"/>
        <w:contextualSpacing/>
        <w:jc w:val="both"/>
        <w:rPr>
          <w:rFonts w:ascii="Arial" w:hAnsi="Arial" w:cs="Arial"/>
          <w:kern w:val="2"/>
          <w:lang w:eastAsia="en-US"/>
        </w:rPr>
      </w:pPr>
    </w:p>
    <w:p w:rsidR="00F26BF7" w:rsidRDefault="00F26BF7" w:rsidP="00461035">
      <w:pPr>
        <w:spacing w:after="240"/>
        <w:contextualSpacing/>
        <w:jc w:val="both"/>
        <w:rPr>
          <w:rFonts w:ascii="Arial" w:hAnsi="Arial" w:cs="Arial"/>
          <w:kern w:val="2"/>
          <w:lang w:eastAsia="en-US"/>
        </w:rPr>
      </w:pPr>
    </w:p>
    <w:p w:rsidR="00F26BF7" w:rsidRDefault="00F26BF7"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En la bancarización uno de los procesos más sólidos de la política de modernización de la hacienda pública local,  se observa que la captación de ingresos a través de las instituciones bancarias representa aproximadamente el 94% respecto al total de los ingresos que recauda el Gobierno del Estado.</w:t>
      </w:r>
    </w:p>
    <w:p w:rsidR="001D054B" w:rsidRDefault="001D054B" w:rsidP="00461035">
      <w:pPr>
        <w:spacing w:after="240"/>
        <w:contextualSpacing/>
        <w:jc w:val="both"/>
        <w:rPr>
          <w:rFonts w:ascii="Arial" w:hAnsi="Arial" w:cs="Arial"/>
          <w:kern w:val="2"/>
          <w:lang w:eastAsia="en-US"/>
        </w:rPr>
      </w:pPr>
    </w:p>
    <w:p w:rsidR="001D054B" w:rsidRDefault="001D054B" w:rsidP="00461035">
      <w:pPr>
        <w:spacing w:after="240"/>
        <w:contextualSpacing/>
        <w:jc w:val="both"/>
        <w:rPr>
          <w:rFonts w:ascii="Arial" w:hAnsi="Arial" w:cs="Arial"/>
          <w:kern w:val="2"/>
          <w:lang w:eastAsia="en-US"/>
        </w:rPr>
      </w:pPr>
    </w:p>
    <w:p w:rsidR="001D054B" w:rsidRPr="00461035" w:rsidRDefault="001D054B"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anchor distT="0" distB="0" distL="114300" distR="114300" simplePos="0" relativeHeight="251677696" behindDoc="1" locked="0" layoutInCell="1" allowOverlap="1">
            <wp:simplePos x="0" y="0"/>
            <wp:positionH relativeFrom="column">
              <wp:posOffset>545465</wp:posOffset>
            </wp:positionH>
            <wp:positionV relativeFrom="paragraph">
              <wp:posOffset>108585</wp:posOffset>
            </wp:positionV>
            <wp:extent cx="4804410" cy="3971925"/>
            <wp:effectExtent l="19050" t="0" r="0" b="0"/>
            <wp:wrapNone/>
            <wp:docPr id="76"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4410" cy="3971925"/>
                    </a:xfrm>
                    <a:prstGeom prst="rect">
                      <a:avLst/>
                    </a:prstGeom>
                    <a:noFill/>
                  </pic:spPr>
                </pic:pic>
              </a:graphicData>
            </a:graphic>
          </wp:anchor>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br w:type="page"/>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El portal de internet de la Secretaría de Finanzas, ofrece el servicio de pago en línea de importantes contribuciones como la Tenencia, el Impuesto Sobre Erogaciones por Remuneraciones al Trabajo Personal, el IEPS de Gasolinas y Diesel, entre otras, es decir, el contribuyente no tiene necesidad de salir de su casa u oficina; por lo que, para el primer trimestre del ejercicio 2016, se recibieron 4,258 pagos bajo este esquema.</w:t>
      </w:r>
    </w:p>
    <w:p w:rsidR="00461035" w:rsidRDefault="00461035" w:rsidP="00461035">
      <w:pPr>
        <w:spacing w:after="240"/>
        <w:contextualSpacing/>
        <w:jc w:val="both"/>
        <w:rPr>
          <w:rFonts w:ascii="Arial" w:hAnsi="Arial" w:cs="Arial"/>
          <w:kern w:val="2"/>
          <w:lang w:eastAsia="en-US"/>
        </w:rPr>
      </w:pPr>
    </w:p>
    <w:p w:rsidR="001D054B" w:rsidRDefault="001D054B" w:rsidP="00461035">
      <w:pPr>
        <w:spacing w:after="240"/>
        <w:contextualSpacing/>
        <w:jc w:val="both"/>
        <w:rPr>
          <w:rFonts w:ascii="Arial" w:hAnsi="Arial" w:cs="Arial"/>
          <w:kern w:val="2"/>
          <w:lang w:eastAsia="en-US"/>
        </w:rPr>
      </w:pPr>
    </w:p>
    <w:p w:rsidR="001D054B" w:rsidRDefault="001D054B" w:rsidP="00461035">
      <w:pPr>
        <w:spacing w:after="240"/>
        <w:contextualSpacing/>
        <w:jc w:val="both"/>
        <w:rPr>
          <w:rFonts w:ascii="Arial" w:hAnsi="Arial" w:cs="Arial"/>
          <w:kern w:val="2"/>
          <w:lang w:eastAsia="en-US"/>
        </w:rPr>
      </w:pPr>
    </w:p>
    <w:p w:rsidR="001D054B" w:rsidRPr="00461035" w:rsidRDefault="001D054B"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anchor distT="0" distB="0" distL="114300" distR="114300" simplePos="0" relativeHeight="251678720" behindDoc="1" locked="0" layoutInCell="1" allowOverlap="1">
            <wp:simplePos x="0" y="0"/>
            <wp:positionH relativeFrom="column">
              <wp:posOffset>58468</wp:posOffset>
            </wp:positionH>
            <wp:positionV relativeFrom="paragraph">
              <wp:posOffset>149857</wp:posOffset>
            </wp:positionV>
            <wp:extent cx="5718810" cy="3705225"/>
            <wp:effectExtent l="0" t="0" r="0" b="9525"/>
            <wp:wrapNone/>
            <wp:docPr id="77"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810" cy="3705225"/>
                    </a:xfrm>
                    <a:prstGeom prst="rect">
                      <a:avLst/>
                    </a:prstGeom>
                    <a:noFill/>
                  </pic:spPr>
                </pic:pic>
              </a:graphicData>
            </a:graphic>
          </wp:anchor>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br w:type="page"/>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Con respecto a la atención a los contribuyentes vía telefónica, se atendieron 7 mil 938 llamadas durante el periodo enero - marzo de 2016, de las cuales el 90 por ciento corresponden a orientación fiscal sobre trámites y servicios, y el 10 por ciento restante corresponde a la generación de líneas de captura para el cumplimiento de obligaciones fiscales en instituciones bancarias.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Durante el primer trimestre del ejercicio 2016, se dio atención en las Delegaciones Fiscales  a los contribuyentes del Régimen de Incorporación Fiscal, en cumplimiento a lo establecido en el anexo 19, que el Gobierno Estatal firmo con la Secretaría de Hacienda en el ejercicio 2014.</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servicio proporcionado a contribuyentes del RIF consiste en la inscripción ante el Registro Federal de Contribuyentes, la asignación de contraseñas, asesoría en la presentación de avisos, declaraciones, entre otros; emulando de ésta manera el mismo servicio que prestaba el Servicio de Administración Tributaria, lo que alcanzó mayor cobertura de contribuyentes clasificados en este Régimen. Adicionalmente se  realizaron reuniones y talleres en diferentes  lugares del estado con la finalidad de capacitar y fomentar el cumplimiento voluntario a los contribuyentes de este régimen.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materia de control de obligaciones fiscales, se da continuidad a las estrategias establecidas  por lo que se han  emitido requerimientos  y se han enviado al domicilio de los contribuyentes formatos de pago de contribuciones vehiculares. En materia federal se han emitido requerimientos derivados de la firma de programas a través del Convenio de Colaboración Administrativa en Materia Fiscal Federal.</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Conforme al plan de trabajo de vigilancia de obligaciones, se emitieron 2,085 requerimientos.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materia de Impuestos Federales como son: Programa de vigilancia Plus 2016, Grupos de Interés y Régimen de Incorporación Fiscal se emitieron 1,199 y 886 requerimientos, respectivamente.</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Específicamente en materia del Impuesto sobre Tenencia o Uso de Vehículos se enviaron en total 75,329 formularios de pago para dicho impuesto al domicilio de los contribuyentes.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1752C9" w:rsidRDefault="001752C9" w:rsidP="00461035">
      <w:pPr>
        <w:spacing w:after="240"/>
        <w:contextualSpacing/>
        <w:jc w:val="both"/>
        <w:rPr>
          <w:rFonts w:ascii="Arial" w:hAnsi="Arial" w:cs="Arial"/>
          <w:b/>
          <w:kern w:val="2"/>
          <w:lang w:eastAsia="en-US"/>
        </w:rPr>
      </w:pPr>
    </w:p>
    <w:p w:rsidR="001752C9" w:rsidRDefault="001752C9" w:rsidP="00461035">
      <w:pPr>
        <w:spacing w:after="240"/>
        <w:contextualSpacing/>
        <w:jc w:val="both"/>
        <w:rPr>
          <w:rFonts w:ascii="Arial" w:hAnsi="Arial" w:cs="Arial"/>
          <w:b/>
          <w:kern w:val="2"/>
          <w:lang w:eastAsia="en-US"/>
        </w:rPr>
      </w:pPr>
    </w:p>
    <w:p w:rsidR="001752C9" w:rsidRDefault="001752C9" w:rsidP="00461035">
      <w:pPr>
        <w:spacing w:after="240"/>
        <w:contextualSpacing/>
        <w:jc w:val="both"/>
        <w:rPr>
          <w:rFonts w:ascii="Arial" w:hAnsi="Arial" w:cs="Arial"/>
          <w:b/>
          <w:kern w:val="2"/>
          <w:lang w:eastAsia="en-US"/>
        </w:rPr>
      </w:pPr>
    </w:p>
    <w:p w:rsidR="00461035" w:rsidRPr="001752C9"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w:t>
      </w:r>
      <w:r w:rsidR="00461035" w:rsidRPr="001752C9">
        <w:rPr>
          <w:rFonts w:ascii="Arial" w:hAnsi="Arial" w:cs="Arial"/>
          <w:b/>
          <w:kern w:val="2"/>
          <w:lang w:eastAsia="en-US"/>
        </w:rPr>
        <w:t xml:space="preserve"> INGRESOS PRESUPUESTARIOS</w:t>
      </w:r>
    </w:p>
    <w:p w:rsidR="00461035" w:rsidRPr="001752C9" w:rsidRDefault="00461035" w:rsidP="00461035">
      <w:pPr>
        <w:spacing w:after="240"/>
        <w:contextualSpacing/>
        <w:jc w:val="both"/>
        <w:rPr>
          <w:rFonts w:ascii="Arial" w:hAnsi="Arial" w:cs="Arial"/>
          <w:b/>
          <w:kern w:val="2"/>
          <w:lang w:eastAsia="en-US"/>
        </w:rPr>
      </w:pPr>
      <w:r w:rsidRPr="001752C9">
        <w:rPr>
          <w:rFonts w:ascii="Arial" w:hAnsi="Arial" w:cs="Arial"/>
          <w:b/>
          <w:kern w:val="2"/>
          <w:lang w:eastAsia="en-US"/>
        </w:rPr>
        <w:t>(INFORMACIÓN PRESUPUESTARIA).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Durante periodo enero-marzo del ejercicio fiscal 2016, la Hacienda Pública del Estado obtuvo ingresos del orden de 14 mil 317 millones 900 mil pesos; cifra que refleja una disminución del 7.59 por ciento comparada con la estimación establecida en la Ley de Ingresos; en relación con lo obtenido en el ejercicio 2015 se observa una disminución real de 14.99 por ciento.</w:t>
      </w:r>
    </w:p>
    <w:p w:rsidR="001752C9" w:rsidRPr="00461035" w:rsidRDefault="001752C9"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1752C9">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4735902" cy="3735238"/>
            <wp:effectExtent l="19050" t="0" r="26598" b="0"/>
            <wp:docPr id="80"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Ingresos de Gestión son los ingresos que recauda de manera directa el estado, superaron la meta establecida para el primer trimestre de 2016, en 49.32 por ciento y respecto al mismo periodo del ejercicio 2015 se observa un crecimiento del 30.53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El resultado obedece principalmente al desempeño que registran los Impuestos, Derechos y Aprovechamientos, cuyo crecimiento respecto a la meta estimada fue de 45.35, 24.18 y 110.18 por ciento, respectivamente.</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99209C">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5508788" cy="3893488"/>
            <wp:effectExtent l="0" t="0" r="0" b="0"/>
            <wp:docPr id="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660" cy="3897638"/>
                    </a:xfrm>
                    <a:prstGeom prst="rect">
                      <a:avLst/>
                    </a:prstGeom>
                    <a:noFill/>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En las Participaciones y Aportaciones, cuya naturaleza jurídica se deriva de la Ley de Coordinación Fiscal y del Convenio de Colaboración suscrito con el Gobierno Federal, se obtuvieron ingresos por la cantidad de 11 mil 507 millones 822 mil pesos.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rubro de Transferencias, Asignaciones, Subsidios y Otras Ayudas, presenta un comportamiento superior al estimado en Ley de Ingresos de 3.30 por ciento, con ingresos del orden de los 475 millones 14 mil pesos.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Por concepto de Otros Ingresos, se obtuvieron </w:t>
      </w:r>
      <w:r w:rsidR="0099209C">
        <w:rPr>
          <w:rFonts w:ascii="Arial" w:hAnsi="Arial" w:cs="Arial"/>
          <w:kern w:val="2"/>
          <w:lang w:eastAsia="en-US"/>
        </w:rPr>
        <w:t>un</w:t>
      </w:r>
      <w:r w:rsidRPr="00461035">
        <w:rPr>
          <w:rFonts w:ascii="Arial" w:hAnsi="Arial" w:cs="Arial"/>
          <w:kern w:val="2"/>
          <w:lang w:eastAsia="en-US"/>
        </w:rPr>
        <w:t xml:space="preserve"> mil 10 millones 639 mil pesos.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882005" cy="6024312"/>
            <wp:effectExtent l="0" t="0" r="4445" b="0"/>
            <wp:docPr id="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6024312"/>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3E7B23" w:rsidRDefault="003E7B23"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3E7B23" w:rsidRDefault="003E7B23" w:rsidP="00461035">
      <w:pPr>
        <w:spacing w:after="240"/>
        <w:contextualSpacing/>
        <w:jc w:val="both"/>
        <w:rPr>
          <w:rFonts w:ascii="Arial" w:hAnsi="Arial" w:cs="Arial"/>
          <w:kern w:val="2"/>
          <w:lang w:eastAsia="en-US"/>
        </w:rPr>
      </w:pPr>
    </w:p>
    <w:p w:rsidR="003E7B23" w:rsidRPr="00461035" w:rsidRDefault="009F70D3" w:rsidP="00461035">
      <w:pPr>
        <w:spacing w:after="240"/>
        <w:contextualSpacing/>
        <w:jc w:val="both"/>
        <w:rPr>
          <w:rFonts w:ascii="Arial" w:hAnsi="Arial" w:cs="Arial"/>
          <w:kern w:val="2"/>
          <w:lang w:eastAsia="en-US"/>
        </w:rPr>
      </w:pPr>
      <w:r w:rsidRPr="009F70D3">
        <w:rPr>
          <w:rFonts w:ascii="Arial" w:hAnsi="Arial" w:cs="Arial"/>
          <w:noProof/>
          <w:kern w:val="2"/>
          <w:lang w:val="es-MX" w:eastAsia="es-MX"/>
        </w:rPr>
        <w:drawing>
          <wp:inline distT="0" distB="0" distL="0" distR="0">
            <wp:extent cx="5612130" cy="3152140"/>
            <wp:effectExtent l="0" t="0" r="0" b="0"/>
            <wp:docPr id="25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7B23" w:rsidRDefault="003E7B23" w:rsidP="003E7B23">
      <w:pPr>
        <w:jc w:val="center"/>
        <w:rPr>
          <w:rFonts w:ascii="Arial" w:hAnsi="Arial" w:cs="Arial"/>
          <w:kern w:val="2"/>
          <w:lang w:eastAsia="en-US"/>
        </w:rPr>
      </w:pPr>
    </w:p>
    <w:p w:rsidR="003E7B23" w:rsidRDefault="003E7B23">
      <w:pPr>
        <w:rPr>
          <w:rFonts w:ascii="Arial" w:hAnsi="Arial" w:cs="Arial"/>
          <w:kern w:val="2"/>
          <w:lang w:eastAsia="en-US"/>
        </w:rPr>
      </w:pPr>
      <w:r>
        <w:rPr>
          <w:rFonts w:ascii="Arial" w:hAnsi="Arial" w:cs="Arial"/>
          <w:kern w:val="2"/>
          <w:lang w:eastAsia="en-US"/>
        </w:rPr>
        <w:br w:type="page"/>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3E7B23">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5467350" cy="2466975"/>
            <wp:effectExtent l="0" t="0" r="0" b="9525"/>
            <wp:docPr id="8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466975"/>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CC0887" w:rsidP="00CC0887">
      <w:pPr>
        <w:spacing w:after="240"/>
        <w:contextualSpacing/>
        <w:jc w:val="center"/>
        <w:rPr>
          <w:rFonts w:ascii="Arial" w:hAnsi="Arial" w:cs="Arial"/>
          <w:kern w:val="2"/>
          <w:lang w:eastAsia="en-US"/>
        </w:rPr>
      </w:pPr>
      <w:r w:rsidRPr="00CC0887">
        <w:rPr>
          <w:rFonts w:ascii="Arial" w:hAnsi="Arial" w:cs="Arial"/>
          <w:noProof/>
          <w:kern w:val="2"/>
          <w:lang w:val="es-MX" w:eastAsia="es-MX"/>
        </w:rPr>
        <w:drawing>
          <wp:inline distT="0" distB="0" distL="0" distR="0">
            <wp:extent cx="4943475" cy="2867025"/>
            <wp:effectExtent l="0" t="0" r="0"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3E7B23">
      <w:pPr>
        <w:spacing w:after="240"/>
        <w:contextualSpacing/>
        <w:jc w:val="center"/>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99209C"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3.2.4.1.-</w:t>
      </w:r>
      <w:r w:rsidR="00461035" w:rsidRPr="0099209C">
        <w:rPr>
          <w:rFonts w:ascii="Arial" w:hAnsi="Arial" w:cs="Arial"/>
          <w:b/>
          <w:kern w:val="2"/>
          <w:lang w:eastAsia="en-US"/>
        </w:rPr>
        <w:t xml:space="preserve"> INGRESOS DE GESTIÓN</w:t>
      </w:r>
    </w:p>
    <w:p w:rsidR="00461035" w:rsidRPr="00461035" w:rsidRDefault="00461035" w:rsidP="00461035">
      <w:pPr>
        <w:spacing w:after="240"/>
        <w:contextualSpacing/>
        <w:jc w:val="both"/>
        <w:rPr>
          <w:rFonts w:ascii="Arial" w:hAnsi="Arial" w:cs="Arial"/>
          <w:kern w:val="2"/>
          <w:lang w:eastAsia="en-US"/>
        </w:rPr>
      </w:pPr>
    </w:p>
    <w:p w:rsidR="00461035" w:rsidRPr="0007276A" w:rsidRDefault="009F70D3" w:rsidP="00461035">
      <w:pPr>
        <w:spacing w:after="240"/>
        <w:contextualSpacing/>
        <w:jc w:val="both"/>
        <w:rPr>
          <w:rFonts w:ascii="Arial" w:hAnsi="Arial" w:cs="Arial"/>
          <w:b/>
          <w:kern w:val="2"/>
          <w:lang w:eastAsia="en-US"/>
        </w:rPr>
      </w:pPr>
      <w:r>
        <w:rPr>
          <w:rFonts w:ascii="Arial" w:hAnsi="Arial" w:cs="Arial"/>
          <w:b/>
          <w:kern w:val="2"/>
          <w:lang w:eastAsia="en-US"/>
        </w:rPr>
        <w:t>3.2.4.1.1.- IMPUESTOS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La entidad ha realizado un esfuerzo permanente para mejorar el sistema tributario, lo que se ha reflejado en el crecimiento en los ingresos en la presente administración. En el primer trimestre del ejercicio 2016, se observa en los impuestos un crecimiento del 45.35 por ciento con relación a lo estimado en Ley de Ingresos para el mismo periodo y un crecimiento del 24.80 por ciento en términos reales respecto a enero-marzo del ejercicio 2015.</w:t>
      </w:r>
    </w:p>
    <w:p w:rsidR="00461035" w:rsidRDefault="00461035" w:rsidP="00461035">
      <w:pPr>
        <w:spacing w:after="240"/>
        <w:contextualSpacing/>
        <w:jc w:val="both"/>
        <w:rPr>
          <w:rFonts w:ascii="Arial" w:hAnsi="Arial" w:cs="Arial"/>
          <w:kern w:val="2"/>
          <w:lang w:eastAsia="en-US"/>
        </w:rPr>
      </w:pPr>
    </w:p>
    <w:p w:rsidR="0099209C" w:rsidRPr="00461035" w:rsidRDefault="0099209C" w:rsidP="00461035">
      <w:pPr>
        <w:spacing w:after="240"/>
        <w:contextualSpacing/>
        <w:jc w:val="both"/>
        <w:rPr>
          <w:rFonts w:ascii="Arial" w:hAnsi="Arial" w:cs="Arial"/>
          <w:kern w:val="2"/>
          <w:lang w:eastAsia="en-US"/>
        </w:rPr>
      </w:pPr>
    </w:p>
    <w:p w:rsidR="00461035" w:rsidRPr="00461035" w:rsidRDefault="00461035" w:rsidP="0099209C">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4422429" cy="3023258"/>
            <wp:effectExtent l="0" t="0" r="0" b="5715"/>
            <wp:docPr id="8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4936" cy="3031808"/>
                    </a:xfrm>
                    <a:prstGeom prst="rect">
                      <a:avLst/>
                    </a:prstGeom>
                    <a:noFill/>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Impuesto Sobre Rifas, Sorteos, Loterías y Concursos, el resultado obtenido refleja un incremento de 24.83 por ciento en relación con lo estimado en Ley de Ingresos, y respecto al ejercicio 2015 el crecimiento fue del 84.36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lastRenderedPageBreak/>
        <w:t>Con respecto al Impuesto Sobre Tenencia o Uso de Vehículos, se observa un comportamiento positivo del 253.21 por ciento respecto a lo estimado en Ley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ingresos obtenidos en el Impuesto sobre Erogaciones por Remuneraciones al Trabajo Personal fueron de 340 millones 953 mil pesos. El comportamiento respecto a lo estimado en Ley de Ingresos presenta un crecimiento 48.77 por ciento y en relación al ejercicio 2015 se observa un crecimiento del 88.55 por ciento en términos reales. Dentro de las acciones que permitieron obtener este resultado, fue la modificación a la legislación estatal.</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Impuesto Sobre la Prestación de Servicios de Hospedaje, los ingresos obtenidos se ubicaron con un crecimiento respecto a la Ley de Ingreso 31.24 por ciento, observándose el mismo comportamiento con lo registrado en el ejercicio 2015 en 22.27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impuesto al Desarrollo Social nos muestra un crecimiento del 6.05 por ciento en relación a la meta establecida en la Ley de Ingresos  y respecto al mismo periodo del ejercicio 2015 el crecimiento es del 16.81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882005" cy="5319013"/>
            <wp:effectExtent l="0" t="0" r="4445" b="0"/>
            <wp:docPr id="8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5319013"/>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Pr="00461035" w:rsidRDefault="00CC0887"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p>
    <w:p w:rsidR="0099209C" w:rsidRDefault="0099209C" w:rsidP="00461035">
      <w:pPr>
        <w:spacing w:after="240"/>
        <w:contextualSpacing/>
        <w:jc w:val="both"/>
        <w:rPr>
          <w:rFonts w:ascii="Arial" w:hAnsi="Arial" w:cs="Arial"/>
          <w:kern w:val="2"/>
          <w:lang w:eastAsia="en-US"/>
        </w:rPr>
      </w:pPr>
    </w:p>
    <w:p w:rsidR="0099209C" w:rsidRDefault="00CC0887" w:rsidP="00CC0887">
      <w:pPr>
        <w:tabs>
          <w:tab w:val="left" w:pos="2010"/>
        </w:tabs>
        <w:spacing w:after="240"/>
        <w:contextualSpacing/>
        <w:jc w:val="both"/>
        <w:rPr>
          <w:rFonts w:ascii="Arial" w:hAnsi="Arial" w:cs="Arial"/>
          <w:kern w:val="2"/>
          <w:lang w:eastAsia="en-US"/>
        </w:rPr>
      </w:pPr>
      <w:r>
        <w:rPr>
          <w:rFonts w:ascii="Arial" w:hAnsi="Arial" w:cs="Arial"/>
          <w:kern w:val="2"/>
          <w:lang w:eastAsia="en-US"/>
        </w:rPr>
        <w:tab/>
      </w:r>
    </w:p>
    <w:p w:rsidR="00CC0887" w:rsidRPr="00461035" w:rsidRDefault="00CC0887" w:rsidP="00CC0887">
      <w:pPr>
        <w:tabs>
          <w:tab w:val="left" w:pos="2010"/>
        </w:tabs>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CC0887" w:rsidRDefault="00CC0887">
      <w:pPr>
        <w:rPr>
          <w:rFonts w:ascii="Arial" w:hAnsi="Arial" w:cs="Arial"/>
          <w:b/>
          <w:kern w:val="2"/>
          <w:lang w:eastAsia="en-US"/>
        </w:rPr>
      </w:pPr>
      <w:r w:rsidRPr="00CC0887">
        <w:rPr>
          <w:rFonts w:ascii="Arial" w:hAnsi="Arial" w:cs="Arial"/>
          <w:b/>
          <w:noProof/>
          <w:kern w:val="2"/>
          <w:lang w:val="es-MX" w:eastAsia="es-MX"/>
        </w:rPr>
        <w:drawing>
          <wp:inline distT="0" distB="0" distL="0" distR="0">
            <wp:extent cx="5610225" cy="4257675"/>
            <wp:effectExtent l="0" t="0" r="0" b="0"/>
            <wp:docPr id="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Arial" w:hAnsi="Arial" w:cs="Arial"/>
          <w:b/>
          <w:kern w:val="2"/>
          <w:lang w:eastAsia="en-US"/>
        </w:rPr>
        <w:br w:type="page"/>
      </w:r>
    </w:p>
    <w:p w:rsidR="00461035" w:rsidRPr="0099209C"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w:t>
      </w:r>
      <w:r w:rsidR="009F70D3">
        <w:rPr>
          <w:rFonts w:ascii="Arial" w:hAnsi="Arial" w:cs="Arial"/>
          <w:b/>
          <w:kern w:val="2"/>
          <w:lang w:eastAsia="en-US"/>
        </w:rPr>
        <w:t>1.</w:t>
      </w:r>
      <w:r>
        <w:rPr>
          <w:rFonts w:ascii="Arial" w:hAnsi="Arial" w:cs="Arial"/>
          <w:b/>
          <w:kern w:val="2"/>
          <w:lang w:eastAsia="en-US"/>
        </w:rPr>
        <w:t>2.-</w:t>
      </w:r>
      <w:r w:rsidR="0099209C" w:rsidRPr="0099209C">
        <w:rPr>
          <w:rFonts w:ascii="Arial" w:hAnsi="Arial" w:cs="Arial"/>
          <w:b/>
          <w:kern w:val="2"/>
          <w:lang w:eastAsia="en-US"/>
        </w:rPr>
        <w:t xml:space="preserve"> OTROS INGRESOS DE GESTIÓN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derechos constituyen los ingresos que se obtienen por la prestación de servicios que proporcionan las dependencias y entidades de la administración pública, así como por el uso, goce y aprovechamiento de los bienes de dominio público del Estado.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9F70D3" w:rsidP="0099209C">
      <w:pPr>
        <w:spacing w:after="240"/>
        <w:contextualSpacing/>
        <w:jc w:val="center"/>
        <w:rPr>
          <w:rFonts w:ascii="Arial" w:hAnsi="Arial" w:cs="Arial"/>
          <w:kern w:val="2"/>
          <w:lang w:eastAsia="en-US"/>
        </w:rPr>
      </w:pPr>
      <w:r w:rsidRPr="009F70D3">
        <w:rPr>
          <w:rFonts w:ascii="Arial" w:hAnsi="Arial" w:cs="Arial"/>
          <w:noProof/>
          <w:kern w:val="2"/>
          <w:lang w:val="es-MX" w:eastAsia="es-MX"/>
        </w:rPr>
        <w:drawing>
          <wp:inline distT="0" distB="0" distL="0" distR="0">
            <wp:extent cx="4858958" cy="3476445"/>
            <wp:effectExtent l="0" t="0" r="0" b="0"/>
            <wp:docPr id="4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7789" cy="3489918"/>
                    </a:xfrm>
                    <a:prstGeom prst="rect">
                      <a:avLst/>
                    </a:prstGeom>
                    <a:noFill/>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primer trimestre del ejercicio 2016, se obtuvieron por concepto de Derechos 481 millones 243 mil pesos, cifra superior a la meta establecida por 24.18 por ciento y 20.05 por ciento en términos reales, respecto al mismo periodo del ejercicio 2015.</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ingresos por Productos obtenidos en el ejercicio 2015 ascienden a 5 millones 739 mil pesos presentando un comportamiento negativo respecto a lo estimado en Ley de Ingresos del 9.16 por ciento.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Los Aprovechamientos por su parte, generaron en el primer trimestre del ejercicio 2016 ingresos del orden de 392 millones 434 mil pesos, superando en 110.18 por ciento a la meta establecida en la Ley de Ingresos y respecto al ejercicio 2015 el crecimiento fue del 58.25 por ciento en términos reales. Es importante señalar que en </w:t>
      </w:r>
      <w:r w:rsidRPr="00461035">
        <w:rPr>
          <w:rFonts w:ascii="Arial" w:hAnsi="Arial" w:cs="Arial"/>
          <w:kern w:val="2"/>
          <w:lang w:eastAsia="en-US"/>
        </w:rPr>
        <w:lastRenderedPageBreak/>
        <w:t>este rubro se registran los incentivos que derivan del Convenio de Colaboración Administrativa en Materia Fiscal Federal, las aportaciones o donativos que recibe el Estado ya sea en efectivo o en especie, retardos e inasistencias originados por el personal, que son concentrados por las entidades y dependencias del gobierno,  así como incentivos derivados del Impuesto sobre la Renta.</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Contribuciones no comprendías en las fracciones de la Ley de Ingresos causados en ejercicios fiscales anteriores pendiente de liquidación o pago, por este concepto se recaudaron 592 mil pesos y corresponde a la recuperación adeudos de ejercicios anteriores del Impuesto sobre Tenencia Federal, del Régimen de Pequeños Contribuyentes y Régimen Intermedio de las Personas Físicas con Actividades Empresariales.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inline distT="0" distB="0" distL="0" distR="0">
            <wp:extent cx="5882005" cy="3747826"/>
            <wp:effectExtent l="0" t="0" r="4445" b="5080"/>
            <wp:docPr id="87"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3747826"/>
                    </a:xfrm>
                    <a:prstGeom prst="rect">
                      <a:avLst/>
                    </a:prstGeom>
                    <a:noFill/>
                    <a:ln>
                      <a:noFill/>
                    </a:ln>
                  </pic:spPr>
                </pic:pic>
              </a:graphicData>
            </a:graphic>
          </wp:inline>
        </w:drawing>
      </w:r>
    </w:p>
    <w:p w:rsidR="00CC0887" w:rsidRDefault="00CC0887">
      <w:pPr>
        <w:rPr>
          <w:rFonts w:ascii="Arial" w:hAnsi="Arial" w:cs="Arial"/>
          <w:kern w:val="2"/>
          <w:lang w:eastAsia="en-US"/>
        </w:rPr>
      </w:pPr>
      <w:r>
        <w:rPr>
          <w:rFonts w:ascii="Arial" w:hAnsi="Arial" w:cs="Arial"/>
          <w:kern w:val="2"/>
          <w:lang w:eastAsia="en-US"/>
        </w:rPr>
        <w:br w:type="page"/>
      </w:r>
    </w:p>
    <w:p w:rsidR="00CC0887" w:rsidRDefault="00CC0887">
      <w:pPr>
        <w:rPr>
          <w:rFonts w:ascii="Arial" w:hAnsi="Arial" w:cs="Arial"/>
          <w:kern w:val="2"/>
          <w:lang w:eastAsia="en-US"/>
        </w:rPr>
      </w:pPr>
    </w:p>
    <w:p w:rsidR="00CC0887" w:rsidRDefault="00CC0887">
      <w:pPr>
        <w:rPr>
          <w:rFonts w:ascii="Arial" w:hAnsi="Arial" w:cs="Arial"/>
          <w:kern w:val="2"/>
          <w:lang w:eastAsia="en-US"/>
        </w:rPr>
      </w:pPr>
    </w:p>
    <w:p w:rsidR="00CC0887" w:rsidRDefault="00CC0887">
      <w:pPr>
        <w:rPr>
          <w:rFonts w:ascii="Arial" w:hAnsi="Arial" w:cs="Arial"/>
          <w:kern w:val="2"/>
          <w:lang w:eastAsia="en-US"/>
        </w:rPr>
      </w:pPr>
    </w:p>
    <w:p w:rsidR="00CC0887" w:rsidRDefault="00CC0887">
      <w:pPr>
        <w:rPr>
          <w:rFonts w:ascii="Arial" w:hAnsi="Arial" w:cs="Arial"/>
          <w:kern w:val="2"/>
          <w:lang w:eastAsia="en-US"/>
        </w:rPr>
      </w:pPr>
    </w:p>
    <w:p w:rsidR="00CC0887" w:rsidRDefault="00CC0887">
      <w:pPr>
        <w:rPr>
          <w:rFonts w:ascii="Arial" w:hAnsi="Arial" w:cs="Arial"/>
          <w:kern w:val="2"/>
          <w:lang w:eastAsia="en-US"/>
        </w:rPr>
      </w:pPr>
    </w:p>
    <w:p w:rsidR="00CC0887" w:rsidRDefault="009F70D3">
      <w:pPr>
        <w:rPr>
          <w:rFonts w:ascii="Arial" w:hAnsi="Arial" w:cs="Arial"/>
          <w:kern w:val="2"/>
          <w:lang w:eastAsia="en-US"/>
        </w:rPr>
      </w:pPr>
      <w:r w:rsidRPr="009F70D3">
        <w:rPr>
          <w:rFonts w:ascii="Arial" w:hAnsi="Arial" w:cs="Arial"/>
          <w:noProof/>
          <w:kern w:val="2"/>
          <w:lang w:val="es-MX" w:eastAsia="es-MX"/>
        </w:rPr>
        <w:drawing>
          <wp:inline distT="0" distB="0" distL="0" distR="0">
            <wp:extent cx="5612130" cy="2899410"/>
            <wp:effectExtent l="0" t="0" r="0" b="0"/>
            <wp:docPr id="54"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CC0887">
        <w:rPr>
          <w:rFonts w:ascii="Arial" w:hAnsi="Arial" w:cs="Arial"/>
          <w:kern w:val="2"/>
          <w:lang w:eastAsia="en-US"/>
        </w:rPr>
        <w:br w:type="page"/>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99209C">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5571327" cy="7004685"/>
            <wp:effectExtent l="0" t="0" r="0" b="5715"/>
            <wp:docPr id="88"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459" cy="7008623"/>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Continúa. . .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inline distT="0" distB="0" distL="0" distR="0">
            <wp:extent cx="5591109" cy="6958965"/>
            <wp:effectExtent l="0" t="0" r="0" b="0"/>
            <wp:docPr id="89"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936" cy="6961239"/>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99209C">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5700155" cy="5327489"/>
            <wp:effectExtent l="0" t="0" r="0" b="6985"/>
            <wp:docPr id="90"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2128" cy="5329333"/>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99209C">
      <w:pPr>
        <w:spacing w:after="240"/>
        <w:contextualSpacing/>
        <w:jc w:val="center"/>
        <w:rPr>
          <w:rFonts w:ascii="Arial" w:hAnsi="Arial" w:cs="Arial"/>
          <w:kern w:val="2"/>
          <w:lang w:eastAsia="en-US"/>
        </w:rPr>
      </w:pPr>
      <w:r w:rsidRPr="00461035">
        <w:rPr>
          <w:rFonts w:ascii="Arial" w:hAnsi="Arial" w:cs="Arial"/>
          <w:noProof/>
          <w:kern w:val="2"/>
          <w:lang w:val="es-MX" w:eastAsia="es-MX"/>
        </w:rPr>
        <w:drawing>
          <wp:inline distT="0" distB="0" distL="0" distR="0">
            <wp:extent cx="5810906" cy="6832023"/>
            <wp:effectExtent l="0" t="0" r="0" b="6985"/>
            <wp:docPr id="91"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678" cy="6835282"/>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99209C">
      <w:pPr>
        <w:spacing w:after="240"/>
        <w:contextualSpacing/>
        <w:jc w:val="center"/>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772928" cy="6285857"/>
            <wp:effectExtent l="0" t="0" r="0" b="1270"/>
            <wp:docPr id="92"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301" cy="6289529"/>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C86A9D"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w:t>
      </w:r>
      <w:r w:rsidR="009F70D3">
        <w:rPr>
          <w:rFonts w:ascii="Arial" w:hAnsi="Arial" w:cs="Arial"/>
          <w:b/>
          <w:kern w:val="2"/>
          <w:lang w:eastAsia="en-US"/>
        </w:rPr>
        <w:t>2</w:t>
      </w:r>
      <w:r>
        <w:rPr>
          <w:rFonts w:ascii="Arial" w:hAnsi="Arial" w:cs="Arial"/>
          <w:b/>
          <w:kern w:val="2"/>
          <w:lang w:eastAsia="en-US"/>
        </w:rPr>
        <w:t xml:space="preserve">.- </w:t>
      </w:r>
      <w:r w:rsidR="00461035" w:rsidRPr="00C86A9D">
        <w:rPr>
          <w:rFonts w:ascii="Arial" w:hAnsi="Arial" w:cs="Arial"/>
          <w:b/>
          <w:kern w:val="2"/>
          <w:lang w:eastAsia="en-US"/>
        </w:rPr>
        <w:t>PARTICIPACIONES, APORTACIONES, TRANSFERENCIAS, ASIGNACIONES, SUBSIDIOS Y OTRAS AYUDAS.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Los ingresos que la Federación transfiere al Estado y que derivan de lo establecido en la Ley de Coordinación Fiscal, el Convenio de Adhesión al Sistema Nacional de Coordinación Fiscal, el Presupuesto de Egresos de la Federación 2016 y los convenios suscritos con Dependencias y Entidades Federales para programas específicos; en el primer trimestre del ejercicio 2016 ascendieron a la cantidad de 11 mil 982 millones 837 mil pesos.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Estos ingresos se clasifican en cuatro grandes rubros, clasificación que depende de la disposición legal y de las reglas de operación aplicables en cada caso.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primer rubro de los recursos provenientes de la Federación lo constituyen las Participaciones Federales; estos recursos una vez disminuidas las participaciones municipales, adicionados a sus ingresos de gestión, son los recursos con los que dispone el Gobierno del Estado para sufragar sus gastos de operación y sus programas estatales de inversión; su monto depende de la Recaudación Federal Participable (RFP), que obtenga la Secretaría de Hacienda y Crédito Público (SHCP), siendo indispensable por ello darle seguimiento permanente a las cifras y al procedimiento de cálculo distributivo en estos conceptos. En el trimestre que se informa los ingresos obtenidos ascienden a 3 mil 694  millones 89 mil pesos, observándose una disminución del 9.09 por ciento, respecto a lo estimado en Ley de Ingresos, y un comportamiento negativo en términos reales respecto del ejercicio de 2015 del 8.74 por ciento.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segundo rubro lo integran los ocho fondos que componen el Ramo 33, con un importe de 6 mil 499 millones 876 mil pesos, contenidos en el Capítulo V de la Ley de Coordinación Fiscal, los cuales, no obstante que por disposición de la propia ley se registran como ingresos propios y se aplican y controlan de acuerdo con las leyes locales, cada uno de estos fondos tiene un fin específico, también preestablecido, recursos que nunca son suficientes para atender todas las necesidades de la colectividad, sobre todo en materia de educación y salud; los fondos en comento son: </w:t>
      </w:r>
    </w:p>
    <w:p w:rsidR="00461035" w:rsidRPr="00461035" w:rsidRDefault="00461035" w:rsidP="00461035">
      <w:pPr>
        <w:spacing w:after="240"/>
        <w:contextualSpacing/>
        <w:jc w:val="both"/>
        <w:rPr>
          <w:rFonts w:ascii="Arial" w:hAnsi="Arial" w:cs="Arial"/>
          <w:kern w:val="2"/>
          <w:lang w:eastAsia="en-US"/>
        </w:rPr>
      </w:pP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Fondo de Aportaciones para la Nómina Educativa y Gasto operativo.</w:t>
      </w: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Fondo de Aportaciones para los Servicios de Salud.</w:t>
      </w: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 xml:space="preserve">Fondo de Aportaciones para la Infraestructura Social. </w:t>
      </w: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 xml:space="preserve">Fondo de Aportaciones para el Fortalecimiento de los Municipios y de las Demarcaciones Territoriales del Distrito Federal. </w:t>
      </w: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 xml:space="preserve">Fondo de Aportaciones Múltiples. </w:t>
      </w:r>
    </w:p>
    <w:p w:rsidR="00461035" w:rsidRPr="00461035" w:rsidRDefault="00461035" w:rsidP="00461035">
      <w:pPr>
        <w:spacing w:after="240"/>
        <w:contextualSpacing/>
        <w:jc w:val="both"/>
        <w:rPr>
          <w:rFonts w:ascii="Arial" w:hAnsi="Arial" w:cs="Arial"/>
          <w:kern w:val="2"/>
          <w:lang w:eastAsia="en-US"/>
        </w:rPr>
      </w:pP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lastRenderedPageBreak/>
        <w:t xml:space="preserve">Fondo de Aportaciones para la Educación Tecnológica y de Adultos. </w:t>
      </w: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 xml:space="preserve">Fondo de Aportaciones para la Seguridad Pública de los Estados y del Distrito Federal. </w:t>
      </w:r>
    </w:p>
    <w:p w:rsidR="00461035" w:rsidRPr="00C86A9D" w:rsidRDefault="00461035" w:rsidP="004967F5">
      <w:pPr>
        <w:pStyle w:val="Prrafodelista"/>
        <w:numPr>
          <w:ilvl w:val="0"/>
          <w:numId w:val="10"/>
        </w:numPr>
        <w:spacing w:after="240"/>
        <w:contextualSpacing/>
        <w:jc w:val="both"/>
        <w:rPr>
          <w:rFonts w:ascii="Arial" w:hAnsi="Arial" w:cs="Arial"/>
          <w:kern w:val="2"/>
          <w:lang w:eastAsia="en-US"/>
        </w:rPr>
      </w:pPr>
      <w:r w:rsidRPr="00C86A9D">
        <w:rPr>
          <w:rFonts w:ascii="Arial" w:hAnsi="Arial" w:cs="Arial"/>
          <w:kern w:val="2"/>
          <w:lang w:eastAsia="en-US"/>
        </w:rPr>
        <w:t xml:space="preserve">Fondo de Aportaciones para el Fortalecimiento de las Entidades Federativas.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En el tercer y cuarto rubro se encuentran los Convenios y las Transferencias, Asignaciones, Subsidios y Otras Ayudas los cuales se establecen por acuerdos entre Dependencias y Entidades Federales y Estatales para su aplicación en obras o programas específicos regulados por reglas de operación dictadas para cada caso en particular. El Estado por concepto de concepto de convenios y Transferencias, Asignaciones, Subsidios y Otras Ayudas, se allegó en el ejercicio que se informa de recursos por </w:t>
      </w:r>
      <w:r w:rsidR="00C705C9">
        <w:rPr>
          <w:rFonts w:ascii="Arial" w:hAnsi="Arial" w:cs="Arial"/>
          <w:kern w:val="2"/>
          <w:lang w:eastAsia="en-US"/>
        </w:rPr>
        <w:t>un</w:t>
      </w:r>
      <w:r w:rsidRPr="00461035">
        <w:rPr>
          <w:rFonts w:ascii="Arial" w:hAnsi="Arial" w:cs="Arial"/>
          <w:kern w:val="2"/>
          <w:lang w:eastAsia="en-US"/>
        </w:rPr>
        <w:t xml:space="preserve"> mil 788 millones 871 mil pesos, presentando un comportamiento del 132.72 por ciento superior a lo estimado en la Ley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C705C9">
      <w:pPr>
        <w:spacing w:after="240"/>
        <w:contextualSpacing/>
        <w:jc w:val="center"/>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881173" cy="6450177"/>
            <wp:effectExtent l="0" t="0" r="5715" b="8255"/>
            <wp:docPr id="9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532" cy="6457152"/>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C705C9" w:rsidRDefault="00C705C9"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rsidP="00461035">
      <w:pPr>
        <w:spacing w:after="240"/>
        <w:contextualSpacing/>
        <w:jc w:val="both"/>
        <w:rPr>
          <w:rFonts w:ascii="Arial" w:hAnsi="Arial" w:cs="Arial"/>
          <w:kern w:val="2"/>
          <w:lang w:eastAsia="en-US"/>
        </w:rPr>
      </w:pPr>
    </w:p>
    <w:p w:rsidR="00CC0887" w:rsidRDefault="00CC0887">
      <w:pPr>
        <w:rPr>
          <w:rFonts w:ascii="Arial" w:hAnsi="Arial" w:cs="Arial"/>
          <w:b/>
          <w:kern w:val="2"/>
          <w:lang w:eastAsia="en-US"/>
        </w:rPr>
      </w:pPr>
      <w:r w:rsidRPr="00CC0887">
        <w:rPr>
          <w:rFonts w:ascii="Arial" w:hAnsi="Arial" w:cs="Arial"/>
          <w:b/>
          <w:noProof/>
          <w:kern w:val="2"/>
          <w:lang w:val="es-MX" w:eastAsia="es-MX"/>
        </w:rPr>
        <w:drawing>
          <wp:inline distT="0" distB="0" distL="0" distR="0">
            <wp:extent cx="5612130" cy="2784475"/>
            <wp:effectExtent l="76200" t="0" r="160020" b="0"/>
            <wp:docPr id="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Arial" w:hAnsi="Arial" w:cs="Arial"/>
          <w:b/>
          <w:kern w:val="2"/>
          <w:lang w:eastAsia="en-US"/>
        </w:rPr>
        <w:br w:type="page"/>
      </w:r>
    </w:p>
    <w:p w:rsidR="00461035" w:rsidRPr="00C705C9"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w:t>
      </w:r>
      <w:r w:rsidR="009F70D3">
        <w:rPr>
          <w:rFonts w:ascii="Arial" w:hAnsi="Arial" w:cs="Arial"/>
          <w:b/>
          <w:kern w:val="2"/>
          <w:lang w:eastAsia="en-US"/>
        </w:rPr>
        <w:t>2</w:t>
      </w:r>
      <w:r>
        <w:rPr>
          <w:rFonts w:ascii="Arial" w:hAnsi="Arial" w:cs="Arial"/>
          <w:b/>
          <w:kern w:val="2"/>
          <w:lang w:eastAsia="en-US"/>
        </w:rPr>
        <w:t>.1.-</w:t>
      </w:r>
      <w:r w:rsidR="00461035" w:rsidRPr="00C705C9">
        <w:rPr>
          <w:rFonts w:ascii="Arial" w:hAnsi="Arial" w:cs="Arial"/>
          <w:b/>
          <w:kern w:val="2"/>
          <w:lang w:eastAsia="en-US"/>
        </w:rPr>
        <w:t xml:space="preserve"> PARTICIPACIONES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ingreso total por este concepto alcanzó durante el trimestre que se informa un monto de 3 mil 694 millones 89 mil pesos, importe que representó una disminución del 9.09 por ciento respecto a la Ley de Ingresos y respecto al mismo periodo del ejercicio 2015, se observa una disminución del 8.74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Por concepto del Fondo General de Participaciones  se recibieron ingresos por la cantidad de 3 mil 72 millones 334 mil pesos, lo que represento una disminución del 9.58 por ciento con relación a lo estimado en la Ley de Ingresos y respecto de lo obtenido en el ejercicio 2015 la disminución fue de 8.77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primer trimestre del ejercicio 2016,  el Fondo de Fomento Municipal mostró una disminución del 5.13 por ciento con relación a lo estimado en la Ley de Ingresos, observándose  una disminución respecto al ejercicio 2015 del 7.09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comportamiento registrado por las Participaciones en Impuestos Especiales refleja una disminución respecto a Ley de Ingresos del 12.50 por ciento y del 11.45 por ciento en términos reales respecto al ejercicio 2015.</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Fondo de Fiscalización presenta un comportamiento negativo del 13.51 por ciento con relación a lo estimado en la Ley de Ingresos  y en relación al ejercicio 2015 el comportamiento es negativo por 11.65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Fondo de Compensación reflejó un resultado positivo del 1.53 por ciento con relación a lo estimado en la Ley de Ingresos, y respecto al ejercicio 2015, se observa una disminución del 7.22 por ciento en términos reales.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Es importante señalar que el comportamiento que reflejan las participaciones recibidas en el primer trimestre, son el resultado de la disminución en la Recaudación Federal Participable.</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ab/>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882005" cy="2551129"/>
            <wp:effectExtent l="0" t="0" r="4445" b="0"/>
            <wp:docPr id="9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2551129"/>
                    </a:xfrm>
                    <a:prstGeom prst="rect">
                      <a:avLst/>
                    </a:prstGeom>
                    <a:noFill/>
                    <a:ln>
                      <a:noFill/>
                    </a:ln>
                  </pic:spPr>
                </pic:pic>
              </a:graphicData>
            </a:graphic>
          </wp:inline>
        </w:drawing>
      </w:r>
    </w:p>
    <w:p w:rsidR="00461035" w:rsidRDefault="00461035" w:rsidP="00461035">
      <w:pPr>
        <w:spacing w:after="240"/>
        <w:contextualSpacing/>
        <w:jc w:val="both"/>
        <w:rPr>
          <w:rFonts w:ascii="Arial" w:hAnsi="Arial" w:cs="Arial"/>
          <w:kern w:val="2"/>
          <w:lang w:eastAsia="en-US"/>
        </w:rPr>
      </w:pPr>
    </w:p>
    <w:p w:rsidR="004B23ED" w:rsidRDefault="004B23ED" w:rsidP="00461035">
      <w:pPr>
        <w:spacing w:after="240"/>
        <w:contextualSpacing/>
        <w:jc w:val="both"/>
        <w:rPr>
          <w:rFonts w:ascii="Arial" w:hAnsi="Arial" w:cs="Arial"/>
          <w:kern w:val="2"/>
          <w:lang w:eastAsia="en-US"/>
        </w:rPr>
      </w:pPr>
    </w:p>
    <w:p w:rsidR="004B23ED" w:rsidRPr="00461035" w:rsidRDefault="004B23ED"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B23ED" w:rsidP="004B23ED">
      <w:pPr>
        <w:spacing w:after="240"/>
        <w:contextualSpacing/>
        <w:jc w:val="center"/>
        <w:rPr>
          <w:rFonts w:ascii="Arial" w:hAnsi="Arial" w:cs="Arial"/>
          <w:kern w:val="2"/>
          <w:lang w:eastAsia="en-US"/>
        </w:rPr>
      </w:pPr>
      <w:r w:rsidRPr="004B23ED">
        <w:rPr>
          <w:rFonts w:ascii="Arial" w:hAnsi="Arial" w:cs="Arial"/>
          <w:noProof/>
          <w:kern w:val="2"/>
          <w:lang w:val="es-MX" w:eastAsia="es-MX"/>
        </w:rPr>
        <w:drawing>
          <wp:inline distT="0" distB="0" distL="0" distR="0">
            <wp:extent cx="5612130" cy="2784475"/>
            <wp:effectExtent l="0" t="0" r="0" b="0"/>
            <wp:docPr id="1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C705C9"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w:t>
      </w:r>
      <w:r w:rsidR="009F70D3">
        <w:rPr>
          <w:rFonts w:ascii="Arial" w:hAnsi="Arial" w:cs="Arial"/>
          <w:b/>
          <w:kern w:val="2"/>
          <w:lang w:eastAsia="en-US"/>
        </w:rPr>
        <w:t>2</w:t>
      </w:r>
      <w:r>
        <w:rPr>
          <w:rFonts w:ascii="Arial" w:hAnsi="Arial" w:cs="Arial"/>
          <w:b/>
          <w:kern w:val="2"/>
          <w:lang w:eastAsia="en-US"/>
        </w:rPr>
        <w:t>.2.-</w:t>
      </w:r>
      <w:r w:rsidR="00461035" w:rsidRPr="00C705C9">
        <w:rPr>
          <w:rFonts w:ascii="Arial" w:hAnsi="Arial" w:cs="Arial"/>
          <w:b/>
          <w:kern w:val="2"/>
          <w:lang w:eastAsia="en-US"/>
        </w:rPr>
        <w:t xml:space="preserve"> APORTACIONES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Gobierno Federal a través de la Secretaría de Hacienda y Crédito Público, transfirió recursos Fondos de Aportaciones Federales del Ramo 33 al Gobierno del Estado de Oaxaca por 6 mil 499 millones 876 mil pesos, durante el periodo enero-marzo del  ejercicio fiscal 2016, monto menor en 33.51 por ciento respecto de lo estimado en Ley de Ingresos, así mismo presenta una disminución en términos reales respecto al monto obtenido durante el ejercicio 2015 del 28.42 por ciento.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Fondo de Aportaciones para la Nómina Educativa y Gasto Operativo (FONE), se obtuvieron 2 mil 493 millones 255 mil pesos, representando una disminución del 57.56 por ciento respecto a los ingresos estimados en Ley; Son los recursos económicos que se destinarán únicamente al cumplimiento de los objetivos del sector educativo de acuerdo a la Ley General de Educación y la legislación estatal aplicable. El Fondo de Aportaciones para la Nómina Educativa y Gasto Operativo será administrado  por la Secretaría de Hacienda y Crédito Público y la transferencia de los recursos de realizará conforme al artículo 26-A de la Ley de Coordinación Fiscal</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Respecto al Fondo de Aportaciones para los Servicios de Salud (FASSA), se recibieron recursos por un monto total de </w:t>
      </w:r>
      <w:r w:rsidR="00C705C9">
        <w:rPr>
          <w:rFonts w:ascii="Arial" w:hAnsi="Arial" w:cs="Arial"/>
          <w:kern w:val="2"/>
          <w:lang w:eastAsia="en-US"/>
        </w:rPr>
        <w:t>un</w:t>
      </w:r>
      <w:r w:rsidRPr="00461035">
        <w:rPr>
          <w:rFonts w:ascii="Arial" w:hAnsi="Arial" w:cs="Arial"/>
          <w:kern w:val="2"/>
          <w:lang w:eastAsia="en-US"/>
        </w:rPr>
        <w:t xml:space="preserve"> mil 68 millones 964 mil pesos, cantidad mayor a la estimada en la Ley de ingresos por 7.62 por ciento, mostrando en términos reales un crecimiento del 16.06 por ciento respecto de lo obtenido en el mismo periodo del  ejercicio 2015.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Para el Fondo de Aportaciones para la Infraestructura Social (FAIS), durante el periodo que se informa, se obtuvieron recursos por un monto total de </w:t>
      </w:r>
      <w:r w:rsidR="00C705C9">
        <w:rPr>
          <w:rFonts w:ascii="Arial" w:hAnsi="Arial" w:cs="Arial"/>
          <w:kern w:val="2"/>
          <w:lang w:eastAsia="en-US"/>
        </w:rPr>
        <w:t>un</w:t>
      </w:r>
      <w:r w:rsidRPr="00461035">
        <w:rPr>
          <w:rFonts w:ascii="Arial" w:hAnsi="Arial" w:cs="Arial"/>
          <w:kern w:val="2"/>
          <w:lang w:eastAsia="en-US"/>
        </w:rPr>
        <w:t xml:space="preserve"> mil 803 millones 467 mil pesos, monto menor a la estimación de Ley de Ingresos en 0.12 por ciento, en relación al ejercicio 2015 se observa un crecimiento del 2.64 por ciento en términos reales.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El Fondo de Aportaciones para el Fortalecimiento de los Municipios y de las Demarcaciones Territoriales del Distrito Federal (FORTAMUN), presento una disminución del 0.26 por ciento respecto  a la Ley de Ingresos y respecto al ejercicio 2015 presento un crecimiento del 1.53 por ciento en términos reales; en este fondo se obtuvieron recursos por un monto total de 510 millones 33 mil pesos. Cabe señalar que el monto total de este fondo se destina a los 570 municipios que integran el Estado.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Fondo de Aportaciones Múltiples (FAM), éste se subdivide en tres fondos con destinos específicos: el primero corresponde al Fondo de Aportaciones para la Asistencia Social (FAAS), el segundo al Fondo de Aportaciones para la Infraestructura Educativa Básica (FAIEB) y el tercero al Fondo de Aportación para la Infraestructura </w:t>
      </w:r>
      <w:r w:rsidRPr="00461035">
        <w:rPr>
          <w:rFonts w:ascii="Arial" w:hAnsi="Arial" w:cs="Arial"/>
          <w:kern w:val="2"/>
          <w:lang w:eastAsia="en-US"/>
        </w:rPr>
        <w:lastRenderedPageBreak/>
        <w:t>Educativa Superior (FAIES); el total recibido en este fondo fue 192 de millones 727 mil pesos y presenta un crecimiento del 36.07 respecto a la Ley de Ingresos y un crecimiento del 39.35 por ciento en términos reales, respecto al mismo periodo del ejercicio 2015.</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La asignación del Fondo de Aportaciones para la Educación Tecnológica y de Adultos (FAETA), ascendió a 35 millones 749 mil pesos, monto superior en 1.82 por ciento a lo estimado en la Ley de Ingresos, presentando un crecimiento del  2.82 por ciento real con relación a los ingresos del ejercicio 2015. El Estado de Oaxaca únicamente recibe recursos para la Educación de Adultos que se destinan en su aplicación a través del Instituto Estatal para la Educación de Adultos.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Fondo de Aportaciones para la Seguridad Pública de los Estados y del Distrito Federal (FASP), durante el periodo que se informa, se obtuvieron recursos por la cantidad de 66 millones 401 mil pesos, observándose una disminución del 16.98 por ciento respecto a la Ley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Respecto al Fondo de Aportaciones para el Fortalecimiento de las Entidades Federativas (FAFEF), se recibieron recursos por 329 millones 277 mil pesos, mismos que representa un crecimiento en términos reales del 2.90 por ciento respecto al ejercicio 2015 y  con relación  a la Ley de Ingresos se observa una disminución del  1.40 por ciento.</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C705C9">
      <w:pPr>
        <w:spacing w:after="240"/>
        <w:contextualSpacing/>
        <w:jc w:val="center"/>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882005" cy="4816951"/>
            <wp:effectExtent l="0" t="0" r="4445" b="0"/>
            <wp:docPr id="9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4816951"/>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B23ED" w:rsidRDefault="004B23ED">
      <w:pPr>
        <w:rPr>
          <w:rFonts w:ascii="Arial" w:hAnsi="Arial" w:cs="Arial"/>
          <w:kern w:val="2"/>
          <w:lang w:eastAsia="en-US"/>
        </w:rPr>
      </w:pPr>
      <w:r>
        <w:rPr>
          <w:rFonts w:ascii="Arial" w:hAnsi="Arial" w:cs="Arial"/>
          <w:kern w:val="2"/>
          <w:lang w:eastAsia="en-US"/>
        </w:rPr>
        <w:br w:type="page"/>
      </w:r>
    </w:p>
    <w:p w:rsidR="00461035" w:rsidRDefault="00461035" w:rsidP="004B23ED">
      <w:pPr>
        <w:spacing w:after="240"/>
        <w:contextualSpacing/>
        <w:jc w:val="center"/>
        <w:rPr>
          <w:rFonts w:ascii="Arial" w:hAnsi="Arial" w:cs="Arial"/>
          <w:kern w:val="2"/>
          <w:lang w:eastAsia="en-US"/>
        </w:rPr>
      </w:pPr>
    </w:p>
    <w:p w:rsidR="004B23ED" w:rsidRDefault="004B23ED" w:rsidP="004B23ED">
      <w:pPr>
        <w:spacing w:after="240"/>
        <w:contextualSpacing/>
        <w:jc w:val="center"/>
        <w:rPr>
          <w:rFonts w:ascii="Arial" w:hAnsi="Arial" w:cs="Arial"/>
          <w:kern w:val="2"/>
          <w:lang w:eastAsia="en-US"/>
        </w:rPr>
      </w:pPr>
    </w:p>
    <w:p w:rsidR="004B23ED" w:rsidRDefault="004B23ED" w:rsidP="004B23ED">
      <w:pPr>
        <w:spacing w:after="240"/>
        <w:contextualSpacing/>
        <w:jc w:val="center"/>
        <w:rPr>
          <w:rFonts w:ascii="Arial" w:hAnsi="Arial" w:cs="Arial"/>
          <w:kern w:val="2"/>
          <w:lang w:eastAsia="en-US"/>
        </w:rPr>
      </w:pPr>
    </w:p>
    <w:p w:rsidR="004B23ED" w:rsidRDefault="004B23ED" w:rsidP="004B23ED">
      <w:pPr>
        <w:spacing w:after="240"/>
        <w:contextualSpacing/>
        <w:jc w:val="center"/>
        <w:rPr>
          <w:rFonts w:ascii="Arial" w:hAnsi="Arial" w:cs="Arial"/>
          <w:kern w:val="2"/>
          <w:lang w:eastAsia="en-US"/>
        </w:rPr>
      </w:pPr>
    </w:p>
    <w:p w:rsidR="004B23ED" w:rsidRDefault="004B23ED" w:rsidP="004B23ED">
      <w:pPr>
        <w:spacing w:after="240"/>
        <w:contextualSpacing/>
        <w:jc w:val="center"/>
        <w:rPr>
          <w:rFonts w:ascii="Arial" w:hAnsi="Arial" w:cs="Arial"/>
          <w:kern w:val="2"/>
          <w:lang w:eastAsia="en-US"/>
        </w:rPr>
      </w:pPr>
    </w:p>
    <w:p w:rsidR="004B23ED" w:rsidRDefault="004B23ED" w:rsidP="004B23ED">
      <w:pPr>
        <w:spacing w:after="240"/>
        <w:contextualSpacing/>
        <w:jc w:val="center"/>
        <w:rPr>
          <w:rFonts w:ascii="Arial" w:hAnsi="Arial" w:cs="Arial"/>
          <w:kern w:val="2"/>
          <w:lang w:eastAsia="en-US"/>
        </w:rPr>
      </w:pPr>
    </w:p>
    <w:p w:rsidR="004B23ED" w:rsidRPr="00461035" w:rsidRDefault="004B23ED" w:rsidP="004B23ED">
      <w:pPr>
        <w:spacing w:after="240"/>
        <w:contextualSpacing/>
        <w:jc w:val="center"/>
        <w:rPr>
          <w:rFonts w:ascii="Arial" w:hAnsi="Arial" w:cs="Arial"/>
          <w:kern w:val="2"/>
          <w:lang w:eastAsia="en-US"/>
        </w:rPr>
      </w:pPr>
      <w:r w:rsidRPr="004B23ED">
        <w:rPr>
          <w:rFonts w:ascii="Arial" w:hAnsi="Arial" w:cs="Arial"/>
          <w:noProof/>
          <w:kern w:val="2"/>
          <w:lang w:val="es-MX" w:eastAsia="es-MX"/>
        </w:rPr>
        <w:drawing>
          <wp:inline distT="0" distB="0" distL="0" distR="0">
            <wp:extent cx="5886450" cy="4295775"/>
            <wp:effectExtent l="0" t="0" r="0" b="0"/>
            <wp:docPr id="1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C705C9" w:rsidRDefault="00C705C9">
      <w:pPr>
        <w:rPr>
          <w:rFonts w:ascii="Arial" w:hAnsi="Arial" w:cs="Arial"/>
          <w:kern w:val="2"/>
          <w:lang w:eastAsia="en-US"/>
        </w:rPr>
      </w:pPr>
      <w:r>
        <w:rPr>
          <w:rFonts w:ascii="Arial" w:hAnsi="Arial" w:cs="Arial"/>
          <w:kern w:val="2"/>
          <w:lang w:eastAsia="en-US"/>
        </w:rPr>
        <w:br w:type="page"/>
      </w:r>
    </w:p>
    <w:p w:rsidR="00461035" w:rsidRPr="00C705C9"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w:t>
      </w:r>
      <w:r w:rsidR="009F70D3">
        <w:rPr>
          <w:rFonts w:ascii="Arial" w:hAnsi="Arial" w:cs="Arial"/>
          <w:b/>
          <w:kern w:val="2"/>
          <w:lang w:eastAsia="en-US"/>
        </w:rPr>
        <w:t>2</w:t>
      </w:r>
      <w:r>
        <w:rPr>
          <w:rFonts w:ascii="Arial" w:hAnsi="Arial" w:cs="Arial"/>
          <w:b/>
          <w:kern w:val="2"/>
          <w:lang w:eastAsia="en-US"/>
        </w:rPr>
        <w:t>.3.-</w:t>
      </w:r>
      <w:r w:rsidR="00461035" w:rsidRPr="00C705C9">
        <w:rPr>
          <w:rFonts w:ascii="Arial" w:hAnsi="Arial" w:cs="Arial"/>
          <w:b/>
          <w:kern w:val="2"/>
          <w:lang w:eastAsia="en-US"/>
        </w:rPr>
        <w:t xml:space="preserve"> CONVENIOS.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El Decreto de Presupuesto de Egresos de la Federación para el ejercicio fiscal 2016, autoriza a las dependencias y entidades federales para que con cargo a sus respectivos presupuestos y por medio de convenios específicos con las dependencias y entidades de los gobiernos, puedan reasignar recursos a las entidades federativas para la atención de programas de beneficencia social.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Durante el periodo que se informa fueron reasignados recursos para Oaxaca por </w:t>
      </w:r>
      <w:r w:rsidR="00C705C9">
        <w:rPr>
          <w:rFonts w:ascii="Arial" w:hAnsi="Arial" w:cs="Arial"/>
          <w:kern w:val="2"/>
          <w:lang w:eastAsia="en-US"/>
        </w:rPr>
        <w:t>un</w:t>
      </w:r>
      <w:r w:rsidRPr="00461035">
        <w:rPr>
          <w:rFonts w:ascii="Arial" w:hAnsi="Arial" w:cs="Arial"/>
          <w:kern w:val="2"/>
          <w:lang w:eastAsia="en-US"/>
        </w:rPr>
        <w:t xml:space="preserve"> mil 313 millones 856 mil pesos, cantidad superior en 325.44 por ciento respecto a lo estimado en la Ley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lastRenderedPageBreak/>
        <w:drawing>
          <wp:inline distT="0" distB="0" distL="0" distR="0">
            <wp:extent cx="5882005" cy="7045612"/>
            <wp:effectExtent l="0" t="0" r="4445" b="3175"/>
            <wp:docPr id="320"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7045612"/>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Pr="00C705C9" w:rsidRDefault="00C97BDE" w:rsidP="00461035">
      <w:pPr>
        <w:spacing w:after="240"/>
        <w:contextualSpacing/>
        <w:jc w:val="both"/>
        <w:rPr>
          <w:rFonts w:ascii="Arial" w:hAnsi="Arial" w:cs="Arial"/>
          <w:b/>
          <w:kern w:val="2"/>
          <w:lang w:eastAsia="en-US"/>
        </w:rPr>
      </w:pPr>
      <w:r>
        <w:rPr>
          <w:rFonts w:ascii="Arial" w:hAnsi="Arial" w:cs="Arial"/>
          <w:b/>
          <w:kern w:val="2"/>
          <w:lang w:eastAsia="en-US"/>
        </w:rPr>
        <w:t>3.2.4.</w:t>
      </w:r>
      <w:r w:rsidR="009F70D3">
        <w:rPr>
          <w:rFonts w:ascii="Arial" w:hAnsi="Arial" w:cs="Arial"/>
          <w:b/>
          <w:kern w:val="2"/>
          <w:lang w:eastAsia="en-US"/>
        </w:rPr>
        <w:t>2</w:t>
      </w:r>
      <w:r>
        <w:rPr>
          <w:rFonts w:ascii="Arial" w:hAnsi="Arial" w:cs="Arial"/>
          <w:b/>
          <w:kern w:val="2"/>
          <w:lang w:eastAsia="en-US"/>
        </w:rPr>
        <w:t>.4.-</w:t>
      </w:r>
      <w:r w:rsidR="00461035" w:rsidRPr="00C705C9">
        <w:rPr>
          <w:rFonts w:ascii="Arial" w:hAnsi="Arial" w:cs="Arial"/>
          <w:b/>
          <w:kern w:val="2"/>
          <w:lang w:eastAsia="en-US"/>
        </w:rPr>
        <w:t xml:space="preserve"> TRANSFERENCIAS, ASIGNACIONES, SUBSIDIOS Y OTRAS AYUDAS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En este rubro se encuentran los ingresos destinados en forma directa o indirecta a los sectores público, privado y externo, organismos y empresas paraestatales y apoyos. </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En el periodo enero-marzo del ejercicio 2016, se recibieron recursos por la cantidad de 475 millones 14 mil pesos, cantidad superior en 3.3 por ciento a lo estimado en la Ley de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inline distT="0" distB="0" distL="0" distR="0">
            <wp:extent cx="5882005" cy="5129427"/>
            <wp:effectExtent l="0" t="0" r="4445" b="0"/>
            <wp:docPr id="321"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5129427"/>
                    </a:xfrm>
                    <a:prstGeom prst="rect">
                      <a:avLst/>
                    </a:prstGeom>
                    <a:noFill/>
                    <a:ln>
                      <a:noFill/>
                    </a:ln>
                  </pic:spPr>
                </pic:pic>
              </a:graphicData>
            </a:graphic>
          </wp:inline>
        </w:drawing>
      </w:r>
    </w:p>
    <w:p w:rsidR="00461035" w:rsidRPr="00461035" w:rsidRDefault="00461035" w:rsidP="00461035">
      <w:pPr>
        <w:spacing w:after="240"/>
        <w:contextualSpacing/>
        <w:jc w:val="both"/>
        <w:rPr>
          <w:rFonts w:ascii="Arial" w:hAnsi="Arial" w:cs="Arial"/>
          <w:kern w:val="2"/>
          <w:lang w:eastAsia="en-US"/>
        </w:rPr>
      </w:pPr>
    </w:p>
    <w:p w:rsidR="00C97BDE" w:rsidRDefault="00C97BDE">
      <w:pPr>
        <w:rPr>
          <w:rFonts w:ascii="Arial" w:hAnsi="Arial" w:cs="Arial"/>
          <w:b/>
          <w:kern w:val="2"/>
          <w:lang w:eastAsia="en-US"/>
        </w:rPr>
      </w:pPr>
      <w:r>
        <w:rPr>
          <w:rFonts w:ascii="Arial" w:hAnsi="Arial" w:cs="Arial"/>
          <w:b/>
          <w:kern w:val="2"/>
          <w:lang w:eastAsia="en-US"/>
        </w:rPr>
        <w:br w:type="page"/>
      </w:r>
    </w:p>
    <w:p w:rsidR="00461035" w:rsidRPr="00C705C9" w:rsidRDefault="00C97BDE" w:rsidP="00461035">
      <w:pPr>
        <w:spacing w:after="240"/>
        <w:contextualSpacing/>
        <w:jc w:val="both"/>
        <w:rPr>
          <w:rFonts w:ascii="Arial" w:hAnsi="Arial" w:cs="Arial"/>
          <w:b/>
          <w:kern w:val="2"/>
          <w:lang w:eastAsia="en-US"/>
        </w:rPr>
      </w:pPr>
      <w:r>
        <w:rPr>
          <w:rFonts w:ascii="Arial" w:hAnsi="Arial" w:cs="Arial"/>
          <w:b/>
          <w:kern w:val="2"/>
          <w:lang w:eastAsia="en-US"/>
        </w:rPr>
        <w:lastRenderedPageBreak/>
        <w:t>3.2.4.3.-</w:t>
      </w:r>
      <w:r w:rsidR="00461035" w:rsidRPr="00C705C9">
        <w:rPr>
          <w:rFonts w:ascii="Arial" w:hAnsi="Arial" w:cs="Arial"/>
          <w:b/>
          <w:kern w:val="2"/>
          <w:lang w:eastAsia="en-US"/>
        </w:rPr>
        <w:t xml:space="preserve"> OTROS INGRESOS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En el periodo enero-marzo del ejercicio 2016, la entidad obtuvo ingresos por la cantidad de </w:t>
      </w:r>
      <w:r w:rsidR="00C705C9">
        <w:rPr>
          <w:rFonts w:ascii="Arial" w:hAnsi="Arial" w:cs="Arial"/>
          <w:kern w:val="2"/>
          <w:lang w:eastAsia="en-US"/>
        </w:rPr>
        <w:t>un</w:t>
      </w:r>
      <w:r w:rsidRPr="00461035">
        <w:rPr>
          <w:rFonts w:ascii="Arial" w:hAnsi="Arial" w:cs="Arial"/>
          <w:kern w:val="2"/>
          <w:lang w:eastAsia="en-US"/>
        </w:rPr>
        <w:t xml:space="preserve"> mil 10 millones 639 mil pesos, mismos que se integran de:</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r w:rsidRPr="00461035">
        <w:rPr>
          <w:rFonts w:ascii="Arial" w:hAnsi="Arial" w:cs="Arial"/>
          <w:kern w:val="2"/>
          <w:lang w:eastAsia="en-US"/>
        </w:rPr>
        <w:t xml:space="preserve">Intereses que generan los recursos Federales por la cantidad de 10 millones 639 mil pesos y otros ingresos por </w:t>
      </w:r>
      <w:r w:rsidR="00C705C9">
        <w:rPr>
          <w:rFonts w:ascii="Arial" w:hAnsi="Arial" w:cs="Arial"/>
          <w:kern w:val="2"/>
          <w:lang w:eastAsia="en-US"/>
        </w:rPr>
        <w:t xml:space="preserve">un mil </w:t>
      </w:r>
      <w:r w:rsidRPr="00461035">
        <w:rPr>
          <w:rFonts w:ascii="Arial" w:hAnsi="Arial" w:cs="Arial"/>
          <w:kern w:val="2"/>
          <w:lang w:eastAsia="en-US"/>
        </w:rPr>
        <w:t>millones de pesos.</w:t>
      </w:r>
    </w:p>
    <w:p w:rsidR="00461035" w:rsidRPr="00461035" w:rsidRDefault="00461035"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61035" w:rsidRDefault="00461035" w:rsidP="00461035">
      <w:pPr>
        <w:spacing w:after="240"/>
        <w:contextualSpacing/>
        <w:jc w:val="both"/>
        <w:rPr>
          <w:rFonts w:ascii="Arial" w:hAnsi="Arial" w:cs="Arial"/>
          <w:kern w:val="2"/>
          <w:lang w:eastAsia="en-US"/>
        </w:rPr>
      </w:pPr>
      <w:r w:rsidRPr="00461035">
        <w:rPr>
          <w:rFonts w:ascii="Arial" w:hAnsi="Arial" w:cs="Arial"/>
          <w:noProof/>
          <w:kern w:val="2"/>
          <w:lang w:val="es-MX" w:eastAsia="es-MX"/>
        </w:rPr>
        <w:drawing>
          <wp:inline distT="0" distB="0" distL="0" distR="0">
            <wp:extent cx="5882005" cy="2566249"/>
            <wp:effectExtent l="0" t="0" r="4445" b="5715"/>
            <wp:docPr id="32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2566249"/>
                    </a:xfrm>
                    <a:prstGeom prst="rect">
                      <a:avLst/>
                    </a:prstGeom>
                    <a:noFill/>
                    <a:ln>
                      <a:noFill/>
                    </a:ln>
                  </pic:spPr>
                </pic:pic>
              </a:graphicData>
            </a:graphic>
          </wp:inline>
        </w:drawing>
      </w:r>
    </w:p>
    <w:p w:rsidR="004B23ED" w:rsidRDefault="004B23ED" w:rsidP="00461035">
      <w:pPr>
        <w:spacing w:after="240"/>
        <w:contextualSpacing/>
        <w:jc w:val="both"/>
        <w:rPr>
          <w:rFonts w:ascii="Arial" w:hAnsi="Arial" w:cs="Arial"/>
          <w:kern w:val="2"/>
          <w:lang w:eastAsia="en-US"/>
        </w:rPr>
      </w:pPr>
    </w:p>
    <w:p w:rsidR="004B23ED" w:rsidRPr="00461035" w:rsidRDefault="004B23ED" w:rsidP="00461035">
      <w:pPr>
        <w:spacing w:after="240"/>
        <w:contextualSpacing/>
        <w:jc w:val="both"/>
        <w:rPr>
          <w:rFonts w:ascii="Arial" w:hAnsi="Arial" w:cs="Arial"/>
          <w:kern w:val="2"/>
          <w:lang w:eastAsia="en-US"/>
        </w:rPr>
      </w:pPr>
    </w:p>
    <w:p w:rsidR="00461035" w:rsidRPr="00461035" w:rsidRDefault="00461035" w:rsidP="00461035">
      <w:pPr>
        <w:spacing w:after="240"/>
        <w:contextualSpacing/>
        <w:jc w:val="both"/>
        <w:rPr>
          <w:rFonts w:ascii="Arial" w:hAnsi="Arial" w:cs="Arial"/>
          <w:kern w:val="2"/>
          <w:lang w:eastAsia="en-US"/>
        </w:rPr>
      </w:pPr>
    </w:p>
    <w:p w:rsidR="00497A47" w:rsidRDefault="004B23ED" w:rsidP="004B23ED">
      <w:pPr>
        <w:jc w:val="center"/>
        <w:rPr>
          <w:rFonts w:ascii="Arial" w:hAnsi="Arial" w:cs="Arial"/>
          <w:kern w:val="2"/>
          <w:lang w:eastAsia="en-US"/>
        </w:rPr>
      </w:pPr>
      <w:bookmarkStart w:id="0" w:name="_GoBack"/>
      <w:bookmarkEnd w:id="0"/>
      <w:r w:rsidRPr="004B23ED">
        <w:rPr>
          <w:rFonts w:ascii="Arial" w:hAnsi="Arial" w:cs="Arial"/>
          <w:noProof/>
          <w:kern w:val="2"/>
          <w:lang w:val="es-MX" w:eastAsia="es-MX"/>
        </w:rPr>
        <w:drawing>
          <wp:inline distT="0" distB="0" distL="0" distR="0">
            <wp:extent cx="5314950" cy="2247900"/>
            <wp:effectExtent l="19050" t="0" r="0" b="0"/>
            <wp:docPr id="1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B23ED" w:rsidRDefault="004B23ED">
      <w:pPr>
        <w:rPr>
          <w:rFonts w:ascii="Arial" w:hAnsi="Arial" w:cs="Arial"/>
          <w:b/>
          <w:kern w:val="2"/>
          <w:lang w:eastAsia="en-US"/>
        </w:rPr>
      </w:pPr>
      <w:r>
        <w:rPr>
          <w:rFonts w:ascii="Arial" w:hAnsi="Arial" w:cs="Arial"/>
          <w:b/>
          <w:kern w:val="2"/>
          <w:lang w:eastAsia="en-US"/>
        </w:rPr>
        <w:br w:type="page"/>
      </w:r>
    </w:p>
    <w:p w:rsidR="00497A47" w:rsidRDefault="000D5CC7" w:rsidP="00461035">
      <w:pPr>
        <w:spacing w:after="240"/>
        <w:contextualSpacing/>
        <w:jc w:val="both"/>
        <w:rPr>
          <w:rFonts w:ascii="Arial" w:hAnsi="Arial" w:cs="Arial"/>
          <w:b/>
          <w:kern w:val="2"/>
          <w:lang w:eastAsia="en-US"/>
        </w:rPr>
      </w:pPr>
      <w:r>
        <w:rPr>
          <w:rFonts w:ascii="Arial" w:hAnsi="Arial" w:cs="Arial"/>
          <w:b/>
          <w:kern w:val="2"/>
          <w:lang w:eastAsia="en-US"/>
        </w:rPr>
        <w:lastRenderedPageBreak/>
        <w:t>3.3.-</w:t>
      </w:r>
      <w:r w:rsidR="00497A47" w:rsidRPr="00497A47">
        <w:rPr>
          <w:rFonts w:ascii="Arial" w:hAnsi="Arial" w:cs="Arial"/>
          <w:b/>
          <w:kern w:val="2"/>
          <w:lang w:eastAsia="en-US"/>
        </w:rPr>
        <w:t xml:space="preserve"> OPINIÓN DE LAS CALIFICADORAS</w:t>
      </w:r>
    </w:p>
    <w:p w:rsidR="00A271FE" w:rsidRDefault="00A271FE" w:rsidP="00461035">
      <w:pPr>
        <w:spacing w:after="240"/>
        <w:contextualSpacing/>
        <w:jc w:val="both"/>
        <w:rPr>
          <w:rFonts w:ascii="Arial" w:hAnsi="Arial" w:cs="Arial"/>
          <w:b/>
          <w:kern w:val="2"/>
          <w:lang w:eastAsia="en-US"/>
        </w:rPr>
      </w:pPr>
    </w:p>
    <w:p w:rsidR="000A3F29" w:rsidRPr="000A3F29" w:rsidRDefault="000D5CC7" w:rsidP="000A3F29">
      <w:pPr>
        <w:spacing w:after="240"/>
        <w:contextualSpacing/>
        <w:jc w:val="both"/>
        <w:rPr>
          <w:rFonts w:ascii="Arial" w:hAnsi="Arial" w:cs="Arial"/>
          <w:b/>
          <w:kern w:val="2"/>
          <w:lang w:eastAsia="en-US"/>
        </w:rPr>
      </w:pPr>
      <w:r>
        <w:rPr>
          <w:rFonts w:ascii="Arial" w:hAnsi="Arial" w:cs="Arial"/>
          <w:b/>
          <w:kern w:val="2"/>
          <w:lang w:eastAsia="en-US"/>
        </w:rPr>
        <w:t xml:space="preserve">3.3.1.- </w:t>
      </w:r>
      <w:r w:rsidRPr="000A3F29">
        <w:rPr>
          <w:rFonts w:ascii="Arial" w:hAnsi="Arial" w:cs="Arial"/>
          <w:b/>
          <w:kern w:val="2"/>
          <w:lang w:eastAsia="en-US"/>
        </w:rPr>
        <w:t>OPINIÓN DE CALIDAD CREDITICIA AL ESTADO DE OAXACA.</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Durante el primer trimestre del año 2016, no se ha presentado  ninguna opinión de parte de las agencias calificadoras, por lo tanto se mantienen los mismos comentarios y calificaciones emitidas durante el año 2015.</w:t>
      </w:r>
    </w:p>
    <w:p w:rsidR="000A3F29" w:rsidRP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La opinión de una agencia calificadora invariablemente es de suma importancia ante el medio financiero y la opinión pública. La calificación emitida por estas instituciones confirma la calidad crediticia, en otros términos es el riesgo crediticio  que amerita por  las obligaciones financieras contraídas, en este caso por el Estado de Oaxaca. En este sentido, se ha contratado el servicio profesional de cuatro agencias calificadoras encargadas de observar y determinar en qué condiciones crediticias se encuentra el Estado en base al análisis socioeconómico. Además, la información reportada, ha servido como medida de comparación con los  pares nacionales. </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FITCH RATINGS (Junio 23, 2015).</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Fitch confirmó una vez más la calificación de ‘A-(mex)’, correspondiente a la calidad crediticia del Estado de Oaxaca y  la perspectiva  se mantiene ‘estable’. El  significado es de “Alta Calidad Crediticia”. Los factores claves para fundamentar la calificación son los siguientes:</w:t>
      </w:r>
    </w:p>
    <w:p w:rsidR="000A3F29" w:rsidRP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Indicadores de deuda adecuados, dinamismo en la recaudación local, gasto operacional creciente, liquidez satisfactoria aunque pasivo circulante creciente, más exposición a desastres naturales que implica egresos extraordinarios, una carga financiera mayor y un  nivel elevado de marginación como resultado que la base económica se sustenta en sector primario.</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Las fortalezas y limitantes de la calificación se encuentran balanceadas, por lo que la Perspectiva se mantiene Estable.</w:t>
      </w:r>
    </w:p>
    <w:p w:rsid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MOODY’S (Julio 10, 2015).</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Moody’s Ratifica y asigna al Estado de Oaxaca las calificaciones de emisor de A2.mx (Escala Nacional de México) y Ba2 (Escala Global, moneda nacional), que reflejan niveles moderados de deuda  indirecta neta equivalente a 18.7 % de los ingresos totales al cierre de 2014 y los bajos pasivos por pensiones en relación a sus pares nacionales. </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lastRenderedPageBreak/>
        <w:t>Moody’s cambia la perspectiva del Estado de Oaxaca a negativa. Su opinión, es debido al riesgo que puede tener a la calidad crediticia del estado y  la expectativa que los déficits financieros recurrentes de los últimos tres años que han sido financiados con deuda de corto plazo.</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STANDARD &amp; POOR’S (Septiembre 24, 2015).</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Estándar Poor’s Confirma la calificación de riesgo crediticio en escala nacional de ‘mxA-‘, al Estado de Oaxaca;  así mismo, revisa la perspectiva de estable a negativa. </w:t>
      </w:r>
    </w:p>
    <w:p w:rsidR="000A3F29" w:rsidRP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También reporta que durante esta administración la trasparencia fiscal ha prosperado, al tiempo que han aumentado los ingresos propios principalmente al fortalecimiento de la recaudación de impuestos, el sistema de pensiones avanza permanentemente en la planeación a largo plazo, sobre este punto, no estiman ninguna presión. La calificación emitida contempla un nivel de deuda moderado con la espera que se mantenga por debajo del 30 % del total de los ingresos operativos durante los próximos dos años. </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HR RATINGS (Diciembre 04, 2015)</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HR Rating ratifica  la calificación de HR A-   y modificó la Perspectiva a Negativa de Estable al Estado de Oaxaca. Esta calificación es equivalente a la de Fitch y Estadard &amp; Poor’s; por otro lado Moody’s la mantiene a un nivel superior inmediato, lo que resulta  estandarizar la opinión crediticia de las agencias calificadoras. El cambio de Perspectiva se debe al continuo uso de financiamiento a Corto Plazo. Estima que durante 2016, no se adquirirán  financiamientos a corto plazo o largo plazo ya que tales circunstancias podría afectar el riesgo crediticio, enfocó la atención en el comportamiento de la deuda y financiamiento a corto plazo. Lo relacionado con el Sistema de Pensiones observa que en el último estudio actuarial incluye la cuantificación del impacto de la Reforma a la Ley de Pensiones y estima que bajo la nueva Ley se ampliará el periodo de suficiencia hasta el año 2022 y no considera que para este año que las aportaciones extraordinarias llegara a impactar en el Gasto Corriente del Estado en mediano plazo. </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b/>
          <w:kern w:val="2"/>
          <w:lang w:eastAsia="en-US"/>
        </w:rPr>
        <w:t>Conclusión:</w:t>
      </w:r>
      <w:r w:rsidRPr="000A3F29">
        <w:rPr>
          <w:rFonts w:ascii="Arial" w:hAnsi="Arial" w:cs="Arial"/>
          <w:kern w:val="2"/>
          <w:lang w:eastAsia="en-US"/>
        </w:rPr>
        <w:t xml:space="preserve"> las calificaciones otorgadas por todas la calificadoras enunciadas coinciden en términos generales, que la Cuenta Pública del Estado por el Periodo enero-diciembre del ejercicio 2015; el  Estado de Oaxaca tiene todavía una sólida capacidad de pago de intereses como del principal y es poco susceptible a cambios económicos, cuyo significado se entendería como que el Estado ofrece seguridad para el pago de sus obligaciones contratadas. </w:t>
      </w:r>
    </w:p>
    <w:p w:rsidR="000A3F29" w:rsidRPr="000A3F29" w:rsidRDefault="000A3F29" w:rsidP="000A3F29">
      <w:pPr>
        <w:spacing w:after="240"/>
        <w:contextualSpacing/>
        <w:jc w:val="both"/>
        <w:rPr>
          <w:rFonts w:ascii="Arial" w:hAnsi="Arial" w:cs="Arial"/>
          <w:kern w:val="2"/>
          <w:lang w:eastAsia="en-US"/>
        </w:rPr>
      </w:pPr>
    </w:p>
    <w:p w:rsidR="000A3F29" w:rsidRDefault="000A3F29">
      <w:pPr>
        <w:rPr>
          <w:rFonts w:ascii="Arial" w:hAnsi="Arial" w:cs="Arial"/>
          <w:kern w:val="2"/>
          <w:lang w:eastAsia="en-US"/>
        </w:rPr>
      </w:pPr>
      <w:r>
        <w:rPr>
          <w:rFonts w:ascii="Arial" w:hAnsi="Arial" w:cs="Arial"/>
          <w:kern w:val="2"/>
          <w:lang w:eastAsia="en-US"/>
        </w:rPr>
        <w:br w:type="page"/>
      </w:r>
    </w:p>
    <w:p w:rsidR="000A3F29" w:rsidRDefault="000D5CC7" w:rsidP="000A3F29">
      <w:pPr>
        <w:spacing w:after="240"/>
        <w:contextualSpacing/>
        <w:jc w:val="both"/>
        <w:rPr>
          <w:rFonts w:ascii="Arial" w:hAnsi="Arial" w:cs="Arial"/>
          <w:b/>
          <w:kern w:val="2"/>
          <w:lang w:eastAsia="en-US"/>
        </w:rPr>
      </w:pPr>
      <w:r>
        <w:rPr>
          <w:rFonts w:ascii="Arial" w:hAnsi="Arial" w:cs="Arial"/>
          <w:b/>
          <w:kern w:val="2"/>
          <w:lang w:eastAsia="en-US"/>
        </w:rPr>
        <w:lastRenderedPageBreak/>
        <w:t>3.3.2.-</w:t>
      </w:r>
      <w:r w:rsidR="000A3F29">
        <w:rPr>
          <w:rFonts w:ascii="Arial" w:hAnsi="Arial" w:cs="Arial"/>
          <w:b/>
          <w:kern w:val="2"/>
          <w:lang w:eastAsia="en-US"/>
        </w:rPr>
        <w:t xml:space="preserve"> </w:t>
      </w:r>
      <w:r w:rsidR="000A3F29" w:rsidRPr="000A3F29">
        <w:rPr>
          <w:rFonts w:ascii="Arial" w:hAnsi="Arial" w:cs="Arial"/>
          <w:b/>
          <w:kern w:val="2"/>
          <w:lang w:eastAsia="en-US"/>
        </w:rPr>
        <w:t>OPINIÓN A LOS CRÉDITOS</w:t>
      </w:r>
    </w:p>
    <w:p w:rsidR="000A3F29" w:rsidRPr="000A3F29" w:rsidRDefault="000A3F29" w:rsidP="000A3F29">
      <w:pPr>
        <w:spacing w:after="240"/>
        <w:contextualSpacing/>
        <w:jc w:val="both"/>
        <w:rPr>
          <w:rFonts w:ascii="Arial" w:hAnsi="Arial" w:cs="Arial"/>
          <w:b/>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FITCH RATINGS, MÉXICO (Mayo 21,2014).</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Ratifica  la calificación de ‘AA(mex)’, al crédito bancario contratado por el Estado de Oaxaca con BANOBRAS, Fondo Nacional de Reconstrucción (FONAREC), por un monto de hasta de 2 mil 82 millones 453 mil pesos con un plazo de 20 años. El destino de dicho crédito, es particularmente para cubrir las aportaciones del Estado de Oaxaca como contraparte correspondiente al Fideicomiso FONDEN Estatal, relativas a Declaratorias de Desastres Naturales emitidas por la Secretaría de Gobernación en el año 2010 y/o solventar el costo de obras y acciones de reconstrucción de infraestructura estatal acordadas con el Ejecutivo Federal en virtud de los daños ocasionados por fenómenos naturales ocurridos en 2010.</w:t>
      </w:r>
    </w:p>
    <w:p w:rsidR="000A3F29" w:rsidRPr="000A3F29" w:rsidRDefault="000A3F29" w:rsidP="000A3F29">
      <w:pPr>
        <w:spacing w:after="240"/>
        <w:contextualSpacing/>
        <w:jc w:val="both"/>
        <w:rPr>
          <w:rFonts w:ascii="Arial" w:hAnsi="Arial" w:cs="Arial"/>
          <w:kern w:val="2"/>
          <w:lang w:eastAsia="en-US"/>
        </w:rPr>
      </w:pPr>
    </w:p>
    <w:p w:rsidR="000D5CC7" w:rsidRDefault="000D5CC7">
      <w:pPr>
        <w:rPr>
          <w:rFonts w:ascii="Arial" w:hAnsi="Arial" w:cs="Arial"/>
          <w:b/>
          <w:kern w:val="2"/>
          <w:lang w:eastAsia="en-US"/>
        </w:rPr>
      </w:pPr>
      <w:r>
        <w:rPr>
          <w:rFonts w:ascii="Arial" w:hAnsi="Arial" w:cs="Arial"/>
          <w:b/>
          <w:kern w:val="2"/>
          <w:lang w:eastAsia="en-US"/>
        </w:rPr>
        <w:br w:type="page"/>
      </w:r>
    </w:p>
    <w:p w:rsidR="000A3F29" w:rsidRDefault="000D5CC7" w:rsidP="000A3F29">
      <w:pPr>
        <w:spacing w:after="240"/>
        <w:contextualSpacing/>
        <w:jc w:val="both"/>
        <w:rPr>
          <w:rFonts w:ascii="Arial" w:hAnsi="Arial" w:cs="Arial"/>
          <w:b/>
          <w:kern w:val="2"/>
          <w:lang w:eastAsia="en-US"/>
        </w:rPr>
      </w:pPr>
      <w:r>
        <w:rPr>
          <w:rFonts w:ascii="Arial" w:hAnsi="Arial" w:cs="Arial"/>
          <w:b/>
          <w:kern w:val="2"/>
          <w:lang w:eastAsia="en-US"/>
        </w:rPr>
        <w:lastRenderedPageBreak/>
        <w:t xml:space="preserve">3.3.3.- </w:t>
      </w:r>
      <w:r w:rsidR="000A3F29" w:rsidRPr="000A3F29">
        <w:rPr>
          <w:rFonts w:ascii="Arial" w:hAnsi="Arial" w:cs="Arial"/>
          <w:b/>
          <w:kern w:val="2"/>
          <w:lang w:eastAsia="en-US"/>
        </w:rPr>
        <w:t>OPINIÓN SOBRE LAS EMISIONES BURSÁTILES.</w:t>
      </w:r>
    </w:p>
    <w:p w:rsidR="000D5CC7" w:rsidRPr="000A3F29" w:rsidRDefault="000D5CC7" w:rsidP="000A3F29">
      <w:pPr>
        <w:spacing w:after="240"/>
        <w:contextualSpacing/>
        <w:jc w:val="both"/>
        <w:rPr>
          <w:rFonts w:ascii="Arial" w:hAnsi="Arial" w:cs="Arial"/>
          <w:b/>
          <w:kern w:val="2"/>
          <w:lang w:eastAsia="en-US"/>
        </w:rPr>
      </w:pPr>
    </w:p>
    <w:p w:rsidR="000A3F29" w:rsidRPr="000A3F29" w:rsidRDefault="000D5CC7" w:rsidP="000A3F29">
      <w:pPr>
        <w:spacing w:after="240"/>
        <w:contextualSpacing/>
        <w:jc w:val="both"/>
        <w:rPr>
          <w:rFonts w:ascii="Arial" w:hAnsi="Arial" w:cs="Arial"/>
          <w:b/>
          <w:kern w:val="2"/>
          <w:lang w:eastAsia="en-US"/>
        </w:rPr>
      </w:pPr>
      <w:r>
        <w:rPr>
          <w:rFonts w:ascii="Arial" w:hAnsi="Arial" w:cs="Arial"/>
          <w:b/>
          <w:kern w:val="2"/>
          <w:lang w:eastAsia="en-US"/>
        </w:rPr>
        <w:t xml:space="preserve">3.3.3.1.- </w:t>
      </w:r>
      <w:r w:rsidRPr="000A3F29">
        <w:rPr>
          <w:rFonts w:ascii="Arial" w:hAnsi="Arial" w:cs="Arial"/>
          <w:b/>
          <w:kern w:val="2"/>
          <w:lang w:eastAsia="en-US"/>
        </w:rPr>
        <w:t xml:space="preserve">CERTIFICADO BURSÁTILES FIDUCIARIOS </w:t>
      </w:r>
      <w:r>
        <w:rPr>
          <w:rFonts w:ascii="Arial" w:hAnsi="Arial" w:cs="Arial"/>
          <w:b/>
          <w:kern w:val="2"/>
          <w:lang w:eastAsia="en-US"/>
        </w:rPr>
        <w:t>(</w:t>
      </w:r>
      <w:r w:rsidRPr="000A3F29">
        <w:rPr>
          <w:rFonts w:ascii="Arial" w:hAnsi="Arial" w:cs="Arial"/>
          <w:b/>
          <w:kern w:val="2"/>
          <w:lang w:eastAsia="en-US"/>
        </w:rPr>
        <w:t>OAX</w:t>
      </w:r>
      <w:r>
        <w:rPr>
          <w:rFonts w:ascii="Arial" w:hAnsi="Arial" w:cs="Arial"/>
          <w:b/>
          <w:kern w:val="2"/>
          <w:lang w:eastAsia="en-US"/>
        </w:rPr>
        <w:t>A</w:t>
      </w:r>
      <w:r w:rsidRPr="000A3F29">
        <w:rPr>
          <w:rFonts w:ascii="Arial" w:hAnsi="Arial" w:cs="Arial"/>
          <w:b/>
          <w:kern w:val="2"/>
          <w:lang w:eastAsia="en-US"/>
        </w:rPr>
        <w:t>C</w:t>
      </w:r>
      <w:r>
        <w:rPr>
          <w:rFonts w:ascii="Arial" w:hAnsi="Arial" w:cs="Arial"/>
          <w:b/>
          <w:kern w:val="2"/>
          <w:lang w:eastAsia="en-US"/>
        </w:rPr>
        <w:t>A 0</w:t>
      </w:r>
      <w:r w:rsidRPr="000A3F29">
        <w:rPr>
          <w:rFonts w:ascii="Arial" w:hAnsi="Arial" w:cs="Arial"/>
          <w:b/>
          <w:kern w:val="2"/>
          <w:lang w:eastAsia="en-US"/>
        </w:rPr>
        <w:t>7U</w:t>
      </w:r>
      <w:r>
        <w:rPr>
          <w:rFonts w:ascii="Arial" w:hAnsi="Arial" w:cs="Arial"/>
          <w:b/>
          <w:kern w:val="2"/>
          <w:lang w:eastAsia="en-US"/>
        </w:rPr>
        <w:t>)</w:t>
      </w:r>
      <w:r w:rsidRPr="000A3F29">
        <w:rPr>
          <w:rFonts w:ascii="Arial" w:hAnsi="Arial" w:cs="Arial"/>
          <w:b/>
          <w:kern w:val="2"/>
          <w:lang w:eastAsia="en-US"/>
        </w:rPr>
        <w:t xml:space="preserve">. </w:t>
      </w:r>
    </w:p>
    <w:p w:rsid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b/>
          <w:kern w:val="2"/>
          <w:lang w:eastAsia="en-US"/>
        </w:rPr>
        <w:t>STANDARD &amp; POOR’S, (Septiembre 24, 2015)</w:t>
      </w:r>
      <w:r w:rsidRPr="000A3F29">
        <w:rPr>
          <w:rFonts w:ascii="Arial" w:hAnsi="Arial" w:cs="Arial"/>
          <w:kern w:val="2"/>
          <w:lang w:eastAsia="en-US"/>
        </w:rPr>
        <w:t xml:space="preserve">. </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Estándar &amp; Poor’s, confirma la calificación de largo plazo en escala nacional –Caval- de ‘mxAA’ de la emisión OAXCB O7U del Estado de Oaxaca. En esta operación bursátil el emisor fue la Fiduciaria HSBC a través del Fideicomiso F/246859 y es respaldada por el 100 % de los ingresos presentes y futuros del Impuesto Sobre Nóminas (ISN) y Derechos Vehiculares (DV) del Estado de Oaxaca. La calificación toma como punto de partida la calificación de riesgo crediticio del Estado de Oaxaca de ‘mxA-‘ e incorpora los niveles de cobertura de servicio  de deuda proyectado bajo los escenarios de estrés que son suficientes para respaldar dicha calificación. Además esta emisión cuenta con un contrato de cobertura (swap) con vencimiento en mayo de 2017.</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FITCH RATINGS, (Agosto 18, 2015).</w:t>
      </w:r>
    </w:p>
    <w:p w:rsid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Ratifica la calificación de AA+(mex), calificación asignada desde el 11 de diciembre de 2007,  fecha de la emisión de los Certificados Bursátiles Fiduciarios. Los factores claves de la calificación son los siguientes: una Estructura Legal y Financiera de los fideicomisos que sirven como fuente de pago de la emisión y la afectación irrevocable de los ingresos a dichos fideicomisos son consideradas como fundamentos y fortaleza de la emisión, Fuente Pago, el 100 % de los ingreso derivados de Impuesto Sobre Nómina y Derecho Vehicular, Fondo de Reserva, Protección Adicionales a los Inversionistas y Calificación del Estado. </w:t>
      </w:r>
    </w:p>
    <w:p w:rsidR="000A3F29" w:rsidRPr="000A3F29" w:rsidRDefault="000A3F29" w:rsidP="000A3F29">
      <w:pPr>
        <w:spacing w:after="240"/>
        <w:contextualSpacing/>
        <w:jc w:val="both"/>
        <w:rPr>
          <w:rFonts w:ascii="Arial" w:hAnsi="Arial" w:cs="Arial"/>
          <w:kern w:val="2"/>
          <w:lang w:eastAsia="en-US"/>
        </w:rPr>
      </w:pPr>
    </w:p>
    <w:p w:rsidR="000D5CC7" w:rsidRDefault="000D5CC7">
      <w:pPr>
        <w:rPr>
          <w:rFonts w:ascii="Arial" w:hAnsi="Arial" w:cs="Arial"/>
          <w:b/>
          <w:kern w:val="2"/>
          <w:lang w:eastAsia="en-US"/>
        </w:rPr>
      </w:pPr>
      <w:r>
        <w:rPr>
          <w:rFonts w:ascii="Arial" w:hAnsi="Arial" w:cs="Arial"/>
          <w:b/>
          <w:kern w:val="2"/>
          <w:lang w:eastAsia="en-US"/>
        </w:rPr>
        <w:br w:type="page"/>
      </w:r>
    </w:p>
    <w:p w:rsidR="000A3F29" w:rsidRPr="000A3F29" w:rsidRDefault="000D5CC7" w:rsidP="000A3F29">
      <w:pPr>
        <w:spacing w:after="240"/>
        <w:contextualSpacing/>
        <w:jc w:val="both"/>
        <w:rPr>
          <w:rFonts w:ascii="Arial" w:hAnsi="Arial" w:cs="Arial"/>
          <w:b/>
          <w:kern w:val="2"/>
          <w:lang w:eastAsia="en-US"/>
        </w:rPr>
      </w:pPr>
      <w:r>
        <w:rPr>
          <w:rFonts w:ascii="Arial" w:hAnsi="Arial" w:cs="Arial"/>
          <w:b/>
          <w:kern w:val="2"/>
          <w:lang w:eastAsia="en-US"/>
        </w:rPr>
        <w:lastRenderedPageBreak/>
        <w:t>3.3.3.2.-</w:t>
      </w:r>
      <w:r w:rsidR="00790857">
        <w:rPr>
          <w:rFonts w:ascii="Arial" w:hAnsi="Arial" w:cs="Arial"/>
          <w:b/>
          <w:kern w:val="2"/>
          <w:lang w:eastAsia="en-US"/>
        </w:rPr>
        <w:t xml:space="preserve"> </w:t>
      </w:r>
      <w:r w:rsidR="00790857" w:rsidRPr="000A3F29">
        <w:rPr>
          <w:rFonts w:ascii="Arial" w:hAnsi="Arial" w:cs="Arial"/>
          <w:b/>
          <w:kern w:val="2"/>
          <w:lang w:eastAsia="en-US"/>
        </w:rPr>
        <w:t xml:space="preserve">CERTIFICADOS BURSÁTILES </w:t>
      </w:r>
      <w:r>
        <w:rPr>
          <w:rFonts w:ascii="Arial" w:hAnsi="Arial" w:cs="Arial"/>
          <w:b/>
          <w:kern w:val="2"/>
          <w:lang w:eastAsia="en-US"/>
        </w:rPr>
        <w:t>(</w:t>
      </w:r>
      <w:r w:rsidR="00790857" w:rsidRPr="000A3F29">
        <w:rPr>
          <w:rFonts w:ascii="Arial" w:hAnsi="Arial" w:cs="Arial"/>
          <w:b/>
          <w:kern w:val="2"/>
          <w:lang w:eastAsia="en-US"/>
        </w:rPr>
        <w:t>OAXACA 11</w:t>
      </w:r>
      <w:r>
        <w:rPr>
          <w:rFonts w:ascii="Arial" w:hAnsi="Arial" w:cs="Arial"/>
          <w:b/>
          <w:kern w:val="2"/>
          <w:lang w:eastAsia="en-US"/>
        </w:rPr>
        <w:t>)</w:t>
      </w:r>
      <w:r w:rsidR="00790857" w:rsidRPr="000A3F29">
        <w:rPr>
          <w:rFonts w:ascii="Arial" w:hAnsi="Arial" w:cs="Arial"/>
          <w:b/>
          <w:kern w:val="2"/>
          <w:lang w:eastAsia="en-US"/>
        </w:rPr>
        <w:t xml:space="preserve">. </w:t>
      </w:r>
    </w:p>
    <w:p w:rsidR="000D5CC7" w:rsidRDefault="000D5CC7" w:rsidP="000A3F29">
      <w:pPr>
        <w:spacing w:after="240"/>
        <w:contextualSpacing/>
        <w:jc w:val="both"/>
        <w:rPr>
          <w:rFonts w:ascii="Arial" w:hAnsi="Arial" w:cs="Arial"/>
          <w:b/>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STANDARD &amp; POOR’S, (Septiembre 24, 2015).</w:t>
      </w:r>
    </w:p>
    <w:p w:rsid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Asigna calificación de ‘mxAAA’ a la emisión de Certificados Bursátiles OAXACA 11. Los títulos están respaldados por el 11.65 % de las Participaciones Federales que le corresponden al Estado, además cuenta con una Garantía de Pago Oportuno (CPO) equivalente al 30 % de su saldo insoluto. Para determinar la calificación y medir el riesgo crediticio  toma como punto de partida la calificación soberana del Estado. </w:t>
      </w:r>
    </w:p>
    <w:p w:rsid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b/>
          <w:kern w:val="2"/>
          <w:lang w:eastAsia="en-US"/>
        </w:rPr>
      </w:pPr>
      <w:r w:rsidRPr="000A3F29">
        <w:rPr>
          <w:rFonts w:ascii="Arial" w:hAnsi="Arial" w:cs="Arial"/>
          <w:b/>
          <w:kern w:val="2"/>
          <w:lang w:eastAsia="en-US"/>
        </w:rPr>
        <w:t xml:space="preserve">FITCH RATING (Agosto 18, 2016). </w:t>
      </w:r>
    </w:p>
    <w:p w:rsid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Ratifica la calificación de ‘AAA(mex)’ a los títulos de Certificados Bursátiles clave de pizarra: OAXACA 11, emitidos por el Estado. </w:t>
      </w:r>
    </w:p>
    <w:p w:rsidR="000A3F29" w:rsidRP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La calificadora se basó en los siguientes factores claves:</w:t>
      </w:r>
    </w:p>
    <w:p w:rsidR="000A3F29" w:rsidRPr="000A3F29" w:rsidRDefault="000A3F29"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Estructura Legal y Financiera. Estableció un fideicomiso de administración y fuente pago para el servicio de la emisión. </w:t>
      </w:r>
    </w:p>
    <w:p w:rsidR="000A3F29" w:rsidRPr="000A3F29" w:rsidRDefault="000A3F29" w:rsidP="000A3F29">
      <w:pPr>
        <w:spacing w:after="240"/>
        <w:contextualSpacing/>
        <w:jc w:val="both"/>
        <w:rPr>
          <w:rFonts w:ascii="Arial" w:hAnsi="Arial" w:cs="Arial"/>
          <w:kern w:val="2"/>
          <w:lang w:eastAsia="en-US"/>
        </w:rPr>
      </w:pPr>
    </w:p>
    <w:p w:rsidR="000A3F29" w:rsidRPr="00790857" w:rsidRDefault="000A3F29" w:rsidP="000A3F29">
      <w:pPr>
        <w:spacing w:after="240"/>
        <w:contextualSpacing/>
        <w:jc w:val="both"/>
        <w:rPr>
          <w:rFonts w:ascii="Arial" w:hAnsi="Arial" w:cs="Arial"/>
          <w:kern w:val="2"/>
          <w:lang w:eastAsia="en-US"/>
        </w:rPr>
      </w:pPr>
      <w:r w:rsidRPr="00790857">
        <w:rPr>
          <w:rFonts w:ascii="Arial" w:hAnsi="Arial" w:cs="Arial"/>
          <w:kern w:val="2"/>
          <w:lang w:eastAsia="en-US"/>
        </w:rPr>
        <w:t>Fuente de Pago. Son participaciones  federales.</w:t>
      </w:r>
    </w:p>
    <w:p w:rsidR="000A3F29" w:rsidRPr="00790857" w:rsidRDefault="000A3F29" w:rsidP="000A3F29">
      <w:pPr>
        <w:spacing w:after="240"/>
        <w:contextualSpacing/>
        <w:jc w:val="both"/>
        <w:rPr>
          <w:rFonts w:ascii="Arial" w:hAnsi="Arial" w:cs="Arial"/>
          <w:kern w:val="2"/>
          <w:lang w:eastAsia="en-US"/>
        </w:rPr>
      </w:pPr>
      <w:r w:rsidRPr="00790857">
        <w:rPr>
          <w:rFonts w:ascii="Arial" w:hAnsi="Arial" w:cs="Arial"/>
          <w:kern w:val="2"/>
          <w:lang w:eastAsia="en-US"/>
        </w:rPr>
        <w:t>Coberturas. Ante escenarios adversos garantizan el servicio de los CBs.</w:t>
      </w:r>
    </w:p>
    <w:p w:rsidR="000A3F29" w:rsidRPr="000A3F29" w:rsidRDefault="000A3F29" w:rsidP="000A3F29">
      <w:pPr>
        <w:spacing w:after="240"/>
        <w:contextualSpacing/>
        <w:jc w:val="both"/>
        <w:rPr>
          <w:rFonts w:ascii="Arial" w:hAnsi="Arial" w:cs="Arial"/>
          <w:kern w:val="2"/>
          <w:lang w:eastAsia="en-US"/>
        </w:rPr>
      </w:pPr>
      <w:r w:rsidRPr="00790857">
        <w:rPr>
          <w:rFonts w:ascii="Arial" w:hAnsi="Arial" w:cs="Arial"/>
          <w:kern w:val="2"/>
          <w:lang w:eastAsia="en-US"/>
        </w:rPr>
        <w:t>Fondo de Reserva</w:t>
      </w:r>
      <w:r w:rsidRPr="000A3F29">
        <w:rPr>
          <w:rFonts w:ascii="Arial" w:hAnsi="Arial" w:cs="Arial"/>
          <w:kern w:val="2"/>
          <w:lang w:eastAsia="en-US"/>
        </w:rPr>
        <w:t>. Se constituyó un Fondo de Reserva equivalente a dos pagos de intereses y principal.</w:t>
      </w: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Cobertura de Tasas de Interés.</w:t>
      </w: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 xml:space="preserve">La calificación soberana del Estado. </w:t>
      </w: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Garantía de Pago Oportuno.</w:t>
      </w:r>
    </w:p>
    <w:p w:rsidR="00790857" w:rsidRDefault="00790857" w:rsidP="000A3F29">
      <w:pPr>
        <w:spacing w:after="240"/>
        <w:contextualSpacing/>
        <w:jc w:val="both"/>
        <w:rPr>
          <w:rFonts w:ascii="Arial" w:hAnsi="Arial" w:cs="Arial"/>
          <w:kern w:val="2"/>
          <w:lang w:eastAsia="en-US"/>
        </w:rPr>
      </w:pPr>
    </w:p>
    <w:p w:rsidR="000A3F29" w:rsidRPr="00790857" w:rsidRDefault="000A3F29" w:rsidP="000A3F29">
      <w:pPr>
        <w:spacing w:after="240"/>
        <w:contextualSpacing/>
        <w:jc w:val="both"/>
        <w:rPr>
          <w:rFonts w:ascii="Arial" w:hAnsi="Arial" w:cs="Arial"/>
          <w:b/>
          <w:kern w:val="2"/>
          <w:lang w:eastAsia="en-US"/>
        </w:rPr>
      </w:pPr>
      <w:r w:rsidRPr="00790857">
        <w:rPr>
          <w:rFonts w:ascii="Arial" w:hAnsi="Arial" w:cs="Arial"/>
          <w:b/>
          <w:kern w:val="2"/>
          <w:lang w:eastAsia="en-US"/>
        </w:rPr>
        <w:t xml:space="preserve">HR RATINGS (Diciembre 8, 2015). </w:t>
      </w:r>
    </w:p>
    <w:p w:rsidR="00790857" w:rsidRDefault="00790857"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Esta agencia calificadora, ratificó la calificación de HR AAA (E) con Perspectiva Estable  para los Certificados Bursátiles con clave de pizarra OAXACA 11.</w:t>
      </w:r>
    </w:p>
    <w:p w:rsidR="00790857" w:rsidRPr="000A3F29" w:rsidRDefault="00790857"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Esta ratificación es resultado principalmente del análisis financiero de los flujos futuros de la estructura estimados bajo escenarios de estrés cíclico y estrés crítico, arrojando este último ultimo un Tasa Objetivo de Estrés 91.3 %. Así mismo de importancia las características propias de la emisión:</w:t>
      </w:r>
    </w:p>
    <w:p w:rsidR="00790857" w:rsidRPr="000A3F29" w:rsidRDefault="00790857" w:rsidP="000A3F29">
      <w:pPr>
        <w:spacing w:after="240"/>
        <w:contextualSpacing/>
        <w:jc w:val="both"/>
        <w:rPr>
          <w:rFonts w:ascii="Arial" w:hAnsi="Arial" w:cs="Arial"/>
          <w:kern w:val="2"/>
          <w:lang w:eastAsia="en-US"/>
        </w:rPr>
      </w:pPr>
    </w:p>
    <w:p w:rsidR="000A3F29" w:rsidRPr="00790857" w:rsidRDefault="000A3F29" w:rsidP="00790857">
      <w:pPr>
        <w:pStyle w:val="Prrafodelista"/>
        <w:numPr>
          <w:ilvl w:val="0"/>
          <w:numId w:val="9"/>
        </w:numPr>
        <w:spacing w:after="240"/>
        <w:contextualSpacing/>
        <w:jc w:val="both"/>
        <w:rPr>
          <w:rFonts w:ascii="Arial" w:hAnsi="Arial" w:cs="Arial"/>
          <w:kern w:val="2"/>
          <w:lang w:eastAsia="en-US"/>
        </w:rPr>
      </w:pPr>
      <w:r w:rsidRPr="00790857">
        <w:rPr>
          <w:rFonts w:ascii="Arial" w:hAnsi="Arial" w:cs="Arial"/>
          <w:kern w:val="2"/>
          <w:lang w:eastAsia="en-US"/>
        </w:rPr>
        <w:t xml:space="preserve">Las participaciones federales del Estado del Fondo General de Participaciones del 11.65 %, resultan en niveles de cobertura de servicio de la deuda suficientes para respaldar la calificación. </w:t>
      </w:r>
    </w:p>
    <w:p w:rsidR="000A3F29" w:rsidRPr="00790857" w:rsidRDefault="000A3F29" w:rsidP="00790857">
      <w:pPr>
        <w:pStyle w:val="Prrafodelista"/>
        <w:numPr>
          <w:ilvl w:val="0"/>
          <w:numId w:val="9"/>
        </w:numPr>
        <w:spacing w:after="240"/>
        <w:contextualSpacing/>
        <w:jc w:val="both"/>
        <w:rPr>
          <w:rFonts w:ascii="Arial" w:hAnsi="Arial" w:cs="Arial"/>
          <w:kern w:val="2"/>
          <w:lang w:eastAsia="en-US"/>
        </w:rPr>
      </w:pPr>
      <w:r w:rsidRPr="00790857">
        <w:rPr>
          <w:rFonts w:ascii="Arial" w:hAnsi="Arial" w:cs="Arial"/>
          <w:kern w:val="2"/>
          <w:lang w:eastAsia="en-US"/>
        </w:rPr>
        <w:lastRenderedPageBreak/>
        <w:t>Una Garantía de Pago Oportuno (GPO).</w:t>
      </w:r>
    </w:p>
    <w:p w:rsidR="000A3F29" w:rsidRPr="00790857" w:rsidRDefault="000A3F29" w:rsidP="00790857">
      <w:pPr>
        <w:pStyle w:val="Prrafodelista"/>
        <w:numPr>
          <w:ilvl w:val="0"/>
          <w:numId w:val="9"/>
        </w:numPr>
        <w:spacing w:after="240"/>
        <w:contextualSpacing/>
        <w:jc w:val="both"/>
        <w:rPr>
          <w:rFonts w:ascii="Arial" w:hAnsi="Arial" w:cs="Arial"/>
          <w:kern w:val="2"/>
          <w:lang w:eastAsia="en-US"/>
        </w:rPr>
      </w:pPr>
      <w:r w:rsidRPr="00790857">
        <w:rPr>
          <w:rFonts w:ascii="Arial" w:hAnsi="Arial" w:cs="Arial"/>
          <w:kern w:val="2"/>
          <w:lang w:eastAsia="en-US"/>
        </w:rPr>
        <w:t>Fondo de reserva.</w:t>
      </w:r>
    </w:p>
    <w:p w:rsidR="000A3F29" w:rsidRPr="00790857" w:rsidRDefault="000A3F29" w:rsidP="00790857">
      <w:pPr>
        <w:pStyle w:val="Prrafodelista"/>
        <w:numPr>
          <w:ilvl w:val="0"/>
          <w:numId w:val="9"/>
        </w:numPr>
        <w:spacing w:after="240"/>
        <w:contextualSpacing/>
        <w:jc w:val="both"/>
        <w:rPr>
          <w:rFonts w:ascii="Arial" w:hAnsi="Arial" w:cs="Arial"/>
          <w:kern w:val="2"/>
          <w:lang w:eastAsia="en-US"/>
        </w:rPr>
      </w:pPr>
      <w:r w:rsidRPr="00790857">
        <w:rPr>
          <w:rFonts w:ascii="Arial" w:hAnsi="Arial" w:cs="Arial"/>
          <w:kern w:val="2"/>
          <w:lang w:eastAsia="en-US"/>
        </w:rPr>
        <w:t xml:space="preserve">Dos contratos de coberturas de intercambio de tasas de intereses contratados con BANOBRAS, los cuales mitigan el riesgo. </w:t>
      </w:r>
    </w:p>
    <w:p w:rsidR="000A3F29" w:rsidRPr="000A3F29" w:rsidRDefault="000A3F29" w:rsidP="000A3F29">
      <w:pPr>
        <w:spacing w:after="240"/>
        <w:contextualSpacing/>
        <w:jc w:val="both"/>
        <w:rPr>
          <w:rFonts w:ascii="Arial" w:hAnsi="Arial" w:cs="Arial"/>
          <w:kern w:val="2"/>
          <w:lang w:eastAsia="en-US"/>
        </w:rPr>
      </w:pPr>
    </w:p>
    <w:p w:rsidR="000D5CC7" w:rsidRDefault="000D5CC7">
      <w:pPr>
        <w:rPr>
          <w:rFonts w:ascii="Arial" w:hAnsi="Arial" w:cs="Arial"/>
          <w:b/>
          <w:kern w:val="2"/>
          <w:lang w:eastAsia="en-US"/>
        </w:rPr>
      </w:pPr>
      <w:r>
        <w:rPr>
          <w:rFonts w:ascii="Arial" w:hAnsi="Arial" w:cs="Arial"/>
          <w:b/>
          <w:kern w:val="2"/>
          <w:lang w:eastAsia="en-US"/>
        </w:rPr>
        <w:br w:type="page"/>
      </w:r>
    </w:p>
    <w:p w:rsidR="000A3F29" w:rsidRPr="00790857" w:rsidRDefault="000D5CC7" w:rsidP="000A3F29">
      <w:pPr>
        <w:spacing w:after="240"/>
        <w:contextualSpacing/>
        <w:jc w:val="both"/>
        <w:rPr>
          <w:rFonts w:ascii="Arial" w:hAnsi="Arial" w:cs="Arial"/>
          <w:b/>
          <w:kern w:val="2"/>
          <w:lang w:eastAsia="en-US"/>
        </w:rPr>
      </w:pPr>
      <w:r>
        <w:rPr>
          <w:rFonts w:ascii="Arial" w:hAnsi="Arial" w:cs="Arial"/>
          <w:b/>
          <w:kern w:val="2"/>
          <w:lang w:eastAsia="en-US"/>
        </w:rPr>
        <w:lastRenderedPageBreak/>
        <w:t xml:space="preserve">3.3.3.3.- </w:t>
      </w:r>
      <w:r w:rsidR="00790857">
        <w:rPr>
          <w:rFonts w:ascii="Arial" w:hAnsi="Arial" w:cs="Arial"/>
          <w:b/>
          <w:kern w:val="2"/>
          <w:lang w:eastAsia="en-US"/>
        </w:rPr>
        <w:t xml:space="preserve"> </w:t>
      </w:r>
      <w:r w:rsidR="00790857" w:rsidRPr="00790857">
        <w:rPr>
          <w:rFonts w:ascii="Arial" w:hAnsi="Arial" w:cs="Arial"/>
          <w:b/>
          <w:kern w:val="2"/>
          <w:lang w:eastAsia="en-US"/>
        </w:rPr>
        <w:t xml:space="preserve">CERTIFICADOS BURSÁTILES </w:t>
      </w:r>
      <w:r>
        <w:rPr>
          <w:rFonts w:ascii="Arial" w:hAnsi="Arial" w:cs="Arial"/>
          <w:b/>
          <w:kern w:val="2"/>
          <w:lang w:eastAsia="en-US"/>
        </w:rPr>
        <w:t>(</w:t>
      </w:r>
      <w:r w:rsidR="00790857" w:rsidRPr="00790857">
        <w:rPr>
          <w:rFonts w:ascii="Arial" w:hAnsi="Arial" w:cs="Arial"/>
          <w:b/>
          <w:kern w:val="2"/>
          <w:lang w:eastAsia="en-US"/>
        </w:rPr>
        <w:t>OAXACA 13</w:t>
      </w:r>
      <w:r>
        <w:rPr>
          <w:rFonts w:ascii="Arial" w:hAnsi="Arial" w:cs="Arial"/>
          <w:b/>
          <w:kern w:val="2"/>
          <w:lang w:eastAsia="en-US"/>
        </w:rPr>
        <w:t>)</w:t>
      </w:r>
      <w:r w:rsidR="00790857" w:rsidRPr="00790857">
        <w:rPr>
          <w:rFonts w:ascii="Arial" w:hAnsi="Arial" w:cs="Arial"/>
          <w:b/>
          <w:kern w:val="2"/>
          <w:lang w:eastAsia="en-US"/>
        </w:rPr>
        <w:t>.</w:t>
      </w:r>
    </w:p>
    <w:p w:rsidR="00790857" w:rsidRDefault="00790857" w:rsidP="000A3F29">
      <w:pPr>
        <w:spacing w:after="240"/>
        <w:contextualSpacing/>
        <w:jc w:val="both"/>
        <w:rPr>
          <w:rFonts w:ascii="Arial" w:hAnsi="Arial" w:cs="Arial"/>
          <w:kern w:val="2"/>
          <w:lang w:eastAsia="en-US"/>
        </w:rPr>
      </w:pPr>
    </w:p>
    <w:p w:rsidR="000A3F29" w:rsidRPr="00790857" w:rsidRDefault="000A3F29" w:rsidP="000A3F29">
      <w:pPr>
        <w:spacing w:after="240"/>
        <w:contextualSpacing/>
        <w:jc w:val="both"/>
        <w:rPr>
          <w:rFonts w:ascii="Arial" w:hAnsi="Arial" w:cs="Arial"/>
          <w:b/>
          <w:kern w:val="2"/>
          <w:lang w:eastAsia="en-US"/>
        </w:rPr>
      </w:pPr>
      <w:r w:rsidRPr="00790857">
        <w:rPr>
          <w:rFonts w:ascii="Arial" w:hAnsi="Arial" w:cs="Arial"/>
          <w:b/>
          <w:kern w:val="2"/>
          <w:lang w:eastAsia="en-US"/>
        </w:rPr>
        <w:t>FITCH RATING (Agosto 18,2015).</w:t>
      </w:r>
    </w:p>
    <w:p w:rsidR="00790857" w:rsidRDefault="00790857"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Fitch, otorga la calificación de ‘AAA(mex)vra a la emisión de Certificados Bursátiles OAXACA 13. Los factores que atribuyen a estos títulos de deuda son: la Estructura Legal y Financiera, la documentación presenta una sólida estructura jurídica -financiera, su Fuente de Pago garantizado con ingresos de FAFEF y del Fondo General de Participaciones, la calificación del Estado de Oaxaca, Bono Cupón Cero con el objetivo de principal es liquidar la última amortización y fortalecer la estructura ante la falta de liquidez, Márgenes de Seguridad y Mecanismos que Robustecen la Estructura Financiera ya que durante la vigencia de la emisión se acordó una tasa de interés fija.</w:t>
      </w:r>
    </w:p>
    <w:p w:rsidR="000A3F29" w:rsidRPr="000A3F29" w:rsidRDefault="000A3F29" w:rsidP="000A3F29">
      <w:pPr>
        <w:spacing w:after="240"/>
        <w:contextualSpacing/>
        <w:jc w:val="both"/>
        <w:rPr>
          <w:rFonts w:ascii="Arial" w:hAnsi="Arial" w:cs="Arial"/>
          <w:kern w:val="2"/>
          <w:lang w:eastAsia="en-US"/>
        </w:rPr>
      </w:pPr>
    </w:p>
    <w:p w:rsidR="000A3F29" w:rsidRPr="00790857" w:rsidRDefault="000A3F29" w:rsidP="000A3F29">
      <w:pPr>
        <w:spacing w:after="240"/>
        <w:contextualSpacing/>
        <w:jc w:val="both"/>
        <w:rPr>
          <w:rFonts w:ascii="Arial" w:hAnsi="Arial" w:cs="Arial"/>
          <w:b/>
          <w:kern w:val="2"/>
          <w:lang w:eastAsia="en-US"/>
        </w:rPr>
      </w:pPr>
      <w:r w:rsidRPr="00790857">
        <w:rPr>
          <w:rFonts w:ascii="Arial" w:hAnsi="Arial" w:cs="Arial"/>
          <w:b/>
          <w:kern w:val="2"/>
          <w:lang w:eastAsia="en-US"/>
        </w:rPr>
        <w:t xml:space="preserve">STANDARD &amp; POOR’S. (Septiembre 24, 2015). </w:t>
      </w:r>
    </w:p>
    <w:p w:rsidR="00790857" w:rsidRDefault="00790857"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Standard Poor’s confirma calificación de ‘mxAAA’ de la emisión de certificados bursátiles OAXACA 13.</w:t>
      </w:r>
    </w:p>
    <w:p w:rsidR="00790857" w:rsidRDefault="00790857"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La ratificación de la calificación se sustenta en desempeño de la transacción desde la emisión en diciembre de 2013, como la calificación de riesgo crediticio del Estado de Oaxaca. Así mismo, la calificación de estrés sobre la proyección de los flujos destinado a su pago respaldados por el 12.77 % de los ingresos derivados del Fondo de Aportaciones para el Fortalecimiento de las Entidades Federativas (FAFEF).</w:t>
      </w: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HR RATINGS (Noviembre 20, 2015).</w:t>
      </w:r>
    </w:p>
    <w:p w:rsidR="00790857" w:rsidRPr="000A3F29" w:rsidRDefault="00790857"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HR Ratings ratificó la calificación crediticia de “HR AAA (E)”, con Perspectiva Estable, a la Emisión de Certificados Bursátiles del Estado de Oaxaca, con clave de pizarra OAXACA 13.</w:t>
      </w:r>
    </w:p>
    <w:p w:rsidR="00790857" w:rsidRPr="000A3F29" w:rsidRDefault="00790857" w:rsidP="000A3F29">
      <w:pPr>
        <w:spacing w:after="240"/>
        <w:contextualSpacing/>
        <w:jc w:val="both"/>
        <w:rPr>
          <w:rFonts w:ascii="Arial" w:hAnsi="Arial" w:cs="Arial"/>
          <w:kern w:val="2"/>
          <w:lang w:eastAsia="en-US"/>
        </w:rPr>
      </w:pPr>
    </w:p>
    <w:p w:rsid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La ratificación de la calificación es el resultado del análisis de los flujos futuros de la Emisión bajo escenarios de estrés cíclico y crítico, arrojando una Tasa Objetivo de Estrés del 100 %  como se había observado el año anterior. Los recursos para el pago del mantenimiento de la emisión y las características cualitativas de la estructura  de la misma dieron como resultado dicha calificación. Además, es considerada la calificación crediticia soberana del Estado.</w:t>
      </w:r>
    </w:p>
    <w:p w:rsidR="00790857" w:rsidRPr="000A3F29" w:rsidRDefault="00790857"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r w:rsidRPr="000A3F29">
        <w:rPr>
          <w:rFonts w:ascii="Arial" w:hAnsi="Arial" w:cs="Arial"/>
          <w:kern w:val="2"/>
          <w:lang w:eastAsia="en-US"/>
        </w:rPr>
        <w:t>Se debe aclarar que la fuente primaria de pago de emisión es el 12.77 % del Fondo de Aportaciones para el Fomento de las Entidades Federativas y secundaria el 0.77 % del Fondo General de Participaciones.</w:t>
      </w:r>
    </w:p>
    <w:p w:rsidR="000A3F29" w:rsidRPr="000A3F29" w:rsidRDefault="000A3F29" w:rsidP="000A3F29">
      <w:pPr>
        <w:spacing w:after="240"/>
        <w:contextualSpacing/>
        <w:jc w:val="both"/>
        <w:rPr>
          <w:rFonts w:ascii="Arial" w:hAnsi="Arial" w:cs="Arial"/>
          <w:kern w:val="2"/>
          <w:lang w:eastAsia="en-US"/>
        </w:rPr>
      </w:pPr>
    </w:p>
    <w:p w:rsidR="000A3F29" w:rsidRPr="000A3F29" w:rsidRDefault="000A3F29" w:rsidP="000A3F29">
      <w:pPr>
        <w:spacing w:after="240"/>
        <w:contextualSpacing/>
        <w:jc w:val="both"/>
        <w:rPr>
          <w:rFonts w:ascii="Arial" w:hAnsi="Arial" w:cs="Arial"/>
          <w:kern w:val="2"/>
          <w:lang w:eastAsia="en-US"/>
        </w:rPr>
      </w:pPr>
    </w:p>
    <w:p w:rsidR="00F461B9" w:rsidRDefault="00A271FE" w:rsidP="00A271FE">
      <w:pPr>
        <w:spacing w:after="240"/>
        <w:contextualSpacing/>
        <w:jc w:val="both"/>
        <w:rPr>
          <w:rFonts w:ascii="Arial" w:hAnsi="Arial" w:cs="Arial"/>
          <w:b/>
          <w:kern w:val="2"/>
          <w:lang w:eastAsia="en-US"/>
        </w:rPr>
      </w:pPr>
      <w:r>
        <w:rPr>
          <w:rFonts w:ascii="Arial" w:hAnsi="Arial" w:cs="Arial"/>
          <w:b/>
          <w:kern w:val="2"/>
          <w:lang w:eastAsia="en-US"/>
        </w:rPr>
        <w:lastRenderedPageBreak/>
        <w:t xml:space="preserve">4.- </w:t>
      </w:r>
      <w:r w:rsidRPr="00A271FE">
        <w:rPr>
          <w:rFonts w:ascii="Arial" w:hAnsi="Arial" w:cs="Arial"/>
          <w:b/>
          <w:kern w:val="2"/>
          <w:lang w:eastAsia="en-US"/>
        </w:rPr>
        <w:t>RESULTADO DE LAS OPERACIONES DERIVADAS DE LA EJECUCIÓN DEL PRESUPUESTO DE EGRESOS Y CUMPLIMIENTO DE SUS PRINCIPALES OBJETIVOS</w:t>
      </w:r>
    </w:p>
    <w:p w:rsidR="00C66B44" w:rsidRDefault="00C66B44" w:rsidP="00A271FE">
      <w:pPr>
        <w:spacing w:after="240"/>
        <w:contextualSpacing/>
        <w:jc w:val="both"/>
        <w:rPr>
          <w:rFonts w:ascii="Arial" w:hAnsi="Arial" w:cs="Arial"/>
          <w:b/>
          <w:kern w:val="2"/>
          <w:lang w:eastAsia="en-US"/>
        </w:rPr>
      </w:pPr>
    </w:p>
    <w:p w:rsidR="005B10A6" w:rsidRDefault="005B10A6" w:rsidP="005B10A6">
      <w:pPr>
        <w:spacing w:after="240"/>
        <w:contextualSpacing/>
        <w:jc w:val="both"/>
        <w:rPr>
          <w:rFonts w:ascii="Arial" w:hAnsi="Arial" w:cs="Arial"/>
          <w:b/>
          <w:kern w:val="2"/>
          <w:lang w:eastAsia="en-US"/>
        </w:rPr>
      </w:pPr>
      <w:r w:rsidRPr="005B10A6">
        <w:rPr>
          <w:rFonts w:ascii="Arial" w:hAnsi="Arial" w:cs="Arial"/>
          <w:b/>
          <w:kern w:val="2"/>
          <w:lang w:eastAsia="en-US"/>
        </w:rPr>
        <w:t>4.1.- POLÍTICA DE GASTO PÚBLICO</w:t>
      </w:r>
    </w:p>
    <w:p w:rsidR="005B10A6" w:rsidRPr="005B10A6" w:rsidRDefault="005B10A6" w:rsidP="005B10A6">
      <w:pPr>
        <w:spacing w:after="240"/>
        <w:contextualSpacing/>
        <w:jc w:val="both"/>
        <w:rPr>
          <w:rFonts w:ascii="Arial" w:hAnsi="Arial" w:cs="Arial"/>
          <w:b/>
          <w:kern w:val="2"/>
          <w:lang w:eastAsia="en-US"/>
        </w:rPr>
      </w:pPr>
    </w:p>
    <w:p w:rsidR="005B10A6" w:rsidRPr="005B10A6" w:rsidRDefault="002053AC" w:rsidP="005B10A6">
      <w:pPr>
        <w:spacing w:after="240"/>
        <w:contextualSpacing/>
        <w:jc w:val="both"/>
        <w:rPr>
          <w:rFonts w:ascii="Arial" w:hAnsi="Arial" w:cs="Arial"/>
          <w:b/>
          <w:kern w:val="2"/>
          <w:lang w:eastAsia="en-US"/>
        </w:rPr>
      </w:pPr>
      <w:r>
        <w:rPr>
          <w:rFonts w:ascii="Arial" w:hAnsi="Arial" w:cs="Arial"/>
          <w:b/>
          <w:kern w:val="2"/>
          <w:lang w:eastAsia="en-US"/>
        </w:rPr>
        <w:t>4.1.1</w:t>
      </w:r>
      <w:r w:rsidRPr="005B10A6">
        <w:rPr>
          <w:rFonts w:ascii="Arial" w:hAnsi="Arial" w:cs="Arial"/>
          <w:b/>
          <w:kern w:val="2"/>
          <w:lang w:eastAsia="en-US"/>
        </w:rPr>
        <w:t>. ENTORNO MACROECONÓMICO</w:t>
      </w:r>
    </w:p>
    <w:p w:rsidR="005B10A6" w:rsidRPr="005B10A6" w:rsidRDefault="005B10A6" w:rsidP="005B10A6">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economía mexicana continuó expandiéndose a una tasa de crecimiento anual moderada de 2,5 por ciento en 2015. El consumo privado se convirtió en el principal motor de la actividad económica, gracias a una mayor creación de empleo, crecimiento del salario real y expansión crediticia. En cambio, las inversiones se desaceleraron, en parte por los ajustes en el gasto público.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Un ambiente externo desafiante, que incluye precios más bajos de petróleo, un endurecimiento gradual de la política monetaria en los Estados Unidos y una desaceleración de las perspectivas de crecimiento en las economías emergentes (incluida China), contribuyeron a una depreciación significativa del peso mexicano. El peso perdió casi el 30 por ciento de su valor respecto al dólar estadounidense, pero el efecto de traslado a los precios domésticos aún no se ha manifestado dado que la inflación anual se ha estado moviendo por debajo de la meta de 3 por ciento del Banco de México.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Las autoridades a cargo de las políticas fiscal y monetaria, con colaboración estrecha, recientemente anunciaron reducciones adicionales en el gasto público para 2016, un aumento en la tasa de política monetaria y un cambio de las intervenciones normativas anunciadas previamente hacia operaciones discretas en el mercado de cambios.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 pesar de un descenso en el ingreso petrolero de alrededor de 2 por ciento del PIB, el sector público logró cumplir con sus objetivos de déficit fiscal para 2015, como estaba planeado. Las necesidades crediticias del sector público representaron el 4,1 por ciento del PIB, menos que el 4,6 por ciento de 2014. La disminución de los ingresos petroleros debido a la caída de su precio y la disminución en el volumen de producción fue compensada por un aumento significativo en los ingresos fiscales, como resultado del impacto diferido de la reforma fiscal pro ingreso promulgada a fines de 2013, el aumento del impuesto al consumo sobre la venta de gasolina y diésel, y un gran volumen de ingresos no recurrentes derivados de las coberturas sobre el precio del petróleo contratadas de manera anual.</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Se estima que el crecimiento económico se desacelere levemente en 2016 debido a las medidas de política monetaria y fiscal adoptadas por la situación externa adversa pesarán negativamente sobre la demanda agregada. La estabilidad macroeconómica, </w:t>
      </w:r>
      <w:r w:rsidRPr="00FB23BE">
        <w:rPr>
          <w:rFonts w:ascii="Arial" w:hAnsi="Arial" w:cs="Arial"/>
          <w:kern w:val="2"/>
          <w:lang w:eastAsia="en-US"/>
        </w:rPr>
        <w:lastRenderedPageBreak/>
        <w:t>de precios y financiera sostenida, así como la continua confianza de los inversionistas, contribuirán a un reequilibrio de las fuentes de crecimiento con un aumento en las exportaciones (netas) e inversiones en el sector privado complementando la constante expansión del consumo privado. Se espera que un mayor progreso en la implementación de reformas estructurales en los sectores financiero, de telecomunicaciones y energía refuercen las bases para una expansión más robusta de la actividad económica en el mediano plazo.</w:t>
      </w:r>
    </w:p>
    <w:p w:rsidR="002053AC" w:rsidRPr="00FB23BE" w:rsidRDefault="002053AC"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gobierno mexicano sigue estando comprometido con la consolidación fiscal, reduciendo el déficit fiscal de manera gradual a 2,5 por ciento del PIB para 2018.</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economía mexicana se enfrenta a un ambiente externo complejo en donde la débil expansión de la actividad industrial en los Estados Unidos, la persistencia de precios bajos para el petróleo, una mayor aversión al riesgo, así como la volatilidad en los mercados financieros, presentan desafíos a la política económica y las perspectivas de crecimiento. Las prioridades en términos de política pública están centradas en mantener una política monetaria, financiera y fiscal prudente que genere las condiciones para un crecimiento más fuerte a mediano plazo, que también debería ser apoyada por las reformas estructurales bajo implementación</w:t>
      </w:r>
      <w:r w:rsidRPr="00FA0BFF">
        <w:rPr>
          <w:kern w:val="2"/>
          <w:vertAlign w:val="superscript"/>
          <w:lang w:eastAsia="en-US"/>
        </w:rPr>
        <w:footnoteReference w:id="6"/>
      </w:r>
      <w:r w:rsidRPr="00FB23BE">
        <w:rPr>
          <w:rFonts w:ascii="Arial" w:hAnsi="Arial" w:cs="Arial"/>
          <w:kern w:val="2"/>
          <w:lang w:eastAsia="en-US"/>
        </w:rPr>
        <w:t>.</w:t>
      </w:r>
    </w:p>
    <w:p w:rsidR="00FB23BE" w:rsidRPr="00FB23BE" w:rsidRDefault="00FB23BE" w:rsidP="00FB23BE">
      <w:pPr>
        <w:spacing w:after="240"/>
        <w:contextualSpacing/>
        <w:jc w:val="both"/>
        <w:rPr>
          <w:rFonts w:ascii="Arial" w:hAnsi="Arial" w:cs="Arial"/>
          <w:kern w:val="2"/>
          <w:lang w:eastAsia="en-US"/>
        </w:rPr>
      </w:pPr>
    </w:p>
    <w:p w:rsidR="00FB23BE" w:rsidRPr="00FA0BFF" w:rsidRDefault="00FB23BE" w:rsidP="00FB23BE">
      <w:pPr>
        <w:spacing w:after="240"/>
        <w:contextualSpacing/>
        <w:jc w:val="both"/>
        <w:rPr>
          <w:rFonts w:ascii="Arial" w:hAnsi="Arial" w:cs="Arial"/>
          <w:b/>
          <w:kern w:val="2"/>
          <w:lang w:eastAsia="en-US"/>
        </w:rPr>
      </w:pPr>
      <w:r w:rsidRPr="00FA0BFF">
        <w:rPr>
          <w:rFonts w:ascii="Arial" w:hAnsi="Arial" w:cs="Arial"/>
          <w:b/>
          <w:kern w:val="2"/>
          <w:lang w:eastAsia="en-US"/>
        </w:rPr>
        <w:t>Perspectivas económicas de mediano plazo 2017-2020</w:t>
      </w:r>
    </w:p>
    <w:p w:rsidR="00FA0BFF"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marco macroeconómico para el mediano plazo (2017-2021) incluye los efectos previstos sobre la estructura económica del país que tendrán las acciones que ha llevado a cabo la Administración federal en relación con la agenda de reformas estructurales.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crecimiento económico proyectado para Estados Unidos en los próximos años está relacionado, principalmente, con una expansión de su demanda interna. Con este escenario, se anticipa que el déficit en la cuenta corriente de la balanza de pagos registre un crecimiento continuo pero moderado, ubicándose en 3.4 por ciento del PIB en 2020.</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FMI y expertos pronostican un nivel cercano al objetivo de la Reserva Federal de ese país de 2 por ciento. Por otro lado, los analistas anticipan rendimientos de los bonos del Tesoro de Estados Unidos a tres meses y diez años promediarán 3.2 y 4.2 por ciento, respectivamente. El FMI calcula que las tasas de estos instrumentos en el periodo 2017-2020 serán de 2.9 y 4.3 por ciento, respectivamente.</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En este contexto, se estima que la demanda externa de México por productos no petroleros registre en el periodo 2017-2021 tasas de expansión elevadas. Asimismo, se proyecta que las exportaciones petroleras se aceleren, en la medida que incremente la plataforma de producción de petróleo y los precios alcancen niveles cercanos a los 60 dpb.</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Las proyecciones del gobierno federal indican que en el mediano plazo la demanda interna registrará un fortalecimiento continuo. Los incrementos del consumo y de la inversión se verán apuntalados por los siguientes factores: una continua y creciente generación de empleos formales, una recuperación significativa de los salarios reales, aumento en el crédito a los hogares y empresas y niveles elevados de inversión.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Por tanto, se estima que durante 2017 el PIB de México tenga un crecimiento anual de entre 3.5 y 4.5 por ciento, mientras que en el periodo 2018-2021 éste se ubicaría en un rango de 4 a 5 por ciento. Para efectos de las estimaciones de finanzas públicas se plantea utilizar un crecimiento puntual del PIB para el periodo 2017-2021 de 4.0 por ciento en cada año.</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Se estima que en el mediano plazo (2017-2021), las cuentas externas se mantendrán en magnitudes sostenibles. Durante el horizonte proyectado, el déficit de la cuenta corriente de la balanza de pagos se situará en niveles alrededor de 2.5 por ciento del PIB, y además estaría sanamente financiado, en gran medida, a través de los ingresos por inversión extranjera directa. Por otro lado, se prevé que los ingresos por remesas familiares registren un crecimiento sostenido pero moderado, de manera consistente con el crecimiento previsible de la economía de Estados Unidos</w:t>
      </w:r>
      <w:r w:rsidRPr="00597C62">
        <w:rPr>
          <w:kern w:val="2"/>
          <w:vertAlign w:val="superscript"/>
          <w:lang w:eastAsia="en-US"/>
        </w:rPr>
        <w:footnoteReference w:id="7"/>
      </w:r>
      <w:r w:rsidRPr="00FB23BE">
        <w:rPr>
          <w:rFonts w:ascii="Arial" w:hAnsi="Arial" w:cs="Arial"/>
          <w:kern w:val="2"/>
          <w:lang w:eastAsia="en-US"/>
        </w:rPr>
        <w:t xml:space="preserve">. </w:t>
      </w:r>
    </w:p>
    <w:p w:rsidR="008C16D2" w:rsidRDefault="008C16D2" w:rsidP="00FB23BE">
      <w:pPr>
        <w:spacing w:after="240"/>
        <w:contextualSpacing/>
        <w:jc w:val="both"/>
        <w:rPr>
          <w:rFonts w:ascii="Arial" w:hAnsi="Arial" w:cs="Arial"/>
          <w:kern w:val="2"/>
          <w:lang w:eastAsia="en-US"/>
        </w:rPr>
      </w:pPr>
    </w:p>
    <w:p w:rsidR="008C16D2" w:rsidRDefault="008C16D2">
      <w:pPr>
        <w:rPr>
          <w:rFonts w:ascii="Arial" w:hAnsi="Arial" w:cs="Arial"/>
          <w:kern w:val="2"/>
          <w:lang w:eastAsia="en-US"/>
        </w:rPr>
      </w:pPr>
      <w:r>
        <w:rPr>
          <w:rFonts w:ascii="Arial" w:hAnsi="Arial" w:cs="Arial"/>
          <w:kern w:val="2"/>
          <w:lang w:eastAsia="en-US"/>
        </w:rPr>
        <w:br w:type="page"/>
      </w:r>
    </w:p>
    <w:p w:rsidR="008C16D2" w:rsidRPr="00FB23BE" w:rsidRDefault="008C16D2"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594350" cy="2000250"/>
            <wp:effectExtent l="0" t="0" r="635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350" cy="2000250"/>
                    </a:xfrm>
                    <a:prstGeom prst="rect">
                      <a:avLst/>
                    </a:prstGeom>
                    <a:noFill/>
                    <a:ln>
                      <a:noFill/>
                    </a:ln>
                  </pic:spPr>
                </pic:pic>
              </a:graphicData>
            </a:graphic>
          </wp:inline>
        </w:drawing>
      </w:r>
    </w:p>
    <w:p w:rsidR="00FB23BE" w:rsidRDefault="00FB23BE" w:rsidP="00FB23BE">
      <w:pPr>
        <w:spacing w:after="240"/>
        <w:contextualSpacing/>
        <w:jc w:val="both"/>
        <w:rPr>
          <w:rFonts w:ascii="Arial" w:hAnsi="Arial" w:cs="Arial"/>
          <w:kern w:val="2"/>
          <w:lang w:eastAsia="en-US"/>
        </w:rPr>
      </w:pPr>
    </w:p>
    <w:p w:rsidR="00BB2968" w:rsidRDefault="00BB2968" w:rsidP="00FB23BE">
      <w:pPr>
        <w:spacing w:after="240"/>
        <w:contextualSpacing/>
        <w:jc w:val="both"/>
        <w:rPr>
          <w:rFonts w:ascii="Arial" w:hAnsi="Arial" w:cs="Arial"/>
          <w:kern w:val="2"/>
          <w:lang w:eastAsia="en-US"/>
        </w:rPr>
      </w:pPr>
    </w:p>
    <w:p w:rsidR="00BB2968" w:rsidRDefault="00BB2968" w:rsidP="00FB23BE">
      <w:pPr>
        <w:spacing w:after="240"/>
        <w:contextualSpacing/>
        <w:jc w:val="both"/>
        <w:rPr>
          <w:rFonts w:ascii="Arial" w:hAnsi="Arial" w:cs="Arial"/>
          <w:kern w:val="2"/>
          <w:lang w:eastAsia="en-US"/>
        </w:rPr>
      </w:pPr>
    </w:p>
    <w:p w:rsidR="00BB2968" w:rsidRDefault="00BB2968" w:rsidP="00FB23BE">
      <w:pPr>
        <w:spacing w:after="240"/>
        <w:contextualSpacing/>
        <w:jc w:val="both"/>
        <w:rPr>
          <w:rFonts w:ascii="Arial" w:hAnsi="Arial" w:cs="Arial"/>
          <w:kern w:val="2"/>
          <w:lang w:eastAsia="en-US"/>
        </w:rPr>
      </w:pPr>
    </w:p>
    <w:p w:rsidR="00BB2968" w:rsidRPr="00FB23BE" w:rsidRDefault="00BB2968"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410200" cy="1771650"/>
            <wp:effectExtent l="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1771650"/>
                    </a:xfrm>
                    <a:prstGeom prst="rect">
                      <a:avLst/>
                    </a:prstGeom>
                    <a:noFill/>
                    <a:ln>
                      <a:noFill/>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FA0BFF"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4.1.2.-</w:t>
      </w:r>
      <w:r w:rsidRPr="00FA0BFF">
        <w:rPr>
          <w:rFonts w:ascii="Arial" w:hAnsi="Arial" w:cs="Arial"/>
          <w:b/>
          <w:kern w:val="2"/>
          <w:lang w:eastAsia="en-US"/>
        </w:rPr>
        <w:t xml:space="preserve"> GESTIÓN PARA RESULTADOS</w:t>
      </w:r>
    </w:p>
    <w:p w:rsidR="00FA0BFF"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presupuesto público tiene una gran importancia e impacto en la economía y en el nivel de vida de los habitantes de cualquier país. El presupuesto se establece para un período determinado, y muestra las prioridades y los objetivos del gobierno a través de los montos destinados a sus ingresos y gastos.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Bajo esta premisa, ha sido de suma importancia revisar, analizar y reforzar año con año, la técnica utilizada en el Estado, para elaborar y administrar el presupuesto y que sirve de base para la implementación del Presupuesto basado en Resultados (PbR), poniendo especial atención en los resultados de las actividades que se realizan, más que a los bienes y servicios que se adquieren.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Esta administración desde sus inicios se ha planteado enfrentar los retos de la racionalidad económica buscando conseguir eficacia y eficiencia, a través de: la optimización en el uso de los recursos públicos en la distribución y prestación de bienes y servicios públicos como respuesta a las exigencias de más servicios, más eficacia, más eficiencia, más equidad y más calidad; y, el fortalecimiento a los mecanismos de transparencia en el uso de los recursos públicos.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Desde el año 2008, con el propósito de tener una transformación integral de la Hacienda Pública, se puso en práctica una forma diferente de gastar los recursos públicos en México, y que puso a nuestro país en sintonía con las mejores prácticas internacionales en materia de presupuesto y de fiscalización.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Tras los esfuerzos para eficientar las finanzas públicas y el buen manejo del presupuesto de egresos en todos los niveles de gobierno; se han implementado diversas reformas al marco normativo en materia contable, presupuestaria y financiera con el propósito de consolidar una política de gobierno en base a resultados que permita medir los efectos de cada peso que se ejerce en la administración pública y sobre todo de transparentarlos.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Así mismo, para que lo anterior sea una realidad en el Estado de Oaxaca, desde el inicio de la presente administración, se han impulsado importantes acciones en materia de Transparencia, Gestión para Resultados, consolidación del Presupuesto basado en Resultados y Armonización Contable.</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Los resultados logrados son congruentes con lo previsto en el Plan Estatal de Desarrollo 2011-2016 (PED), documento rector de las acciones de gobierno y en el que se describen los objetivos generales de política para el desarrollo integral del Estado. Este Gobierno está sumamente comprometido con el cumplimiento de las metas y objetivos planteados en el PED, por lo que se han implementado acciones de </w:t>
      </w:r>
      <w:r w:rsidRPr="00FB23BE">
        <w:rPr>
          <w:rFonts w:ascii="Arial" w:hAnsi="Arial" w:cs="Arial"/>
          <w:kern w:val="2"/>
          <w:lang w:eastAsia="en-US"/>
        </w:rPr>
        <w:lastRenderedPageBreak/>
        <w:t xml:space="preserve">seguimiento a través de la Jefatura de la Gubernatura, para constatar el avance de la actuación del gobierno.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materia de egresos, el Presupuesto para el Ejercicio Fiscal 2016 se asignó y distribuyó para atender las prioridades del Gobierno del Estado, mismas que se encuentran contenidas en el PED 2011-2016, principalmente con la premisa básica de darle valor público a los limitados recursos estatales y priorizar proyectos de infraestructura social, con base en una estructura programática reorientada a visibilizar y mejorar los bienes y servicios que el sector público brinda a la ciudadanía oaxaqueña.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Es pertinente señalar que con la finalidad de que los recursos se administren con eficiencia y eficacia, esta Administración ha fortalecido los criterios de racionalidad, austeridad y disciplina presupuestaria, principios que se encuentran publicados en la Ley Estatal de Presupuesto y Responsabilidad Hacendaria y su Reglamento.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De este modo, para continuar en la consolidación del gasto público, éste se reorientó de tal forma que los recursos, bienes y servicios lleguen a quienes más los necesitan, manteniendo en todo momento una sólida coordinación interinstitucional con instancias estatales, federales y municipales. Asimismo, se consolidó la integración de las Matrices de Indicadores para Resultados (MIR) en la Administración Pública, en todos aquellos programas que ofrecen bienes y servicios a la población oaxaqueña, los mismos que podrán perfeccionarse a través de las evaluaciones respectivas.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presente Administración está modernizando en base a la experiencia y buenas prácticas nacionales e internacionales su proceso presupuestario, hecho que ha colocado a Oaxaca en la mira de organismos internacionales, de otros estados y de la misma Federación, como agente de cambio y precursor de mejores prácticas administrativas.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entendido, la Administración Pública Estatal ha emprendido desde el ejercicio 2012 una serie de innovaciones con el fin de consolidar la Gestión para Resultados (GpR), incrementar el valor público de sus acciones y fortalecer la confianza de la ciudadanía en el Gobierno del Estado de Oaxaca.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Por lo anterior, se realizaron de forma coordinada acciones para reorientar el presupuesto estatal para destinarlo básicamente:</w:t>
      </w:r>
    </w:p>
    <w:p w:rsidR="00FB23BE" w:rsidRPr="00FB23BE" w:rsidRDefault="00FB23BE" w:rsidP="00FB23BE">
      <w:pPr>
        <w:spacing w:after="240"/>
        <w:contextualSpacing/>
        <w:jc w:val="both"/>
        <w:rPr>
          <w:rFonts w:ascii="Arial" w:hAnsi="Arial" w:cs="Arial"/>
          <w:kern w:val="2"/>
          <w:lang w:eastAsia="en-US"/>
        </w:rPr>
      </w:pP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t>Crear mejores fuentes de empleo;</w:t>
      </w: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t>Brindar seguridad pública;</w:t>
      </w: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t>Fortalecer los cuerpos policiacos;</w:t>
      </w: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lastRenderedPageBreak/>
        <w:t>Mejorar y modernizar los servicios de salud;</w:t>
      </w: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t>Fortalecer las Micro, Pequeñas y Medianas Empresas;</w:t>
      </w: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t>Brindar servicios educativos; y,</w:t>
      </w:r>
    </w:p>
    <w:p w:rsidR="00FB23BE" w:rsidRPr="00FA0BFF" w:rsidRDefault="00FB23BE" w:rsidP="00124C45">
      <w:pPr>
        <w:pStyle w:val="Prrafodelista"/>
        <w:numPr>
          <w:ilvl w:val="0"/>
          <w:numId w:val="11"/>
        </w:numPr>
        <w:spacing w:after="240"/>
        <w:contextualSpacing/>
        <w:jc w:val="both"/>
        <w:rPr>
          <w:rFonts w:ascii="Arial" w:hAnsi="Arial" w:cs="Arial"/>
          <w:kern w:val="2"/>
          <w:lang w:eastAsia="en-US"/>
        </w:rPr>
      </w:pPr>
      <w:r w:rsidRPr="00FA0BFF">
        <w:rPr>
          <w:rFonts w:ascii="Arial" w:hAnsi="Arial" w:cs="Arial"/>
          <w:kern w:val="2"/>
          <w:lang w:eastAsia="en-US"/>
        </w:rPr>
        <w:t>Distribuir el presupuesto, orientándolo a dar respuesta a las necesidades apremiantes de los sectores más vulnerables de la población.</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Por tales razones, para el ejercicio 2016 se detectaron áreas de oportunidad en la estructura programática 2015, a efecto de fortalecer los programas en el marco de las mejores prácticas nacionales e internacionales, buscando que éstos atiendan necesidades plenamente identificadas y medibles, que al pasar por un proceso de planeación mediante la metodología del marco lógico, se consoliden como programas con un objetivo determinado, creando las condiciones para darles seguimiento puntual y evaluar sus resultados de manera cuantificable.</w:t>
      </w:r>
    </w:p>
    <w:p w:rsidR="00FA0BFF" w:rsidRPr="00FB23BE"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Tomando en consideración lo anterior, se implementó una nueva Metodología para la elaboración de las Estructuras Programáticas, agrupando de manera ordenada el universo de la acción gubernamental, a partir del mandato misional de cada Ejecutor de gasto y con el propósito primordial de identificar lo realizado con los recursos públicos, ordenando y reorientado los esfuerzos que en conjunto lleva a cabo la Administración Pública Estatal.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 importante mencionar que atendiendo a las disposiciones legales estatales y federales, y en el marco de sus atribuciones y competencias, la Secretaría de Finanzas continuó en el uso de las metodologías antes mencionadas para la integración del Presupuesto de Egresos para el Ejercicio Fiscal 2016, coordinando los trabajos para la revisión, actualización e integración de la estructura programática que operó en el citado ejercicio.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Contar con una Estructura Programática con estas características ha permitido identificar el gasto y presentar información transparente y comprensible para la ciudadanía, además de que una de las fortalezas de la nueva Estructura Programática es su permanencia en el tiempo, que con la fortaleza de los indicadores definidos en sus MIR´s, es posible darles seguimiento y evaluar los resultados de sus diferentes niveles de objetivos.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De esta forma, se continúa adelante en la implementación del Presupuesto basado en Resultados y el Sistema de Evaluación del Desempeño (PbR-SED), de modo tal que el Gobierno de Oaxaca ha logrado avanzar en la evaluación que realiza la Secretaria de Hacienda y Crédito Público, del lugar veintinueve en que se hallaba al principio del sexenio al cuarto sitio donde se ubica ahora según la evaluación 2015. </w:t>
      </w:r>
    </w:p>
    <w:p w:rsidR="00FB23BE" w:rsidRPr="00FB23BE" w:rsidRDefault="00FB23BE" w:rsidP="00FB23BE">
      <w:pPr>
        <w:spacing w:after="240"/>
        <w:contextualSpacing/>
        <w:jc w:val="both"/>
        <w:rPr>
          <w:rFonts w:ascii="Arial" w:hAnsi="Arial" w:cs="Arial"/>
          <w:kern w:val="2"/>
          <w:lang w:eastAsia="en-US"/>
        </w:rPr>
      </w:pPr>
    </w:p>
    <w:p w:rsidR="00FB23BE" w:rsidRPr="00FA0BFF"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4.1.3.-</w:t>
      </w:r>
      <w:r w:rsidRPr="00FA0BFF">
        <w:rPr>
          <w:rFonts w:ascii="Arial" w:hAnsi="Arial" w:cs="Arial"/>
          <w:b/>
          <w:kern w:val="2"/>
          <w:lang w:eastAsia="en-US"/>
        </w:rPr>
        <w:t xml:space="preserve"> DISPOSICIONES DEL MARCO NORMATIVO</w:t>
      </w:r>
    </w:p>
    <w:p w:rsidR="00FA0BFF" w:rsidRPr="00FB23BE"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Con el fin de que las decisiones sobre las finanzas públicas se adopten bajo el amparo de un marco normativo moderno, dinámico y acorde con las mejores prácticas nacionales e internacionales, en 2016 se continúa con la consolidación del andamiaje técnico normativo previsto en la Ley General de Contabilidad Gubernamental (LGCG), en vigor desde el 1 de enero de 2009. Fortaleciendo la base para aquellas acciones encaminadas a mejorar el uso honesto, eficiente y transparente de los recursos públicos.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Se fortalecieron los trabajos de la instrumentación del modelo de contabilidad gubernamental armonizado entre los tres poderes (Legislativo, Ejecutivo y Judicial) y en los tres niveles de Gobierno (Federal, Estatal y Municipal), que mejorará el registro en tiempo real de las operaciones presupuestarias y contables de la gestión pública de manera homogénea, armónica, delimitada y específica, ejercicio indispensable en la mejora de la transparencia y rendición de cuentas a nivel nacional e internacional.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 por ello que la guía del quehacer público en materia de gasto se basó principalmente en cuatro documentos normativos: Ley Estatal de Presupuesto y Responsabilidad Hacendaria y su Reglamento, Decreto de Presupuesto de Egresos del Estado de Oaxaca para el Ejercicio Fiscal 2016 y el Manual de Planeación, Programación y Presupuestación 2016 durante la integración del Presupuesto de Egresos, mismos que están a disposición de la ciudadanía en la página electrónica de la Secretaría de Finanzas.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la integración del Presupuesto de Egresos 2016 se utilizó la estructura programática y metodología del marco lógico, la cual es utilizada por diversos organismos nacionales e internacionales (CONEVAL, INDETEC, ILPES-CEPAL, BID, Banco Mundial, OCDE, entre otros), dicha metodología permite definir la priorización para la atención de la problemática más sentida de la población, reorientando los esfuerzos y recursos públicos con una participación interinstitucional. Por lo que, el uso de ésta permitió crear programas y proyectos que impactaron directamente en el aumento del índice de Desarrollo Humano y Competitividad del Estado de Oaxaca, concentrándose en temas prioritarios como infraestructura, salud, educación, teniendo muy presente en cada acción las políticas transversales: Equidad de género, derechos humanos, población indígena y sustentabilidad.</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Ley Estatal de Presupuesto y Responsabilidad Hacendaria y su Reglamento, se ubican a la vanguardia en materia del equilibrio presupuestario sostenible y de los principios de responsabilidad hacendaria; de la programación, presupuestación y ejercicio del gasto; de la austeridad y disciplina presupuestaria; de la transparencia y acceso a la información pública; y, evaluación del desempeño.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Decreto de Presupuesto de Egresos para el Ejercicio Fiscal 2016, es consistente con la Ley Estatal de Presupuesto y Responsabilidad Hacendaria, considera varios instrumentos de la gestión pública para resultados, sobresaliendo dentro de sus herramientas, el uso de la metodología de presupuestación con base a resultados. Que además de alinearse a las disposiciones establecidas en la Ley General de Contabilidad Gubernamental y las emitidas por el Consejo Nacional de Armonización Contable (CONAC), amplía el marco normativo en la aplicación de las medidas de racionalidad, austeridad y disciplina presupuestaria, utilizando los diferentes clasificadores presupuestarios homologados por el CONAC, para uso de los tres niveles de gobierno.</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FA0BFF"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 xml:space="preserve">4.1.4.- </w:t>
      </w:r>
      <w:r w:rsidRPr="00FA0BFF">
        <w:rPr>
          <w:rFonts w:ascii="Arial" w:hAnsi="Arial" w:cs="Arial"/>
          <w:b/>
          <w:kern w:val="2"/>
          <w:lang w:eastAsia="en-US"/>
        </w:rPr>
        <w:t>GASTANDO MÁS EN LA GENTE Y MENOS EN EL GOBIERNO.</w:t>
      </w:r>
    </w:p>
    <w:p w:rsidR="00FA0BFF"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presente administración ejerce el gasto público cada vez de forma más eficiente, levantando todas las inquietudes de la ciudadanía a través de las audiencias públicas con el Titular del Poder Ejecutivo y su gabinete, cumpliendo así con uno de sus compromisos adquiridos durante la campaña, fomentando el dialogo y el libre acceso a los servicios que se generan por el sector público.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el Plan Estatal de Desarrollo de Oaxaca 2011-2016 (PED 2011-2016) se encuentra establecida como una prioridad del Ejecutivo Estatal combatir la pobreza, la desigualdad y la marginación, con la implementación de políticas públicas que permitan el pleno desarrollo de las y los oaxaqueños en condiciones de dignidad, equidad, respeto, calidad, oportunidad y no discriminación. </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A0BFF" w:rsidRDefault="002053AC" w:rsidP="00FB23BE">
      <w:pPr>
        <w:spacing w:after="240"/>
        <w:contextualSpacing/>
        <w:jc w:val="both"/>
        <w:rPr>
          <w:rFonts w:ascii="Arial" w:hAnsi="Arial" w:cs="Arial"/>
          <w:kern w:val="2"/>
          <w:lang w:eastAsia="en-US"/>
        </w:rPr>
      </w:pPr>
      <w:r>
        <w:rPr>
          <w:rFonts w:ascii="Arial" w:hAnsi="Arial" w:cs="Arial"/>
          <w:b/>
          <w:kern w:val="2"/>
          <w:lang w:eastAsia="en-US"/>
        </w:rPr>
        <w:lastRenderedPageBreak/>
        <w:t xml:space="preserve">4.1.5.- </w:t>
      </w:r>
      <w:r w:rsidRPr="00FA0BFF">
        <w:rPr>
          <w:rFonts w:ascii="Arial" w:hAnsi="Arial" w:cs="Arial"/>
          <w:b/>
          <w:kern w:val="2"/>
          <w:lang w:eastAsia="en-US"/>
        </w:rPr>
        <w:t>MEJORA DE LA CALIDAD DEL GASTO PÚBLICO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Existen finanzas públicas sanas cuando hay equilibrio sostenible entre los ingresos y los egresos, de tal manera que los recursos que se recaudan o ingresan a las arcas del Estado sean suficientes para el desarrollo de las actividades económicas, que provean los bienes y servicios para satisfacer las necesidades básicas de la población, como son la seguridad, la administración de justicia, la educación, la salud y los programas sociales que contribuyen a mejorar las condiciones de vida en los sectores más vulnerables de la población oaxaqueña.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Las finanzas públicas del Gobierno del Estado han tenido un proceso de fortalecimiento, estabilidad y transparencia en el uso de los recursos, lo que permite afrontar con mayor certidumbre los retos de crecimiento económico y desarrollo social que se ha fijado la presente Administración.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Presupuesto de Egresos 2016, vinculó las metas de mediano plazo del PED con el proceso de planeación, programación y presupuestación anual.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ampliación de la base tributaria y un uso más eficiente de los recursos financieros, materiales y humanos, propicia disponer de mayores recursos fiscales que permitirá alcanzar las metas proyectadas, acompañándolos de un proceso claro de seguimiento y de rendición de cuentas hacia los ciudadanos.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avanzar en la mejora del gasto público, se realizaron adecuaciones en las etapas de planeación y programación del proceso presupuestario, en estas fases, se definieron con base en la Metodología del Marco Lógico, los programas, proyectos, acciones y actividades a cargo de los Ejecutores de gasto para beneficio directo de la población oaxaqueña.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Como parte de lo anterior, durante el primer trimestre del ejercicio fiscal 2016 se ejerció mediante una estructura programática diseñada para reorientar los recursos públicos y con esto hacer rendir el presupuesto, con la finalidad de cumplir con los objetivos de los programas y proyectos, perfectamente alineados al contenido del Plan Estatal de Desarrollo 2011-2016.</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FA0BFF"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4.1.5.1.-</w:t>
      </w:r>
      <w:r w:rsidRPr="00FA0BFF">
        <w:rPr>
          <w:rFonts w:ascii="Arial" w:hAnsi="Arial" w:cs="Arial"/>
          <w:b/>
          <w:kern w:val="2"/>
          <w:lang w:eastAsia="en-US"/>
        </w:rPr>
        <w:t xml:space="preserve"> SISTEMA DE EVALUACIÓN DEL DESEMPEÑO (SED).</w:t>
      </w:r>
    </w:p>
    <w:p w:rsidR="00FA0BFF"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Sistema de Evaluación del Desempeño (SED) es una herramienta para medir y valorar objetivamente el desempeño de los programas presupuestarios del Gobierno.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SED se define como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instrumentación del SED tiene como una de sus bases la Metodología del Marco Lógico (MML), la cual establece los principios para la conceptualización y diseño de programas públicos y sus herramientas de monitoreo y evaluación, que se plasman en un instrumento denominado Matriz de Indicadores para Resultados (MIR). El propósito es orientar la operación de los programas presupuestarios al logro de resultados.</w:t>
      </w:r>
    </w:p>
    <w:p w:rsidR="00FB23BE" w:rsidRPr="00FB23BE" w:rsidRDefault="00FB23BE" w:rsidP="00FB23BE">
      <w:pPr>
        <w:spacing w:after="240"/>
        <w:contextualSpacing/>
        <w:jc w:val="both"/>
        <w:rPr>
          <w:rFonts w:ascii="Arial" w:hAnsi="Arial" w:cs="Arial"/>
          <w:kern w:val="2"/>
          <w:lang w:eastAsia="en-US"/>
        </w:rPr>
      </w:pPr>
    </w:p>
    <w:p w:rsidR="00FB23BE" w:rsidRPr="00FB23BE" w:rsidDel="00796FDD"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evaluación del desempeño ha requerido adecuar el proceso presupuestario al destino del gasto, vinculándolo con objetivos estratégicos de planeación para el desarrollo del Estado, por lo que en el Ejercicio 2016 se asociarán al presupuesto, planes de los diferentes sectores que dan movilidad a la economía en el Estado, elaborados con la Metodología del Marco Lógico, con indicadores definidos para cada nivel de objetivo de la MIR, lo que permitirá dar seguimiento paulatino al gasto público y, a corto y largo plazo realizar evaluaciones de los mismos, generando información para la toma de decisiones en la asignación de recursos.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la definición de dichos indicadores se consideró la Metodología de Marco Lógico con base en la estructura programática. Siendo la Matriz de Indicadores de Resultados (MIR) un instrumento de planeación estratégica que permitió la vinculación ordenada de objetivos, indicadores y metas, alineados con los objetivos del Plan Estatal de Desarrollo 2011-2016, con el objeto de focalizar el análisis, seguimiento y evaluación del gasto asignado.</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FA0BFF"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 xml:space="preserve">4.1.5.2.- </w:t>
      </w:r>
      <w:r w:rsidRPr="00FA0BFF">
        <w:rPr>
          <w:rFonts w:ascii="Arial" w:hAnsi="Arial" w:cs="Arial"/>
          <w:b/>
          <w:kern w:val="2"/>
          <w:lang w:eastAsia="en-US"/>
        </w:rPr>
        <w:t>USO DE LOS DISTINTOS CLASIFICADORES DE GASTO PARA LA ARMONIZACIÓN CONTABLE.</w:t>
      </w:r>
    </w:p>
    <w:p w:rsidR="00FA0BFF"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Presupuesto de Egresos para el Ejercicio Fiscal 2016 para el Estado de Oaxaca, se estructuró para que se pueda analizar desde diferentes clasificaciones del gasto, que permiten la obtención de información presupuestal ordenada, sistematizada y agrupada en diversas presentaciones, proporcionando elementos de análisis, seguimiento y control para la consecución de la eficacia, economía y eficiencia en el ejercicio del gasto, la transparencia, la programación con base en resultados, la evaluación y la rendición de cuentas.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 importante destacar que cada una de las clasificaciones presupuestarias tiene una utilidad específica; sin embargo, la utilización conjunta de las mismas proporciona información de mayor valor agregado para la adecuada comprensión y análisis del gasto presupuestal.</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FA0BFF"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4.1.5.3.-</w:t>
      </w:r>
      <w:r w:rsidRPr="00FA0BFF">
        <w:rPr>
          <w:rFonts w:ascii="Arial" w:hAnsi="Arial" w:cs="Arial"/>
          <w:b/>
          <w:kern w:val="2"/>
          <w:lang w:eastAsia="en-US"/>
        </w:rPr>
        <w:t xml:space="preserve"> MEDIDAS DE AHORRO Y AUSTERIDAD DEL GOBIERNO.</w:t>
      </w:r>
    </w:p>
    <w:p w:rsidR="00FA0BFF" w:rsidRDefault="00FA0BFF"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Se ha dado continuidad a las mejoras implementadas para la planeación, control y ejercicio del gasto público, y se trabaja a diario en la búsqueda del fortalecimiento de la cultura de la transparencia de las finanzas públicas, del manejo responsable de la deuda y de la orientación eficiente de la inversión, bajo criterios estrictos de rentabilidad social.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Se ha avanzado en la transformación del Gobierno para hacerlo más eficiente, transparente, honesto y apegado a normas de austeridad; acciones que han permitido establecer mecanismos de recuperación y fortalecimiento de recursos públicos para devolver a éste la capacidad de financiar los proyectos y políticas de alto impacto en el desarrollo de la entidad.</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5F0A85"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 xml:space="preserve">4.1.5.4.- </w:t>
      </w:r>
      <w:r w:rsidRPr="005F0A85">
        <w:rPr>
          <w:rFonts w:ascii="Arial" w:hAnsi="Arial" w:cs="Arial"/>
          <w:b/>
          <w:kern w:val="2"/>
          <w:lang w:eastAsia="en-US"/>
        </w:rPr>
        <w:t>MAYOR TRANSPARENCIA PRESUPUESTAL.</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Portal de Transparencia presupuestaria del Gobierno del Estado de Oaxaca pone a la disposición un portal que centraliza los indicadores de los planes, programas y estrategias desarrolladas en la administración estatal en materia de transparencia, gobierno abierto y acceso a la información.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portal cumple con el principio de máxima publicidad expresado en el artículo sexto de la Constitución Política de los Estados Unidos Mexicanos, que consagra el derecho de acceso a la información como una garantía constitucional para todos los mexicanos y que establece como prioridad publicar en los medios electrónicos disponibles la información completa y actualizada relativa al ejercicio de los recursos públicos.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materia presupuestaria, la distribución del gasto público se dio a conocer a la población a través del Decreto de Presupuesto de Egresos del Estado de Oaxaca para el ejercicio Fiscal 2016, mismo que se publicó en el Periódico Oficial del Estado y se comunicó a los ejecutores de gasto, calendarizado por unidad responsable, proyecto, acción y partida presupuestaria. Adicionalmente se difundió en el Portal de Transparencia del Instituto de Acceso a la Información Pública y Protección de Datos Personales del Estado de Oaxaca. </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5F0A85"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 xml:space="preserve">4.1.5.5.- </w:t>
      </w:r>
      <w:r w:rsidRPr="005F0A85">
        <w:rPr>
          <w:rFonts w:ascii="Arial" w:hAnsi="Arial" w:cs="Arial"/>
          <w:b/>
          <w:kern w:val="2"/>
          <w:lang w:eastAsia="en-US"/>
        </w:rPr>
        <w:t>MEJORAMIENTO DE LA IDENTIFICACIÓN DE PROYECTOS DE INVERSIÓN Y SU PRIORIZACIÓN CON CRITERIOS DE RENTABILIDAD SOCIOECONÓMICA.</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gasto de inversión orientado hacia proyectos de infraestructura pública y productiva representa el principal activo económico del Estado. Por ello, en el primer trimestre 2016 el Gobierno del Estado redobló los esfuerzos para mejorar el sistema estatal de inversión pública, cuyo objetivo es abatir los índices de pobreza, rezago y marginación, a través de la planeación y evaluación socioeconómica de los programas y proyectos. El objetivo último es lograr el mayor impacto posible en la mejora de la calidad de vida de los habitantes de nuestro Estado por cada peso gastado.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el Proyecto de Presupuesto de Egresos 2016, se consideró la aplicación de la inversión en áreas prioritarias atendiendo los instrumentos de planeación existentes tales como: Infraestructura social básica: agua potable, drenaje, electrificación, salud y vivienda; proyectos de conectividad interestatal: carreteras troncales; alimentadoras y rurales; y, proyectos productivos estratégicos y de logística productiva.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Una parte fundamental del sistema de inversión pública, fue la creación de un proceso claro para la determinación de la viabilidad y factibilidad de las inversiones en cada sector económico: caminos, agua, proyectos productivos, infraestructura hospitalaria y educativa, entre otras. Los ejecutores de gasto, durante el primer trimestre de ejercicio 2016, contaron con acompañamiento constante durante la formulación y evaluación ex ante de sus propuestas de inversión, lo que incrementó la probabilidad de que los recursos públicos aplicados fueran destinados a proyectos y programas prioritarios, con beneficios sociales y económicos positivos.</w:t>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5F0A85" w:rsidRDefault="002053AC" w:rsidP="00FB23BE">
      <w:pPr>
        <w:spacing w:after="240"/>
        <w:contextualSpacing/>
        <w:jc w:val="both"/>
        <w:rPr>
          <w:rFonts w:ascii="Arial" w:hAnsi="Arial" w:cs="Arial"/>
          <w:b/>
          <w:kern w:val="2"/>
          <w:lang w:eastAsia="en-US"/>
        </w:rPr>
      </w:pPr>
      <w:r>
        <w:rPr>
          <w:rFonts w:ascii="Arial" w:hAnsi="Arial" w:cs="Arial"/>
          <w:b/>
          <w:kern w:val="2"/>
          <w:lang w:eastAsia="en-US"/>
        </w:rPr>
        <w:lastRenderedPageBreak/>
        <w:t>4.1.5.6.-</w:t>
      </w:r>
      <w:r w:rsidRPr="005F0A85">
        <w:rPr>
          <w:rFonts w:ascii="Arial" w:hAnsi="Arial" w:cs="Arial"/>
          <w:b/>
          <w:kern w:val="2"/>
          <w:lang w:eastAsia="en-US"/>
        </w:rPr>
        <w:t xml:space="preserve"> POLÍTICAS ESPECÍFICAS DEL CICLO PRESUPUESTARIO.</w:t>
      </w:r>
    </w:p>
    <w:p w:rsidR="005F0A85" w:rsidRDefault="005F0A85"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el contexto de la reforma al sistema presupuestario derivada del Plan Estatal de Desarrollo 2011-2016 y de la armonización contable que se lleva a cabo a nivel nacional, la política presupuestal del Estado está basada fundamentalmente en lo siguiente: </w:t>
      </w:r>
    </w:p>
    <w:p w:rsidR="005F0A85" w:rsidRPr="00FB23BE" w:rsidRDefault="005F0A85"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Mejora de la calidad del gasto.</w:t>
      </w:r>
      <w:r w:rsidRPr="00FB23BE">
        <w:rPr>
          <w:rFonts w:ascii="Arial" w:hAnsi="Arial" w:cs="Arial"/>
          <w:kern w:val="2"/>
          <w:lang w:eastAsia="en-US"/>
        </w:rPr>
        <w:t xml:space="preserve"> La administración de los recursos públicos se deberá realizar atendiendo a los criterios de legalidad, eficiencia, eficacia, economía, transparencia, honradez, racionalidad, austeridad, control, rendición de cuentas y ahorro en el ejercicio del gasto público. Se deberán reducir gastos en materia de servicios personales y gastos administrativos. Además de eliminar la duplicidad de programas, mejorar su diseño y buscar mayores resultados e impacto de la gestión pública en la sociedad.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Financiamiento al desarrollo</w:t>
      </w:r>
      <w:r w:rsidRPr="00FB23BE">
        <w:rPr>
          <w:rFonts w:ascii="Arial" w:hAnsi="Arial" w:cs="Arial"/>
          <w:kern w:val="2"/>
          <w:lang w:eastAsia="en-US"/>
        </w:rPr>
        <w:t xml:space="preserve">. Se deberá dirigir el gasto para privilegiar el desarrollo del Estado, motivando la concurrencia de recursos de distintas fuentes: federal, estatal, municipal y de las organizaciones de la sociedad civil, que permitan el financiamiento de los programas dirigidos a la sociedad.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Políticas transversales</w:t>
      </w:r>
      <w:r w:rsidRPr="00FB23BE">
        <w:rPr>
          <w:rFonts w:ascii="Arial" w:hAnsi="Arial" w:cs="Arial"/>
          <w:kern w:val="2"/>
          <w:lang w:eastAsia="en-US"/>
        </w:rPr>
        <w:t xml:space="preserve">. Los recursos presupuestarios deberán asignarse de tal manera que aseguren la satisfacción de los niveles esenciales de respeto a los derechos humanos, la equidad de género, la sustentabilidad y el apoyo a los pueblos indígenas.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Proyectos Plurianuales</w:t>
      </w:r>
      <w:r w:rsidRPr="00FB23BE">
        <w:rPr>
          <w:rFonts w:ascii="Arial" w:hAnsi="Arial" w:cs="Arial"/>
          <w:kern w:val="2"/>
          <w:lang w:eastAsia="en-US"/>
        </w:rPr>
        <w:t>: Los compromisos plurianuales del gasto previamente autorizados, que se deriven de contratos de obra pública, adquisiciones, arrendamientos y servicios, tendrán preferencia en la asignación presupuestal, respecto de otras previsiones de gasto.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Gestión pública estatal para resultados</w:t>
      </w:r>
      <w:r w:rsidRPr="00FB23BE">
        <w:rPr>
          <w:rFonts w:ascii="Arial" w:hAnsi="Arial" w:cs="Arial"/>
          <w:kern w:val="2"/>
          <w:lang w:eastAsia="en-US"/>
        </w:rPr>
        <w:t xml:space="preserve">. Las Unidades Responsables deberán planear y programar su intervención pública con base en las necesidades más sentidas de la población y pretender su solución, proyectando sus metas y definiendo sus indicadores, para ello deben efectuar su planeación utilizando la Metodología del Marco Lógico.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Transparencia</w:t>
      </w:r>
      <w:r w:rsidRPr="00FB23BE">
        <w:rPr>
          <w:rFonts w:ascii="Arial" w:hAnsi="Arial" w:cs="Arial"/>
          <w:kern w:val="2"/>
          <w:lang w:eastAsia="en-US"/>
        </w:rPr>
        <w:t xml:space="preserve">. Para facilitar el acceso de la información presupuestal a la sociedad, el registro presupuestal del gasto público deberá realizarse conforme los clasificadores y catálogos emitidos por la Secretaría de Finanzas del Poder Ejecutivo, conforme a los lineamientos normativos del Consejo de Armonización Contable (CONAC) y en el SINPRES 2016, el cual está en continua mejora para la </w:t>
      </w:r>
      <w:r w:rsidRPr="00FB23BE">
        <w:rPr>
          <w:rFonts w:ascii="Arial" w:hAnsi="Arial" w:cs="Arial"/>
          <w:kern w:val="2"/>
          <w:lang w:eastAsia="en-US"/>
        </w:rPr>
        <w:lastRenderedPageBreak/>
        <w:t xml:space="preserve">oportuna generación de información presupuestal, para ser puesta a disposición de la ciudadanía a través de los portales de internet de los Ejecutores de gasto.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contextualSpacing/>
        <w:jc w:val="both"/>
        <w:rPr>
          <w:rFonts w:ascii="Arial" w:hAnsi="Arial" w:cs="Arial"/>
          <w:kern w:val="2"/>
          <w:lang w:eastAsia="en-US"/>
        </w:rPr>
      </w:pPr>
      <w:r w:rsidRPr="00FB23BE">
        <w:rPr>
          <w:rFonts w:ascii="Arial" w:hAnsi="Arial" w:cs="Arial"/>
          <w:kern w:val="2"/>
          <w:lang w:eastAsia="en-US"/>
        </w:rPr>
        <w:t xml:space="preserve">La información presupuestal deberá ser clara, asequible, oportuna, consistente, detallada y en formatos que propicien y faciliten el análisis, por parte de una diversidad de usuarios con diferentes perfiles educativos y socioeconómicos y que poseen diversas necesidades de información.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Rendición de cuentas</w:t>
      </w:r>
      <w:r w:rsidRPr="00FB23BE">
        <w:rPr>
          <w:rFonts w:ascii="Arial" w:hAnsi="Arial" w:cs="Arial"/>
          <w:kern w:val="2"/>
          <w:lang w:eastAsia="en-US"/>
        </w:rPr>
        <w:t xml:space="preserve">. Los Ejecutores de gasto, deberán presentar información a los órganos de control, evaluación y fiscalización estatales y federales, sobre el ejercicio y destino del gasto, congruente con la información presupuestal y contable de la cuenta pública, por lo que deben utilizar el sistema electrónico de registro presupuestario SINPRES 2016.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5F0A85">
      <w:pPr>
        <w:spacing w:after="240"/>
        <w:ind w:left="426" w:hanging="426"/>
        <w:contextualSpacing/>
        <w:jc w:val="both"/>
        <w:rPr>
          <w:rFonts w:ascii="Arial" w:hAnsi="Arial" w:cs="Arial"/>
          <w:kern w:val="2"/>
          <w:lang w:eastAsia="en-US"/>
        </w:rPr>
      </w:pPr>
      <w:r w:rsidRPr="005F0A85">
        <w:rPr>
          <w:rFonts w:ascii="Arial" w:hAnsi="Arial" w:cs="Arial"/>
          <w:b/>
          <w:kern w:val="2"/>
          <w:lang w:eastAsia="en-US"/>
        </w:rPr>
        <w:t>Armonización Contable.</w:t>
      </w:r>
      <w:r w:rsidRPr="00FB23BE">
        <w:rPr>
          <w:rFonts w:ascii="Arial" w:hAnsi="Arial" w:cs="Arial"/>
          <w:kern w:val="2"/>
          <w:lang w:eastAsia="en-US"/>
        </w:rPr>
        <w:t xml:space="preserve"> Es obligatorio el uso de los catálogos presupuestarios publicados en el SINPRES 2016, los cuales dan cumplimiento a la Ley General de Contabilidad Gubernamental y a los acuerdos emitidos por el (CONAC).</w:t>
      </w:r>
    </w:p>
    <w:p w:rsidR="00FB23BE" w:rsidRPr="00FB23BE" w:rsidRDefault="00FB23BE" w:rsidP="00FB23BE">
      <w:pPr>
        <w:spacing w:after="240"/>
        <w:contextualSpacing/>
        <w:jc w:val="both"/>
        <w:rPr>
          <w:rFonts w:ascii="Arial" w:hAnsi="Arial" w:cs="Arial"/>
          <w:kern w:val="2"/>
          <w:lang w:eastAsia="en-US"/>
        </w:rPr>
      </w:pPr>
    </w:p>
    <w:p w:rsidR="005F0A85" w:rsidRDefault="005F0A85" w:rsidP="00FB23BE">
      <w:pPr>
        <w:spacing w:after="240"/>
        <w:contextualSpacing/>
        <w:jc w:val="both"/>
        <w:rPr>
          <w:rFonts w:ascii="Arial" w:hAnsi="Arial" w:cs="Arial"/>
          <w:b/>
          <w:kern w:val="2"/>
          <w:lang w:eastAsia="en-US"/>
        </w:rPr>
      </w:pPr>
    </w:p>
    <w:p w:rsidR="005F0A85" w:rsidRDefault="005F0A85">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4.2.- OBJETIVOS DEL PRESUPUESTO DE EGRESOS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Atendiendo a las disposiciones legales estatales y federales, y en el marco de sus atribuciones y competencias, el Gobierno del Estado continuó en el uso de metodologías para la integración del Presupuesto de Egresos para el Ejercicio Fiscal 2016.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orden, de la definición de la estructura programática 2016, se derivaron los programas presupuestarios y las MIR’s de cada ejecutor de gasto, los cuales permiten conocer y reorientar los esfuerzos a partir de los recursos del Estado, para contar con los elementos que faciliten evaluar los resultados de la intervención pública en las demandas de la sociedad.</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Contar con una estructura programática con estas características ha permitido identificar el gasto y presentar información transparente y comprensible para la ciudadanía. </w:t>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Precisamente acciones como éstas mantienen a Oaxaca en la vanguardia dentro de la implementación del Presupuesto Basado en Resultados (PbR), lo que permite fortalecer la transparencia y la generación de información, la evaluación del desempeño y la rendición de cuentas, mejorar la dinámica de la acción pública y realizar la asignación del presupuesto de los ejercicios subsecuentes con base en resultados.</w:t>
      </w:r>
    </w:p>
    <w:p w:rsidR="00FB23BE" w:rsidRPr="00FB23BE" w:rsidRDefault="00FB23BE" w:rsidP="00FB23BE">
      <w:pPr>
        <w:spacing w:after="240"/>
        <w:contextualSpacing/>
        <w:jc w:val="both"/>
        <w:rPr>
          <w:rFonts w:ascii="Arial" w:hAnsi="Arial" w:cs="Arial"/>
          <w:kern w:val="2"/>
          <w:lang w:eastAsia="en-US"/>
        </w:rPr>
      </w:pPr>
    </w:p>
    <w:p w:rsidR="005F0A85" w:rsidRDefault="005F0A85">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4.3.- PRESUPUESTO DEVENGADO EN CLASIFICACIÓN POR TIPO Y OBJETO DEL GASTO (INFORMACIÓN PRESUPUESTARIA)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propósito principal del Clasificador por Tipo y Objeto del Gasto, es el registro de los gastos que se realizan en el proceso presupuestario, resume, ordena y presenta los gastos programados en el presupuesto, de acuerdo con la naturaleza de los bienes, servicios, activos y pasivos financieros.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dar cumplimiento a la Ley General de Contabilidad Gubernamental, los componentes del Clasificador por Tipo y Objeto del Gasto fueron definidos con base en el clasificador emitido por el Consejo Nacional de Armonización Contable (CONAC). De esta manera el Estado se alinea con el Sistema Nacional de Armonización Contable.</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informe se presenta la clasificación por tipo y objeto del gasto considerando el destino y la naturaleza de los bienes y servicios utilizados por los entes públicos, en cumplimiento de sus atribuciones y responsabilidades.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Del total devengado en el primer trimestre 2016, el 66 por ciento se asignó a gasto corriente; 22 por ciento a gasto de capital; 3 por ciento a la amortización de la deuda y disminución de pasivos; 1 por ciento a pensiones y jubilaciones y 8 por ciento a participaciones.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GASTO CORRIENTE:</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gasto corriente que se aplicó se refleja en los capítulos de servicios personales; materiales y suministros; servicios generales; transferencias, asignaciones, subsidios y otras ayudas; y participaciones y aportaciones.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recurso se aplicó para hacer frente a las obligaciones del Estado con los trabajadores en todas las modalidades contractuales.</w:t>
      </w:r>
      <w:r w:rsidRPr="00FB23BE" w:rsidDel="005E6213">
        <w:rPr>
          <w:rFonts w:ascii="Arial" w:hAnsi="Arial" w:cs="Arial"/>
          <w:kern w:val="2"/>
          <w:lang w:eastAsia="en-US"/>
        </w:rPr>
        <w:t xml:space="preserve">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Así mismo, se realizaron gastos para la adquisición de materiales y suministros; y, se aplicaron recursos para servicios básicos: energía eléctrica, teléfono, agua potable, mantenimiento de equipo de transporte y maquinaria, aseguramiento de bienes patrimoniales, arrendamiento y aseguramiento de inmuebles, entre otros, lo anterior </w:t>
      </w:r>
      <w:r w:rsidRPr="00FB23BE">
        <w:rPr>
          <w:rFonts w:ascii="Arial" w:hAnsi="Arial" w:cs="Arial"/>
          <w:kern w:val="2"/>
          <w:lang w:eastAsia="en-US"/>
        </w:rPr>
        <w:lastRenderedPageBreak/>
        <w:t xml:space="preserve">como palanca de apoyo a las actividades de las Dependencias y Entidades para cumplir con los bienes y servicios que se brindan a la sociedad.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Dichas adquisiciones son las herramientas base, para planear, coordinar, ejecutar y supervisar las acciones gubernamentales que promueven el desarrollo y competitividad del Estado tales como la de sostener y modernizar la administración de justicia, fortalecimiento a los cuerpos policiacos y aquellos gastos para fomentar la cultura y el deporte en la población así como para hacer frente al saneamiento financiero.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 importante señalar que se destinaron recursos para cubrir las obligaciones derivadas de los Proyectos de Prestación de Servicios a Largo Plazo (PPS); así como para el pago de obligaciones derivados de la bursatilización promovidos por el Estado.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presupuesto devengado en el capítulo de transferencias, subsidios y otras ayudas corresponde a las erogaciones realizadas por los Poderes Legislativo y Judicial, Órganos Autónomos y Entidades paraestatales; que realizaron acciones de legislación, administración de justicia, salud, educación a los niveles básico, medio, medio superior y superior, atención a autoridades para el desarrollo municipal, mejoramiento del medio ambiente y la implementación de los programas sociales para la atención integral de la familia, apoyo a grupos vulnerables, suministro de agua potable, mejoramiento a la vivienda, entre otros.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política social del Gobierno del Estado de Oaxaca, requiere de la permanencia y consolidación del programa de austeridad presupuestaria, la eliminación de gastos no prioritarios, y la contención del gasto de operación del gobierno para apuntalar una creciente reorientación del gasto público hacia el desarrollo social y la inversión.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tipo de gasto se devengaron en el primer trimestre 2016, 8 mil 695 millones 153 mil 730 pesos.</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FB23BE">
        <w:rPr>
          <w:rFonts w:ascii="Arial" w:hAnsi="Arial" w:cs="Arial"/>
          <w:kern w:val="2"/>
          <w:lang w:eastAsia="en-US"/>
        </w:rPr>
        <w:t xml:space="preserve"> </w:t>
      </w:r>
      <w:r w:rsidRPr="005F0A85">
        <w:rPr>
          <w:rFonts w:ascii="Arial" w:hAnsi="Arial" w:cs="Arial"/>
          <w:b/>
          <w:kern w:val="2"/>
          <w:lang w:eastAsia="en-US"/>
        </w:rPr>
        <w:t xml:space="preserve">GASTO DE CAPITAL. </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capítulo se refiere a la aplicación de recursos para la infraestructura pública, proveniente del Estado y del Gobierno Federal. Comprende aquellos gastos de inversión que el sector privado no realiza por su cuenta por corresponder a actividades de carácter social o comunitario, o para el fomento de la inversión privada en el Estado. La inversión pública se destina principalmente a comunicaciones y transportes, energía e irrigación, agricultura, educación y bienestar social entre otros.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Los recursos públicos aplicados por el Estado provienen de las aprobaciones de proyectos financiados por el Programa Normal Estatal (PNE), y diversos </w:t>
      </w:r>
      <w:r w:rsidRPr="00FB23BE">
        <w:rPr>
          <w:rFonts w:ascii="Arial" w:hAnsi="Arial" w:cs="Arial"/>
          <w:kern w:val="2"/>
          <w:lang w:eastAsia="en-US"/>
        </w:rPr>
        <w:lastRenderedPageBreak/>
        <w:t>financiamientos de recursos federales que impactan principalmente en infraestructura pública donde se identifican los siguientes: Los fondos de aportaciones (Ramo 33) contemplados en la Ley de Coordinación Fiscal entre los cuales están: El Fondo de Infraestructura Social Estatal, Aportaciones Múltiples para Asistencia Social e Infraestructura Educativa Básica y Superior, Fondo de Aportaciones para el Fortalecimiento de las Entidades Federativas; los que se obtienen de programas o convenios con dependencias federales; y, los que derivan de la deuda pública autorizada por el Congreso del Estado para este concepto.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Los recursos aplicados en el primer trimestre 2016, en este capítulo representan la cantidad de </w:t>
      </w:r>
      <w:r w:rsidR="001C5C62">
        <w:rPr>
          <w:rFonts w:ascii="Arial" w:hAnsi="Arial" w:cs="Arial"/>
          <w:kern w:val="2"/>
          <w:lang w:eastAsia="en-US"/>
        </w:rPr>
        <w:t>2</w:t>
      </w:r>
      <w:r w:rsidRPr="00FB23BE">
        <w:rPr>
          <w:rFonts w:ascii="Arial" w:hAnsi="Arial" w:cs="Arial"/>
          <w:kern w:val="2"/>
          <w:lang w:eastAsia="en-US"/>
        </w:rPr>
        <w:t xml:space="preserve"> mil 821 millones 317 mil 519 pesos.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AMORTIZACIÓN DE LA DEUDA Y DISMINUCIÓN DE PASIVOS.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Uno de los principales objetivos planteados por la presente administración es mejorar el perfil de la deuda pública, haciéndola más manejable al disminuir la carga financiera en el gasto, por otro lado también ha sido necesaria la implementación de un Programa Estatal de Financiamiento para el Crecimiento y Desarrollo de Oaxaca, para lo cual se han necesitado grandes cantidades de recursos que difícilmente se pueden cubrir con los recursos propios del ejercicio.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utilización de la deuda pública como fuente de financiamiento representó una decisión responsable basada en el análisis técnico de la capacidad de pago del gobierno respaldado por las calificadoras que han visto con optimismo la calidad crediticia del Estado, lo que en estos últimos años ha determinado la viabilidad del endeudamiento, es decir, la sostenibilidad de las finanzas públicas.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Derivado de los diversos créditos contratados en ejercicios anteriores y autorizados por el Congreso del Estado, pagaderos en moneda nacional, para hacer frente con mayor responsabilidad a las cargas financieras del Estado, en el primer trimestre 2016 se devengaron en este concepto: 375 millones 198 mil 464 pesos; conformados de la siguiente manera: Deuda pública: 371 millones 385 mil 723 pesos, Adeudos de Ejercicios Fiscales Anteriores (ADEFAS): 3 millones 812 mil 740 pesos.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PENSIONES Y JUBILACIONES: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Asignaciones destinadas a cubrir las pensiones y jubilaciones que se otorga a trabajadores en sus diversas modalidades, en el primer trimestre 2016 se devengaron en este concepto: 108 millones 142 mil 752 pesos. </w:t>
      </w:r>
    </w:p>
    <w:p w:rsidR="00FB23BE" w:rsidRPr="00FB23BE" w:rsidRDefault="00FB23BE" w:rsidP="00FB23BE">
      <w:pPr>
        <w:spacing w:after="240"/>
        <w:contextualSpacing/>
        <w:jc w:val="both"/>
        <w:rPr>
          <w:rFonts w:ascii="Arial" w:hAnsi="Arial" w:cs="Arial"/>
          <w:kern w:val="2"/>
          <w:lang w:eastAsia="en-US"/>
        </w:rPr>
      </w:pPr>
    </w:p>
    <w:p w:rsidR="005F0A85" w:rsidRDefault="005F0A85" w:rsidP="00FB23BE">
      <w:pPr>
        <w:spacing w:after="240"/>
        <w:contextualSpacing/>
        <w:jc w:val="both"/>
        <w:rPr>
          <w:rFonts w:ascii="Arial" w:hAnsi="Arial" w:cs="Arial"/>
          <w:b/>
          <w:kern w:val="2"/>
          <w:lang w:eastAsia="en-US"/>
        </w:rPr>
      </w:pPr>
    </w:p>
    <w:p w:rsidR="005F0A85" w:rsidRDefault="005F0A85" w:rsidP="00FB23BE">
      <w:pPr>
        <w:spacing w:after="240"/>
        <w:contextualSpacing/>
        <w:jc w:val="both"/>
        <w:rPr>
          <w:rFonts w:ascii="Arial" w:hAnsi="Arial" w:cs="Arial"/>
          <w:b/>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PARTICIPACIONES:</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Son los gastos destinados a cubrir las participaciones provenientes de la Ley de Coordinación Fiscal, en el primer trimestre 2016 se devengaron en este concepto: un mil 91 millones 45 mil 160 pesos.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5003649"/>
            <wp:effectExtent l="19050" t="0" r="762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5612130" cy="5003649"/>
                    </a:xfrm>
                    <a:prstGeom prst="rect">
                      <a:avLst/>
                    </a:prstGeom>
                    <a:noFill/>
                    <a:ln w="9525">
                      <a:noFill/>
                      <a:miter lim="800000"/>
                      <a:headEnd/>
                      <a:tailEnd/>
                    </a:ln>
                  </pic:spPr>
                </pic:pic>
              </a:graphicData>
            </a:graphic>
          </wp:inline>
        </w:drawing>
      </w: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p>
    <w:p w:rsidR="008C16D2" w:rsidRDefault="008C16D2">
      <w:pPr>
        <w:rPr>
          <w:rFonts w:ascii="Arial" w:hAnsi="Arial" w:cs="Arial"/>
          <w:kern w:val="2"/>
          <w:lang w:eastAsia="en-US"/>
        </w:rPr>
      </w:pPr>
    </w:p>
    <w:p w:rsidR="008C16D2" w:rsidRDefault="008C16D2">
      <w:pPr>
        <w:rPr>
          <w:rFonts w:ascii="Arial" w:hAnsi="Arial" w:cs="Arial"/>
          <w:kern w:val="2"/>
          <w:lang w:eastAsia="en-US"/>
        </w:rPr>
      </w:pPr>
    </w:p>
    <w:p w:rsidR="008C16D2" w:rsidRDefault="008C16D2">
      <w:pPr>
        <w:rPr>
          <w:rFonts w:ascii="Arial" w:hAnsi="Arial" w:cs="Arial"/>
          <w:kern w:val="2"/>
          <w:lang w:eastAsia="en-US"/>
        </w:rPr>
      </w:pPr>
    </w:p>
    <w:p w:rsidR="003A4E15" w:rsidRDefault="003A4E15">
      <w:pPr>
        <w:rPr>
          <w:rFonts w:ascii="Arial" w:hAnsi="Arial" w:cs="Arial"/>
          <w:kern w:val="2"/>
          <w:lang w:eastAsia="en-US"/>
        </w:rPr>
      </w:pPr>
    </w:p>
    <w:p w:rsidR="003A4E15" w:rsidRDefault="003A4E15">
      <w:pPr>
        <w:rPr>
          <w:rFonts w:ascii="Arial" w:hAnsi="Arial" w:cs="Arial"/>
          <w:kern w:val="2"/>
          <w:lang w:eastAsia="en-US"/>
        </w:rPr>
      </w:pPr>
      <w:r w:rsidRPr="003A4E15">
        <w:rPr>
          <w:rFonts w:ascii="Arial" w:hAnsi="Arial" w:cs="Arial"/>
          <w:noProof/>
          <w:kern w:val="2"/>
          <w:lang w:val="es-MX" w:eastAsia="es-MX"/>
        </w:rPr>
        <w:drawing>
          <wp:inline distT="0" distB="0" distL="0" distR="0">
            <wp:extent cx="5612130" cy="3093085"/>
            <wp:effectExtent l="19050" t="0" r="0" b="0"/>
            <wp:docPr id="25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lastRenderedPageBreak/>
        <w:drawing>
          <wp:inline distT="0" distB="0" distL="0" distR="0">
            <wp:extent cx="5612130" cy="4419592"/>
            <wp:effectExtent l="19050" t="0" r="7620" b="0"/>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612130" cy="4419592"/>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5F0A85" w:rsidRDefault="005F0A85">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4.4.- PRESUPUESTO DEVENGADO IDENTIFICADO POR CLASIFICACIÓN FUNCIONAL</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Clasificación funcional del gasto público.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clasificación funcional del Presupuesto de Egresos 2016 está homologada de conformidad con las disposiciones emitidas a nivel nacional por el Consejo Nacional de Armonización Contable y con base en el principio de equilibrio presupuestario.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Conforme a esta clasificación el gasto se agrupa de acuerdo con el destino de los recursos en cuatro apartados básicos: gobierno, desarrollo social, desarrollo económico y otras no clasificadas en funciones anteriores. De esta forma se expresan las funciones o actividades fundamentales del gobierno, y comprenden las erogaciones que tienden a lograr un mismo fin o sufragar el costo de una actividad concreta y específica; es decir, se basa en los actos realizados por las autoridades públicas y en qué y quiénes reciben el beneficio.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Clasificación Funcional del Gasto, agrupa los propósitos u objetivos socioeconómicos que persiguen los diferentes entes públicos.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Con dicha clasificación se identifica el presupuesto destinado a funciones de gobierno, desarrollo social, desarrollo económico y otras no clasificadas en funciones anteriores; lo que ha permitido determinar los objetivos generales de las políticas públicas y los recursos financieros que se asignan para alcanzarlos.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información de la clasificación funcional es de interés primordial para la ciudadanía en general, para servidores públicos de los tres poderes del Estado, para quienes ejercen la actividad política y para los analistas que realizan estudios sobre la ejecución de las políticas públicas.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clasificación funcional, se vincula e interrelaciona entre otras, con las clasificaciones administrativa, programática y por objeto de gasto y se estructura en cuatro finalidades: Gobierno, Desarrollo Social, Desarrollo Económico y Otras No Clasificadas en Funciones Anteriores.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Del total devengado en el primer trimestre 2016, la asignación por cada finalidad fue de 17 por ciento a gobierno; 50 por ciento a desarrollo social; 7 por ciento a desarrollo económico y 26 por ciento para otras no clasificadas en funciones anteriores.</w:t>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 </w:t>
      </w: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lastRenderedPageBreak/>
        <w:drawing>
          <wp:inline distT="0" distB="0" distL="0" distR="0">
            <wp:extent cx="5612130" cy="2154188"/>
            <wp:effectExtent l="19050" t="0" r="762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a:stretch>
                      <a:fillRect/>
                    </a:stretch>
                  </pic:blipFill>
                  <pic:spPr bwMode="auto">
                    <a:xfrm>
                      <a:off x="0" y="0"/>
                      <a:ext cx="5612130" cy="2154188"/>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3A4E15" w:rsidRDefault="003A4E15" w:rsidP="008C16D2">
      <w:pPr>
        <w:spacing w:after="240"/>
        <w:contextualSpacing/>
        <w:jc w:val="center"/>
        <w:rPr>
          <w:rFonts w:ascii="Arial" w:hAnsi="Arial" w:cs="Arial"/>
          <w:kern w:val="2"/>
          <w:lang w:eastAsia="en-US"/>
        </w:rPr>
      </w:pPr>
      <w:r w:rsidRPr="003A4E15">
        <w:rPr>
          <w:rFonts w:ascii="Arial" w:hAnsi="Arial" w:cs="Arial"/>
          <w:noProof/>
          <w:kern w:val="2"/>
          <w:lang w:val="es-MX" w:eastAsia="es-MX"/>
        </w:rPr>
        <w:drawing>
          <wp:inline distT="0" distB="0" distL="0" distR="0">
            <wp:extent cx="5612130" cy="2917825"/>
            <wp:effectExtent l="19050" t="0" r="0" b="0"/>
            <wp:docPr id="25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A4E15" w:rsidRDefault="003A4E15"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745974"/>
            <wp:effectExtent l="19050" t="0" r="7620" b="0"/>
            <wp:docPr id="2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5612130" cy="1745974"/>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 </w:t>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4.4.1.- GOBIERNO</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Está conformado por los programas destinados a una nueva gobernabilidad democrática, honesta, transparente y de resultados, la colaboración entre los poderes del Estado, la consolidación de órganos autónomos, el fortalecimiento de la autonomía indígena, el apoyo a los municipios, la seguridad pública, la procuración e impartición de justicia, los asuntos hacendarios, la política interior, la organización de los procesos electorales, la resolución de conflictos agrarios, y la regulación y normatividad aplicable a los particulares y al propio sector público.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esta finalidad se engloban por lo regular todas aquellas actividades que se refieren a: legislación, impartición y procuración de justicia, soberanía del territorio, gobierno, medio ambiente y recursos naturales por lo que durante el primer trimestre ejercicio 2016 se devengaron 2 mil 240 millones 260 mil 289 pesos.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Legislación:</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las acciones relativas a la iniciativa, revisión, elaboración, aprobación, emisión y difusión de leyes, decretos, reglamentos, entre otras. Para el ejercicio 2016, se continuó con el programa de armonización contable a los municipios y el programa para la fiscalización del gasto federalizado, así como, acciones de vigilancia y evaluación de las funciones de los servidores públicos en materia de fiscalización.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se devengaron en el primer trimestre 2016, 225 millones 891 mil 764 pesos, lo que representó el 10 por ciento del importe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Justicia:</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 administración de la procuración e impartición de justicia, así como las acciones de las fases de investigación, acopio de pruebas e indicios, hasta la imposición, ejecución y cumplimiento de resoluciones de carácter penal, civil, familiar, administrativo, laboral, electoral; del conocimiento y calificación de las infracciones e imposición de sanciones en contra de quienes presuntamente han violado la Ley o disputen un derecho, exijan su reconocimiento o en su caso impongan obligaciones; así como las acciones orientadas a la persecución oficiosa o a petición de la parte ofendida de las conductas que transgreden las disposiciones legales, las acciones de representación de los intereses sociales en juicios y procedimientos que se realizan ante las instancias de justicia correspondientes, incluye la administración de los centros de reclusión y readaptación social, así como los programas, actividades y proyectos relacionados con los derechos humanos, entre otros destacan: Ejecución eficiente de mandamientos judiciales; atención permanente a los conflictos agrarios del Estado; fortalecimiento y operación de los reclusorios regionales y de la </w:t>
      </w:r>
      <w:r w:rsidRPr="00FB23BE">
        <w:rPr>
          <w:rFonts w:ascii="Arial" w:hAnsi="Arial" w:cs="Arial"/>
          <w:kern w:val="2"/>
          <w:lang w:eastAsia="en-US"/>
        </w:rPr>
        <w:lastRenderedPageBreak/>
        <w:t xml:space="preserve">Penitenciaría Central del Estado; oportuna integración, determinación y seguimiento de averiguaciones previas, diseño e implementación de mecanismos de Derechos Humanos; emisión oportuna de dictámenes periciales, profesionalización de las instituciones de seguridad pública; asesoría y defensoría jurídica sin discriminación hacia la población indígena y de escasos recursos; averiguaciones, consignaciones e intervenciones; rehabilitación de internos en reclusorios del Estado; fortalecimiento del sistema de justicia penal oral; atención de los conflictos agrarios del Estado; búsqueda y localización inmediata de personas; y respuesta gubernamental para prevenir, atender y sancionar la violencia contra las mujeres en el Estado de Oaxaca.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456 millones 988 mil 283 pesos, lo que representa el 20 por ciento de esta finalidad.</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5F0A85">
        <w:rPr>
          <w:rFonts w:ascii="Arial" w:hAnsi="Arial" w:cs="Arial"/>
          <w:b/>
          <w:kern w:val="2"/>
          <w:lang w:eastAsia="en-US"/>
        </w:rPr>
        <w:t>Coordinación de la política de gobierno</w:t>
      </w:r>
      <w:r w:rsidRPr="00FB23BE">
        <w:rPr>
          <w:rFonts w:ascii="Arial" w:hAnsi="Arial" w:cs="Arial"/>
          <w:kern w:val="2"/>
          <w:lang w:eastAsia="en-US"/>
        </w:rPr>
        <w:t>:</w:t>
      </w:r>
    </w:p>
    <w:p w:rsidR="005F0A85" w:rsidRPr="00FB23BE"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Comprende las acciones enfocadas a la formulación y establecimiento de las directrices, lineamientos de acción y estrategias de gobierno en las que están la operación de la gubernatura, la política interior, preservación y cuidado del patrimonio público, la fiscalización y evaluación interna de la función pública, los asuntos jurídicos, organización de procesos electorales, política poblacional y territorial; difusión de los programas gubernamentales; entre otros destacan: Fortalecimiento del sistema democrático; difusión de los programas gubernamentales; financiamiento público a partidos políticos; evaluación del desempeño de la administración pública estatal; fortalecimiento de la transparencia en el desempeño de los servidores públicos; fomentar y garantizar la gobernabilidad y el desarrollo.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637 millones 992 mil 328 pesos, lo que representa el 28 por ciento de esta finalidad.</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Asuntos financieros y hacendarios:</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el diseño y ejecución de los asuntos relativos a cubrir todas las acciones inherentes a los asuntos financieros y hacendarios. Entre ellos la política financiera, su reglamentación y regulación, operación de la política fiscal, gestión de tesorería y demás servicios que corresponda.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esta función se dio seguimiento y vigilancia de la recaudación de contribuciones federales y estatales; se consolidó la estructura programática presupuestaria para la programación del gasto público; y, el pago de obligaciones de los procesos de bursatilización.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Se devengaron en el primer trimestre 2016, 364 millones 150 mil 706 pesos, lo que representa el 16 por ciento de esta finalidad.</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 xml:space="preserve">Asuntos de orden público y de seguridad: </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Comprende los programas, actividades y proyectos relacionados con el orden y seguridad pública, así como las acciones que realizan consensuados los gobiernos Federal, Estatal y Municipal, para la investigación y prevención de conductas delictivas; también su participación en programas conjuntos de reclutamiento, capacitación, entrenamiento, equipamiento y ejecución de acciones coordinadas, al igual que la orientación, difusión, auxilio y protección civil para prevención de desastres, entre otras, incluye los servicios de policía, servicios de protección contra incendios y la investigación y desarrollo relacionados con el orden público y la seguridad. En esta función las acciones realizadas son: Aplicación de operativos por parte de la Policía Estatal en las 8 regiones del Estado; fortalecimiento de la Policía Auxiliar Bancaria, Industrial y Comercial; servicios de llamadas de emergencia; modernización, conducción y coordinación de las políticas de seguridad pública en el Estado; red nacional de telecomunicaciones; atención de emergencias y desastres en el Estado; servicios de vigilancia, control y educación vial.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estos conceptos se devengaron en el primer trimestre 2016, 335 millones 112 mil 225 pesos, lo que representa el 15 por ciento de esta finalidad.</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Otros servicios generales:</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grupo comprende servicios que no están vinculados a una función concreta y que generalmente son de cometido de oficinas centrales de los diversos niveles del gobierno, tales como: Los servicios generales; de personal; requerimientos de pensiones; pago de cuotas IMSS; seguro facultativo para los jubilados, pensionados y pensionistas, planificación y estadísticas.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Se continuó con las acciones: Derecho de acceso a la información pública y protección de datos personales; cobertura de las obligaciones derivadas de los Proyectos de Prestación de Servicios a Largo Plazo (PPS); difusión sobre programas gubernamentales; servicios registrales en el Estado y la construcción de la ciudad de los archivos.</w:t>
      </w:r>
    </w:p>
    <w:p w:rsidR="00FB23BE" w:rsidRPr="00FB23BE" w:rsidRDefault="00FB23BE" w:rsidP="00FB23BE">
      <w:pPr>
        <w:spacing w:after="240"/>
        <w:contextualSpacing/>
        <w:jc w:val="both"/>
        <w:rPr>
          <w:rFonts w:ascii="Arial" w:hAnsi="Arial" w:cs="Arial"/>
          <w:kern w:val="2"/>
          <w:lang w:eastAsia="en-US"/>
        </w:rPr>
      </w:pPr>
    </w:p>
    <w:p w:rsidR="008C16D2"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se devengaron en el primer trimestre 2016, 220 millones 124 mil 981 pesos, lo que representa el 10 por ciento de esta finalidad.</w:t>
      </w:r>
    </w:p>
    <w:p w:rsidR="00FB23BE" w:rsidRDefault="008C16D2" w:rsidP="008C16D2">
      <w:pPr>
        <w:tabs>
          <w:tab w:val="left" w:pos="7078"/>
        </w:tabs>
        <w:rPr>
          <w:rFonts w:ascii="Arial" w:hAnsi="Arial" w:cs="Arial"/>
          <w:lang w:eastAsia="en-US"/>
        </w:rPr>
      </w:pPr>
      <w:r>
        <w:rPr>
          <w:rFonts w:ascii="Arial" w:hAnsi="Arial" w:cs="Arial"/>
          <w:lang w:eastAsia="en-US"/>
        </w:rPr>
        <w:tab/>
      </w:r>
    </w:p>
    <w:p w:rsidR="008C16D2" w:rsidRDefault="008C16D2" w:rsidP="008C16D2">
      <w:pPr>
        <w:tabs>
          <w:tab w:val="left" w:pos="7078"/>
        </w:tabs>
        <w:rPr>
          <w:rFonts w:ascii="Arial" w:hAnsi="Arial" w:cs="Arial"/>
          <w:lang w:eastAsia="en-US"/>
        </w:rPr>
      </w:pPr>
    </w:p>
    <w:p w:rsidR="008C16D2" w:rsidRDefault="008C16D2" w:rsidP="008C16D2">
      <w:pPr>
        <w:tabs>
          <w:tab w:val="left" w:pos="7078"/>
        </w:tabs>
        <w:rPr>
          <w:rFonts w:ascii="Arial" w:hAnsi="Arial" w:cs="Arial"/>
          <w:lang w:eastAsia="en-US"/>
        </w:rPr>
      </w:pPr>
    </w:p>
    <w:p w:rsidR="008C16D2" w:rsidRPr="008C16D2" w:rsidRDefault="008C16D2" w:rsidP="008C16D2">
      <w:pPr>
        <w:tabs>
          <w:tab w:val="left" w:pos="7078"/>
        </w:tabs>
        <w:rPr>
          <w:rFonts w:ascii="Arial" w:hAnsi="Arial" w:cs="Arial"/>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2556029"/>
            <wp:effectExtent l="19050" t="0" r="7620" b="0"/>
            <wp:docPr id="2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612130" cy="2556029"/>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Pr="00FB23BE" w:rsidRDefault="008C16D2"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893195"/>
            <wp:effectExtent l="19050" t="0" r="7620" b="0"/>
            <wp:docPr id="2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5612130" cy="1893195"/>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8C16D2"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 xml:space="preserve"> </w:t>
      </w:r>
    </w:p>
    <w:p w:rsidR="008C16D2" w:rsidRDefault="008C16D2">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4.4.2.- DESARROLLO SOCIAL</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Incluye programas, proyectos y actividades dirigidos a mejorar el nivel de vida de la población, que se reflejan en aspectos básicos como: Salud, vivienda, servicios urbanos, servicios rurales básicos y servicios educativos. Comprende también la recreación, cultura y otras manifestaciones sociales, así como la protección ambiental.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está finalidad en el primer trimestre 2016 se devengaron 6 mil 513 millones 731 mil 33 pesos, lo que representa el 50 por ciento del total del presupuesto devengado.</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Protección ambiental:</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proyectos y actividades encaminados a promover y fomentar la protección e investigación, desarrollo de los recursos naturales y preservación del medio ambiente; considera la ordenación de aguas residuales y desechos, reducción de la contaminación, protección de la diversidad biológica y del paisaje e investigación y desarrollo relacionados con la protección del medio ambiente, destacan las acciones de: control y combate de plagas y enfermedades forestales; programa estatal obligatorio de verificación de vehículos; integración y operación de brigadas oficiales de prevención, tratamiento de aguas residuales, control y combate de incendios forestales en zonas de alto riesgo; inducción, promoción y ejecución al ordenamiento ecológico territorial del estado de Oaxaca; gestión e inspección para la evaluación del impacto y riesgo ambiental; y, construcción de sanitarios ecológicos secos.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se devengaron en el primer trimestre 2016, 230 millones 343 mil 362 pesos, lo que representa el 4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Vivienda y servicios a la comunidad:</w:t>
      </w:r>
    </w:p>
    <w:p w:rsidR="005F0A85" w:rsidRDefault="005F0A85"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 administración, gestión o apoyo de programas, actividades y proyectos relacionados con la formulación, administración, coordinación, ejecución y vigilancia de políticas relacionadas con la urbanización, desarrollo comunitario, abastecimiento de agua, alumbrado público y servicios comunitario. </w:t>
      </w:r>
    </w:p>
    <w:p w:rsidR="001C5C62" w:rsidRPr="00FB23BE" w:rsidRDefault="001C5C62"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se devengaron en el primer trimestre 2016, 616 millones 270 mil 535 pesos, lo que representa el 9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C55C40" w:rsidRDefault="00C55C40">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Salud:</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proyectos y actividades relacionados con la prestación de servicios colectivos y personales de salud, entre ellos los servicios para pacientes externos; servicios médicos y hospitalarios generales y especializados; servicios odontológicos; servicios paramédicos; centros de maternidad; servicios de residencias de la tercera edad y de convalecencia; operación de unidades médicas; caravanas de la salud; desarrollo humano oportunidades; afiliados al Seguro Popular; y otros servicios de salud. Así mismo se pueden identificar en este apartado productos, útiles y equipos médicos, productos farmacéuticos, aparatos y equipos terapéuticos.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se devengaron en el primer trimestre 2016, un mil 6 millones 466 mil 126 pesos, lo que representa el 15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Recreación, cultura y otras manifestaciones sociales: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actividades y proyectos relacionados con la promoción, fomento y prestación de servicios culturales, recreativos y deportivos; y otras manifestaciones sociales, servicios de radio, televisión y editoriales; entre las acciones llevadas a cabo por el Gobierno del Estado en el primer trimestre ejercicio fiscal 2016 se encuentran en los programas de: construcción de infraestructura para el fomento deportivo en el estado; construcción del Polideportivos Zona Poniente en Oaxaca de Juárez, que ofrecerá servicios gratuitos a la población, destacando disciplinas como: atletismo, beisbol, fútbol profesional, fútbol rápido, natación y pelota mixteca.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414 millones 177 mil 254 pesos, lo que representa el 6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Educación:</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 prestación de los servicios educativos en todos sus niveles, en general a los programas, proyectos y actividades relacionados con la educación preescolar, primaria, secundaria general, telesecundaria, media superior, telebachilleratos, técnica, de adultos, superior y postgrado; servicios auxiliares de la educación, investigación y desarrollo, relacionados con la misma; construcción de aulas; rehabilitación de escuelas; ampliación de espacios educativos para investigación, proyectos productivos e innovadores de alta tecnología en temas biológicos y la incursión en la robótica; y, otras no clasificadas en los conceptos anteriores.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En esta función, en el primer trimestre 2016 se devengaron 4 mil 143 millones 311 mil 541 pesos, lo que representa el 64 por ciento del presupuesto devengado en esta finalidad.</w:t>
      </w:r>
    </w:p>
    <w:p w:rsidR="008C16D2" w:rsidRDefault="008C16D2">
      <w:pPr>
        <w:rPr>
          <w:rFonts w:ascii="Arial" w:hAnsi="Arial" w:cs="Arial"/>
          <w:b/>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Protección social:</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actividades y proyectos relacionados con la protección social que desarrollan los entes públicos en materia de incapacidad económica o laboral, edad avanzada, desempleo, exclusión social; así como, acciones relacionados con la protección social. Comprende las prestaciones económicas y sociales, los beneficios en efectivo o en especie, tanto a la población asegurada como a la no asegurada. Incluyen también el programa Bienestar de apoyo a personas con discapacidad; los gastos en servicios y transferencias a personas y familias; y, los gastos en servicios proporcionados a distintas agrupaciones; las acciones más relevantes son: Atención a Centros de Desarrollo Infantil; programa de apoyo a personas con discapacidad; campaña de los derechos de niñas, niños y adolescentes; programa de desayunos escolares, coordinación para la atención de los pueblos indígenas; centros para el desarrollo de las mujeres con perspectiva de género; y, otras acciones que privilegian el desarrollo humano de la población en Oaxaca.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94 millones 13 mil 57 pesos, lo que representa el 1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Otros asuntos sociales: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otras acciones no comprendidas en las funciones anteriores. En esta función se aplicaron recursos para apoyar a personas con discapacidad y gestión de políticas de desarrollo social y humano.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Para estas acciones, en el primer trimestre 2016 se devengaron 9 millones 149 mil 155 pesos.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5F0A85" w:rsidP="008C16D2">
      <w:pPr>
        <w:spacing w:after="240"/>
        <w:contextualSpacing/>
        <w:jc w:val="center"/>
        <w:rPr>
          <w:rFonts w:ascii="Arial" w:hAnsi="Arial" w:cs="Arial"/>
          <w:kern w:val="2"/>
          <w:lang w:eastAsia="en-US"/>
        </w:rPr>
      </w:pPr>
      <w:r w:rsidRPr="005F0A85">
        <w:rPr>
          <w:noProof/>
          <w:lang w:val="es-MX" w:eastAsia="es-MX"/>
        </w:rPr>
        <w:lastRenderedPageBreak/>
        <w:drawing>
          <wp:inline distT="0" distB="0" distL="0" distR="0">
            <wp:extent cx="5882005" cy="1765325"/>
            <wp:effectExtent l="19050" t="0" r="4445" b="0"/>
            <wp:docPr id="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882005" cy="1765325"/>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885599" cy="2139325"/>
            <wp:effectExtent l="19050" t="0" r="851" b="0"/>
            <wp:docPr id="2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5897422" cy="2143623"/>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4.4.3.- DESARROLLO ECONÓMICO</w:t>
      </w:r>
    </w:p>
    <w:p w:rsidR="005F0A85" w:rsidRPr="00FB23BE"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Comprende los programas y proyectos cuyo objetivo es la promoción del desarrollo económico y el fomento a la producción, promoviendo la producción de los cultivos agrícolas y forestales, la acuacultura y la pesca. Se dirige también a la comercialización agropecuaria y agroindustrial y a la producción de bienes y servicios públicos, complementándolos con los que ofrece el sector privado.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esta finalidad, en el primer trimestre 2016 se devengaron 936 millones 710 mil 976 pesos.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Asuntos económicos, comerciales y laborales en general:</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 administración de asuntos y servicios económicos, comerciales y laborales en general, incluye asuntos comerciales exteriores; gestión o apoyo de programas laborales y de instituciones que se ocupan de patentes, marcas comerciales, derechos de autor, inscripción de empresas, pronósticos meteorológicos, pesas y medidas, levantamientos hidrológicos, levantamientos geodésicos, etc.; reglamentación o apoyo de actividades económicas y comerciales generales, tales como el comercio de exportación e importación en su conjunto, mercados de productos básicos y de valores de capital, controles generales de los ingresos, actividades de fomento del comercio en general, reglamentación general de monopolios y otras restricciones al comercio y al acceso al mercado, etc. Así como de la formulación, ejecución y aplicación de políticas económicas, comerciales y laborales.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esta función en el primer trimestre 2016 se devengaron 52 millones 786 mil 99 pesos, lo que representa el 6 por ciento del presupuesto devengado en esta finalidad. </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Agropecuaria, silvicultura, pesca y caza:</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Comprende los programas, actividades y proyectos relacionados con: El fomento a la producción y comercialización agropecuaria, silvicultura, pesca, acuacultura y caza; la agroindustria; el desarrollo hidroagrícola y fomento forestal.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89 millones 897 mil 355 pesos, lo que representa el 10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C55C40" w:rsidRDefault="00C55C40">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Combustibles y energía:</w:t>
      </w:r>
    </w:p>
    <w:p w:rsidR="005F0A85" w:rsidRDefault="005F0A85"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actividades y proyectos relacionados con la producción y comercialización de combustibles y energía, tales como el petróleo y gas natural, carbón y otros combustibles minerales sólidos, combustibles nucleares y otros, electricidad y la energía no eléctrica. </w:t>
      </w:r>
    </w:p>
    <w:p w:rsidR="005F0A85" w:rsidRPr="00FB23BE"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presupuesto devengado en el primer trimestre 2016 para este concepto asciende a 42 millones 757 mil 600 pesos, lo que representa el 5 por ciento del presupuesto devengado en esta finalidad. </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Transporte:</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 administración de asuntos y servicios relacionados con la explotación, la utilización, la construcción y el mantenimiento de sistemas e instalaciones del transporte por carretera, ferroviario, aéreo, agua, oleoductos y gasoductos y otros sistemas. Así como su supervisión y reglamentación, de las que destacan las siguientes acciones: Programa de permisos, emplacamiento, licencias y verificación vehicular; rehabilitación de vialidades urbanas en el Estado; y, modernización, construcción y rehabilitación de caminos, carreteras y puentes de las 8 regiones del Estado.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462 millones 816 mil 488 pesos, lo que representa el 49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Comunicaciones: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actividades y proyectos relacionados con la producción de programas de radio y televisión, mantenimiento de las redes de transmisión de las redes repetidoras de radiodifusión, diseño de la cobertura de la red estatal.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14 millones 261 mil 395 pesos, lo que representa el 2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Turismo:</w:t>
      </w:r>
    </w:p>
    <w:p w:rsidR="005F0A85" w:rsidRDefault="005F0A85"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 administración, fomento y desarrollo de asuntos y servicios de turismo; enlace con las industrias del transporte, los hoteles y los restaurantes y otras industrias que se benefician con la presencia de turistas; la explotación de oficinas de turismo en el país y en el exterior; organización de campañas publicitarias nacionales e internacionales, la producción y difusión de literatura de promoción; entre otras. </w:t>
      </w:r>
    </w:p>
    <w:p w:rsidR="005F0A85" w:rsidRPr="00FB23BE"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En esta función en el primer trimestre 2016 se devengaron 232 millones 707 mil 884 pesos, lo que representa el 25 por ciento del total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Ciencia, tecnología e innovación:</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programas de investigación aplicada que consiste en investigaciones originales realizadas a fin de adquirir nuevos conocimientos orientados primordialmente a un fin u objetivo práctico concreto. El desarrollo experimental que consiste en trabajos sistemáticos, basados en conocimientos existentes logrados a partir de la investigación y la experiencia práctica, que están orientados a producir nuevos materiales, productos y dispositivos; instalar nuevos procesos, sistemas y servicios o a perfeccionar los que ya se han producido o instalado, todos relacionados con asuntos económicos.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41 millones 484 mil 153 pesos.</w:t>
      </w:r>
    </w:p>
    <w:p w:rsidR="00FB23BE" w:rsidRDefault="00FB23BE" w:rsidP="00FB23BE">
      <w:pPr>
        <w:spacing w:after="240"/>
        <w:contextualSpacing/>
        <w:jc w:val="both"/>
        <w:rPr>
          <w:rFonts w:ascii="Arial" w:hAnsi="Arial" w:cs="Arial"/>
          <w:kern w:val="2"/>
          <w:lang w:eastAsia="en-US"/>
        </w:rPr>
      </w:pPr>
    </w:p>
    <w:p w:rsidR="005F0A85" w:rsidRPr="00FB23BE" w:rsidRDefault="005F0A85" w:rsidP="008C16D2">
      <w:pPr>
        <w:spacing w:after="240"/>
        <w:contextualSpacing/>
        <w:jc w:val="center"/>
        <w:rPr>
          <w:rFonts w:ascii="Arial" w:hAnsi="Arial" w:cs="Arial"/>
          <w:kern w:val="2"/>
          <w:lang w:eastAsia="en-US"/>
        </w:rPr>
      </w:pPr>
      <w:r w:rsidRPr="005F0A85">
        <w:rPr>
          <w:noProof/>
          <w:lang w:val="es-MX" w:eastAsia="es-MX"/>
        </w:rPr>
        <w:drawing>
          <wp:inline distT="0" distB="0" distL="0" distR="0">
            <wp:extent cx="5882005" cy="2105367"/>
            <wp:effectExtent l="19050" t="0" r="4445" b="0"/>
            <wp:docPr id="2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5882005" cy="2105367"/>
                    </a:xfrm>
                    <a:prstGeom prst="rect">
                      <a:avLst/>
                    </a:prstGeom>
                    <a:noFill/>
                    <a:ln w="9525">
                      <a:noFill/>
                      <a:miter lim="800000"/>
                      <a:headEnd/>
                      <a:tailEnd/>
                    </a:ln>
                  </pic:spPr>
                </pic:pic>
              </a:graphicData>
            </a:graphic>
          </wp:inline>
        </w:drawing>
      </w: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890045" cy="1880023"/>
            <wp:effectExtent l="19050" t="0" r="0" b="0"/>
            <wp:docPr id="2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srcRect/>
                    <a:stretch>
                      <a:fillRect/>
                    </a:stretch>
                  </pic:blipFill>
                  <pic:spPr bwMode="auto">
                    <a:xfrm>
                      <a:off x="0" y="0"/>
                      <a:ext cx="5906162" cy="1885167"/>
                    </a:xfrm>
                    <a:prstGeom prst="rect">
                      <a:avLst/>
                    </a:prstGeom>
                    <a:noFill/>
                    <a:ln w="9525">
                      <a:noFill/>
                      <a:miter lim="800000"/>
                      <a:headEnd/>
                      <a:tailEnd/>
                    </a:ln>
                  </pic:spPr>
                </pic:pic>
              </a:graphicData>
            </a:graphic>
          </wp:inline>
        </w:drawing>
      </w:r>
    </w:p>
    <w:p w:rsidR="00FC7311" w:rsidRDefault="00FC7311" w:rsidP="00FB23BE">
      <w:pPr>
        <w:spacing w:after="240"/>
        <w:contextualSpacing/>
        <w:jc w:val="both"/>
        <w:rPr>
          <w:rFonts w:ascii="Arial" w:hAnsi="Arial" w:cs="Arial"/>
          <w:b/>
          <w:kern w:val="2"/>
          <w:lang w:eastAsia="en-US"/>
        </w:rPr>
      </w:pPr>
    </w:p>
    <w:p w:rsidR="00FC7311" w:rsidRDefault="00FC7311" w:rsidP="00FB23BE">
      <w:pPr>
        <w:spacing w:after="240"/>
        <w:contextualSpacing/>
        <w:jc w:val="both"/>
        <w:rPr>
          <w:rFonts w:ascii="Arial" w:hAnsi="Arial" w:cs="Arial"/>
          <w:b/>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4.4.4.- OTRAS NO CLASIFICADAS EN FUNCIONES ANTERIORES: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pagos de compromisos inherentes a la contratación de deuda; las transferencias, participaciones y aportaciones, entre los diferentes niveles y órdenes de gobierno no susceptibles de etiquetar en las funciones existentes.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esta finalidad en el primer trimestre 2016 se devengaron 3 mil 400 millones 155 mil 328 pesos.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Transacciones de la deuda pública / costo financiero de la deuda:</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pagos de compromisos por concepto de intereses, comisiones, amortización y otras erogaciones derivadas de la contratación de deuda pública. Se refiere al pago de la deuda pública contratada y documentada, tanto con instituciones internas como externas. Así como pago de intereses y gastos por concepto de suscripción y emisión de empréstitos gubernamentales.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371 millones 385 mil 723 pesos, lo que representa el 11 por ciento del presupuesto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Transferencias, participaciones y aportaciones entre diferentes niveles y órdenes de gobierno:</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Transferencias, participaciones y aportaciones entre diferentes niveles y órdenes de gobierno que son de carácter general y no están asignadas a una función determinada. Destacan principalmente las aportaciones a municipios.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3 mil 24 millones 529 mil 48 pesos, lo que representa el 89 por ciento de total devengado en esta finalidad.</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Adeudos de ejercicios fiscales anteriores: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los pagos de adeudos fiscales de ejercicios anteriores de diversos Ejecutores de gasto.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esta función en el primer trimestre 2016 se devengaron 4 millones 240 mil 556 pesos.</w:t>
      </w:r>
    </w:p>
    <w:p w:rsidR="00FB23BE" w:rsidRDefault="00FB23BE" w:rsidP="003A4E15">
      <w:pPr>
        <w:spacing w:after="240"/>
        <w:contextualSpacing/>
        <w:jc w:val="center"/>
        <w:rPr>
          <w:rFonts w:ascii="Arial" w:hAnsi="Arial" w:cs="Arial"/>
          <w:kern w:val="2"/>
          <w:lang w:eastAsia="en-US"/>
        </w:rPr>
      </w:pPr>
      <w:r w:rsidRPr="00FB23BE">
        <w:rPr>
          <w:rFonts w:ascii="Arial" w:hAnsi="Arial" w:cs="Arial"/>
          <w:noProof/>
          <w:kern w:val="2"/>
          <w:lang w:val="es-MX" w:eastAsia="es-MX"/>
        </w:rPr>
        <w:lastRenderedPageBreak/>
        <w:drawing>
          <wp:inline distT="0" distB="0" distL="0" distR="0">
            <wp:extent cx="5612130" cy="1806150"/>
            <wp:effectExtent l="19050" t="0" r="7620" b="0"/>
            <wp:docPr id="2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srcRect/>
                    <a:stretch>
                      <a:fillRect/>
                    </a:stretch>
                  </pic:blipFill>
                  <pic:spPr bwMode="auto">
                    <a:xfrm>
                      <a:off x="0" y="0"/>
                      <a:ext cx="5612130" cy="1806150"/>
                    </a:xfrm>
                    <a:prstGeom prst="rect">
                      <a:avLst/>
                    </a:prstGeom>
                    <a:noFill/>
                    <a:ln w="9525">
                      <a:noFill/>
                      <a:miter lim="800000"/>
                      <a:headEnd/>
                      <a:tailEnd/>
                    </a:ln>
                  </pic:spPr>
                </pic:pic>
              </a:graphicData>
            </a:graphic>
          </wp:inline>
        </w:drawing>
      </w:r>
    </w:p>
    <w:p w:rsidR="00BB2968" w:rsidRDefault="00BB2968" w:rsidP="003A4E15">
      <w:pPr>
        <w:spacing w:after="240"/>
        <w:contextualSpacing/>
        <w:jc w:val="center"/>
        <w:rPr>
          <w:rFonts w:ascii="Arial" w:hAnsi="Arial" w:cs="Arial"/>
          <w:kern w:val="2"/>
          <w:lang w:eastAsia="en-US"/>
        </w:rPr>
      </w:pPr>
    </w:p>
    <w:p w:rsidR="00BB2968" w:rsidRDefault="00BB2968" w:rsidP="003A4E15">
      <w:pPr>
        <w:spacing w:after="240"/>
        <w:contextualSpacing/>
        <w:jc w:val="center"/>
        <w:rPr>
          <w:rFonts w:ascii="Arial" w:hAnsi="Arial" w:cs="Arial"/>
          <w:kern w:val="2"/>
          <w:lang w:eastAsia="en-US"/>
        </w:rPr>
      </w:pPr>
    </w:p>
    <w:p w:rsidR="00BB2968" w:rsidRDefault="00BB2968" w:rsidP="003A4E15">
      <w:pPr>
        <w:spacing w:after="240"/>
        <w:contextualSpacing/>
        <w:jc w:val="center"/>
        <w:rPr>
          <w:rFonts w:ascii="Arial" w:hAnsi="Arial" w:cs="Arial"/>
          <w:kern w:val="2"/>
          <w:lang w:eastAsia="en-US"/>
        </w:rPr>
      </w:pPr>
    </w:p>
    <w:p w:rsidR="00BB2968" w:rsidRDefault="00BB2968" w:rsidP="003A4E15">
      <w:pPr>
        <w:spacing w:after="240"/>
        <w:contextualSpacing/>
        <w:jc w:val="center"/>
        <w:rPr>
          <w:rFonts w:ascii="Arial" w:hAnsi="Arial" w:cs="Arial"/>
          <w:kern w:val="2"/>
          <w:lang w:eastAsia="en-US"/>
        </w:rPr>
      </w:pPr>
    </w:p>
    <w:p w:rsidR="00BB2968" w:rsidRPr="00FB23BE" w:rsidRDefault="00BB2968" w:rsidP="003A4E15">
      <w:pPr>
        <w:spacing w:after="240"/>
        <w:contextualSpacing/>
        <w:jc w:val="center"/>
        <w:rPr>
          <w:rFonts w:ascii="Arial" w:hAnsi="Arial" w:cs="Arial"/>
          <w:kern w:val="2"/>
          <w:lang w:eastAsia="en-US"/>
        </w:rPr>
      </w:pPr>
    </w:p>
    <w:p w:rsidR="00FB23BE" w:rsidRPr="00FB23BE" w:rsidRDefault="00FB23BE" w:rsidP="003A4E15">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866114"/>
            <wp:effectExtent l="19050" t="0" r="7620" b="0"/>
            <wp:docPr id="2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srcRect/>
                    <a:stretch>
                      <a:fillRect/>
                    </a:stretch>
                  </pic:blipFill>
                  <pic:spPr bwMode="auto">
                    <a:xfrm>
                      <a:off x="0" y="0"/>
                      <a:ext cx="5612130" cy="1866114"/>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4.5.- EJES ESTRATÉGICOS DEL PLAN ESTATAL DE DESARROLLO DE OAXACA, 2011-2016</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sistema de planeación del desarrollo se sustenta en el Plan Estatal de Desarrollo 2011-2016, documento rector del actuar de este gobierno, el cual está elaborado en base a las necesidades estatales específicas, identificándolas en ejes, objetivos, estrategias y líneas de acción.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información del gasto que se rinde es la contenida en el Presupuesto de Egresos devengado en el primer trimestre 2016, comprende todos los programas y acciones ejecutadas por el Gobierno del Estado en el mismo periodo. Los importes devengados en cada eje para el cumplimiento de sus propósitos, se describen a continuación: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2319545"/>
            <wp:effectExtent l="19050" t="0" r="7620" b="0"/>
            <wp:docPr id="2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5612130" cy="2319545"/>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3A4E15" w:rsidRDefault="003A4E15" w:rsidP="008C16D2">
      <w:pPr>
        <w:spacing w:after="240"/>
        <w:contextualSpacing/>
        <w:jc w:val="center"/>
        <w:rPr>
          <w:rFonts w:ascii="Arial" w:hAnsi="Arial" w:cs="Arial"/>
          <w:kern w:val="2"/>
          <w:lang w:eastAsia="en-US"/>
        </w:rPr>
      </w:pPr>
      <w:r w:rsidRPr="003A4E15">
        <w:rPr>
          <w:rFonts w:ascii="Arial" w:hAnsi="Arial" w:cs="Arial"/>
          <w:noProof/>
          <w:kern w:val="2"/>
          <w:lang w:val="es-MX" w:eastAsia="es-MX"/>
        </w:rPr>
        <w:drawing>
          <wp:inline distT="0" distB="0" distL="0" distR="0">
            <wp:extent cx="5612130" cy="2915285"/>
            <wp:effectExtent l="19050" t="0" r="0" b="0"/>
            <wp:docPr id="25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C16D2" w:rsidRDefault="008C16D2" w:rsidP="008C16D2">
      <w:pPr>
        <w:spacing w:after="240"/>
        <w:contextualSpacing/>
        <w:jc w:val="center"/>
        <w:rPr>
          <w:rFonts w:ascii="Arial" w:hAnsi="Arial" w:cs="Arial"/>
          <w:kern w:val="2"/>
          <w:lang w:eastAsia="en-US"/>
        </w:rPr>
      </w:pPr>
    </w:p>
    <w:p w:rsidR="008C16D2" w:rsidRDefault="008C16D2" w:rsidP="008C16D2">
      <w:pPr>
        <w:spacing w:after="240"/>
        <w:contextualSpacing/>
        <w:jc w:val="center"/>
        <w:rPr>
          <w:rFonts w:ascii="Arial" w:hAnsi="Arial" w:cs="Arial"/>
          <w:kern w:val="2"/>
          <w:lang w:eastAsia="en-US"/>
        </w:rPr>
      </w:pPr>
    </w:p>
    <w:p w:rsidR="008C16D2" w:rsidRPr="00FB23BE" w:rsidRDefault="008C16D2" w:rsidP="008C16D2">
      <w:pPr>
        <w:spacing w:after="240"/>
        <w:contextualSpacing/>
        <w:jc w:val="center"/>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458902"/>
            <wp:effectExtent l="19050" t="0" r="7620" b="0"/>
            <wp:docPr id="2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srcRect/>
                    <a:stretch>
                      <a:fillRect/>
                    </a:stretch>
                  </pic:blipFill>
                  <pic:spPr bwMode="auto">
                    <a:xfrm>
                      <a:off x="0" y="0"/>
                      <a:ext cx="5612130" cy="1458902"/>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lastRenderedPageBreak/>
        <w:t>4.5.1.- ESTADO DE DERECHO, GOBERNABILIDAD Y SEGURIDAD</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las acciones de: Gestión gubernamental; nueva gobernabilidad democrática; colaboración entre poderes y consolidación de órganos autónomos; fortalecimiento del municipio; fortalecimiento de la libre determinación y autonomía indígena, certeza jurídica y justicia para todos, regularización de la tenencia de la tierra y resolución de conflictos agrarios, seguridad pública y paz social; procuración e impartición de justicia; seguridad pública; política interior; organización de los procesos electorales; resolución de conflictos agrarios; regulación y normatividad aplicable a los particulares y al propio sector público.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este Eje en el primer trimestre 2016 se devengaron 4 mil 532 millones 31 mil 32 pesos.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Los temas que conforman este eje son:</w:t>
      </w:r>
    </w:p>
    <w:p w:rsidR="005F0A85" w:rsidRDefault="005F0A85" w:rsidP="00FB23BE">
      <w:pPr>
        <w:spacing w:after="240"/>
        <w:contextualSpacing/>
        <w:jc w:val="both"/>
        <w:rPr>
          <w:rFonts w:ascii="Arial" w:hAnsi="Arial" w:cs="Arial"/>
          <w:b/>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NUEVA GOBERNABILIDAD DEMOCRÁTICA</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tema, comprende las acciones institucionales del Estado para articular la diversidad de intereses, mediar las tensiones que emergen de la pluralidad, construir acuerdos e implementar acciones que permitan dar respuesta de manera efectiva a las demandas ciudadanas, en el marco de un sistema de representación democrático y de respeto a los derechos individuales y sociales disminuyendo la brecha de inequidad, propiciando el desarrollo político, económico y social de Oaxaca, garantizando la ministración de las prerrogativas en apego al Código de Instituciones Políticas y Procedimientos Electorales del Estado de Oaxaca y la organización de elecciones extraordinarias.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 este tema en el primer trimestre 2016 se destinaron 430 millones 272 mil 326 pesos, lo que representó el 9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 xml:space="preserve">COLABORACIÓN ENTRE PODERES Y CONSOLIDACIÓN DE ÓRGANOS AUTÓNOMOS </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las acciones y estrategias tendientes a generar equilibrio entre los poderes ejecutivo, legislativo y judicial, los órganos garantes de los derechos humanos, los procesos electorales, la transparencia y la rendición de cuentas de los poderes públicos, que favorezcan la participación ciudadana en la construcción de la representación política y la toma de decisiones en asuntos de interés público.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 este tema en el primer trimestre 2016 se destinaron 221 millones 418 mil 82 pesos, lo que representó el 5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FORTALECIMIENTO DEL MUNICIPIO</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las acciones y estrategias para reforzar a los municipios como instituciones con autonomía, personalidad jurídica y patrimonio propio, aminorar las presiones de escasez de recursos a su alcance e incrementar la calidad de la gestión municipal en lo financiero, administrativo, la captación de ingresos, bienestar, mantener el orden público, los derechos humanos y la paz social en su territorio, a fin de que los recursos públicos cumplan con su objetivo y que éstos se apliquen preferentemente en beneficio de la población en condiciones de vulnerabilidad priorizando inversiones con mezclas de recursos.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 este tema en el primer trimestre 2016 se destinaron a este tema 3 mil 24 millones 529 mil 48 pesos, lo que representó el 67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FORTALECIMIENTO DE LA LIBRE DETERMINACIÓN Y AUTONOMÍA INDÍGENA</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población del Estado de Oaxaca es de carácter multiétnica y pluricultural por la presencia mayoritaria de pueblos y comunidades indígenas, en las que respetando su autonomía y organización social se ha promovido la integración de proyectos que mejoren sus condiciones de vida. Por lo que este tema agrupa las estrategias y acciones encaminadas al fortalecimiento de la personalidad jurídica, derecho público y derechos sociales de los pueblos y comunidades indígenas, así como al fortalecimiento de las instituciones indígenas y establecimiento de mecanismos legislativos para apoyar la organización regional.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el primer trimestre 2016 se destinaron recursos por 6 millones 905 mil 849 pesos para su cumplimiento.</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CERTEZA JURÍDICA Y JUSTICIA PARA TODOS</w:t>
      </w:r>
    </w:p>
    <w:p w:rsidR="005F0A85" w:rsidRPr="005F0A85" w:rsidRDefault="005F0A85" w:rsidP="00FB23BE">
      <w:pPr>
        <w:spacing w:after="240"/>
        <w:contextualSpacing/>
        <w:jc w:val="both"/>
        <w:rPr>
          <w:rFonts w:ascii="Arial" w:hAnsi="Arial" w:cs="Arial"/>
          <w:b/>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Este tema contempla garantizar certeza jurídica y seguridad a la población oaxaqueña, así como combatir la corrupción, el abuso y tráfico de influencias e investigación de delitos, poniendo especial interés en la protección ciudadana, justicia para todos y la cultura de respeto a los derechos humanos. En el marco institucional se ha trabajado en fortalecer la procuración de justicia y como resultado en coordinación con los diferentes órdenes de gobierno en Oaxaca, se continuó con la implementación del Sistema Acusatorio Adversarial y la promoción de los juicios orales, fomentando la cultura de la legalidad y la paz social. Para ello se ha proyectado la reestructuración y modernización de las instituciones de procuración de justicia. Destacan las acciones </w:t>
      </w:r>
      <w:r w:rsidRPr="00FB23BE">
        <w:rPr>
          <w:rFonts w:ascii="Arial" w:hAnsi="Arial" w:cs="Arial"/>
          <w:kern w:val="2"/>
          <w:lang w:eastAsia="en-US"/>
        </w:rPr>
        <w:lastRenderedPageBreak/>
        <w:t xml:space="preserve">de atención ciudadana a las personas en situación de vulnerabilidad, mujeres, indígenas y migrantes que han sido víctimas de delitos.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en el primer trimestre 2016 se aplicaron 454 millones 777 mil 178 pesos, lo que representa el 10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REGULARIZACIÓN DE LA TENENCIA DE LA TIERRA Y RESOLUCIÓN DE CONFLICTOS AGRARIOS</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Estado tiene una superficie total de 9.5 millones de hectáreas, de las cuales más del 75 por ciento pertenece a tierras comunales y ejidales, lo que indica que en su mayoría son de propiedad social, donde vive un importante núcleo de población rural; aún con limitaciones financieras el Gobierno del Estado ha realizado acciones para la atención de conflictos agrarios.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Para el ejercicio 2016 en el Estado se dio continuidad a acciones como atención de conflictos agrarios; levantamiento topográfico, investigación, recopilación de documentación referente a los límites territoriales de nuestro estado; elaboración de títulos de propiedad; atención permanente a los conflictos agrarios del Estado y dar seguimiento a las sentencias dictadas por los Tribunales Unitarios Agrarios.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en el primer trimestre 2016 se devengaron 10 millones 622 mil 974 pesos.</w:t>
      </w:r>
    </w:p>
    <w:p w:rsidR="00FB23BE" w:rsidRPr="00FB23BE" w:rsidRDefault="00FB23BE" w:rsidP="00FB23BE">
      <w:pPr>
        <w:spacing w:after="240"/>
        <w:contextualSpacing/>
        <w:jc w:val="both"/>
        <w:rPr>
          <w:rFonts w:ascii="Arial" w:hAnsi="Arial" w:cs="Arial"/>
          <w:kern w:val="2"/>
          <w:lang w:eastAsia="en-US"/>
        </w:rPr>
      </w:pPr>
    </w:p>
    <w:p w:rsidR="00FB23BE" w:rsidRPr="005F0A85" w:rsidRDefault="00FB23BE" w:rsidP="00FB23BE">
      <w:pPr>
        <w:spacing w:after="240"/>
        <w:contextualSpacing/>
        <w:jc w:val="both"/>
        <w:rPr>
          <w:rFonts w:ascii="Arial" w:hAnsi="Arial" w:cs="Arial"/>
          <w:b/>
          <w:kern w:val="2"/>
          <w:lang w:eastAsia="en-US"/>
        </w:rPr>
      </w:pPr>
      <w:r w:rsidRPr="005F0A85">
        <w:rPr>
          <w:rFonts w:ascii="Arial" w:hAnsi="Arial" w:cs="Arial"/>
          <w:b/>
          <w:kern w:val="2"/>
          <w:lang w:eastAsia="en-US"/>
        </w:rPr>
        <w:t>SEGURIDAD PÚBLICA Y PAZ SOCIAL</w:t>
      </w:r>
    </w:p>
    <w:p w:rsidR="005F0A85" w:rsidRDefault="005F0A85"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tema comprende las acciones y estrategias en la prevención de los delitos, la investigación y persecución de los mismos; con cuerpos de seguridad en constante profesionalización para mantener la paz social, así como, la sanción de las infracciones administrativas en términos de ley, en las respectivas competencias de cada uno de los cuerpos de seguridad. Fortalecer las capacidades institucionales y operativas; inculcar en los cuerpos de seguridad el sentido de pertenencia y lealtad; mejorar y modernizar las instituciones con equipos y métodos que se utilizan para la procuración de la seguridad pública para la población oaxaqueña.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seguridad pública es una prioridad para el Gobierno Federal y Estatal, ya que la paz social es resultado de la aplicación de políticas públicas en materia de seguridad, que garantizan el bienestar de los oaxaqueños. Con la participación de los tres niveles de Gobierno se busca mantener el orden público, garantizar la paz social, la seguridad de las personas y sus bienes, la convivencia sana y mantener el estado de derecho.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En el primer trimestre 2016 las acciones gubernamentales se orientaron a la prevención del delito y a la atención de demandas ciudadanas por diversas incidencias delictivas en especial prevención y combate a los delitos contra la mujer. Se realizaron operativos en las 8 regiones del estado, se fortalecieron las instituciones estatales de Seguridad Pública, procuración e impartición de justicia, se implementaron acciones de reinserción social y asistencia jurídica a la población penal para su pre liberación, se implementaron rigurosos controles de confianza en los diferentes niveles de mando de los cuerpos policiacos, en alineación del Estado al programa Plataforma México.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en el primer trimestre 2016 se aplicaron 383 millones 505 mil 572 pesos, que representa el 8 por ciento del monto total devengado en este eje.</w:t>
      </w:r>
    </w:p>
    <w:p w:rsidR="00FB23BE" w:rsidRDefault="00FB23BE" w:rsidP="00FB23BE">
      <w:pPr>
        <w:spacing w:after="240"/>
        <w:contextualSpacing/>
        <w:jc w:val="both"/>
        <w:rPr>
          <w:rFonts w:ascii="Arial" w:hAnsi="Arial" w:cs="Arial"/>
          <w:kern w:val="2"/>
          <w:lang w:eastAsia="en-US"/>
        </w:rPr>
      </w:pPr>
    </w:p>
    <w:p w:rsidR="00C242E8" w:rsidRPr="00FB23BE" w:rsidRDefault="00C242E8" w:rsidP="008C16D2">
      <w:pPr>
        <w:spacing w:after="240"/>
        <w:contextualSpacing/>
        <w:jc w:val="center"/>
        <w:rPr>
          <w:rFonts w:ascii="Arial" w:hAnsi="Arial" w:cs="Arial"/>
          <w:kern w:val="2"/>
          <w:lang w:eastAsia="en-US"/>
        </w:rPr>
      </w:pPr>
      <w:r w:rsidRPr="00C242E8">
        <w:rPr>
          <w:noProof/>
          <w:lang w:val="es-MX" w:eastAsia="es-MX"/>
        </w:rPr>
        <w:drawing>
          <wp:inline distT="0" distB="0" distL="0" distR="0">
            <wp:extent cx="5883052" cy="2173857"/>
            <wp:effectExtent l="19050" t="0" r="3398" b="0"/>
            <wp:docPr id="2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5882005" cy="2173470"/>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B23BE" w:rsidRPr="00FB23BE" w:rsidRDefault="001C5C62" w:rsidP="008C16D2">
      <w:pPr>
        <w:spacing w:after="240"/>
        <w:contextualSpacing/>
        <w:jc w:val="center"/>
        <w:rPr>
          <w:rFonts w:ascii="Arial" w:hAnsi="Arial" w:cs="Arial"/>
          <w:kern w:val="2"/>
          <w:lang w:eastAsia="en-US"/>
        </w:rPr>
      </w:pPr>
      <w:r w:rsidRPr="001C5C62">
        <w:rPr>
          <w:noProof/>
          <w:lang w:val="es-MX" w:eastAsia="es-MX"/>
        </w:rPr>
        <w:drawing>
          <wp:inline distT="0" distB="0" distL="0" distR="0">
            <wp:extent cx="5860990" cy="2051216"/>
            <wp:effectExtent l="19050" t="0" r="6410" b="0"/>
            <wp:docPr id="2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srcRect/>
                    <a:stretch>
                      <a:fillRect/>
                    </a:stretch>
                  </pic:blipFill>
                  <pic:spPr bwMode="auto">
                    <a:xfrm>
                      <a:off x="0" y="0"/>
                      <a:ext cx="5867174" cy="2053380"/>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C7311" w:rsidRDefault="00FC7311" w:rsidP="00FB23BE">
      <w:pPr>
        <w:spacing w:after="240"/>
        <w:contextualSpacing/>
        <w:jc w:val="both"/>
        <w:rPr>
          <w:rFonts w:ascii="Arial" w:hAnsi="Arial" w:cs="Arial"/>
          <w:b/>
          <w:kern w:val="2"/>
          <w:lang w:eastAsia="en-US"/>
        </w:rPr>
      </w:pPr>
    </w:p>
    <w:p w:rsidR="00FC7311" w:rsidRDefault="00FC7311" w:rsidP="00FB23BE">
      <w:pPr>
        <w:spacing w:after="240"/>
        <w:contextualSpacing/>
        <w:jc w:val="both"/>
        <w:rPr>
          <w:rFonts w:ascii="Arial" w:hAnsi="Arial" w:cs="Arial"/>
          <w:b/>
          <w:kern w:val="2"/>
          <w:lang w:eastAsia="en-US"/>
        </w:rPr>
      </w:pPr>
    </w:p>
    <w:p w:rsidR="00FC7311" w:rsidRDefault="00FC7311" w:rsidP="00FB23BE">
      <w:pPr>
        <w:spacing w:after="240"/>
        <w:contextualSpacing/>
        <w:jc w:val="both"/>
        <w:rPr>
          <w:rFonts w:ascii="Arial" w:hAnsi="Arial" w:cs="Arial"/>
          <w:b/>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lastRenderedPageBreak/>
        <w:t>4.5.2.- CRECIMIENTO ECONÓMICO, COMPETITIVIDAD Y EMPLEO.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 el eje de gobierno orientado al fomento de la economía oaxaqueña, que impulsa el crecimiento económico permitiendo la atracción de inversiones, la generación de empleos y el fortalecimiento a la competitividad a través de fomentar la inversión pública e incentivar la inversión privada, impulso a la innovación y transferencia tecnológica, fortalecimiento de los programas de inversión para la atracción, ampliación y retención de inversiones.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Se plantean las estrategias y líneas de acción relativas al fortalecimiento de los sectores económicos estratégicos, la innovación y desarrollo tecnológico, la construcción de infraestructura y la formulación de proyectos comunitarios.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el primer trimestre 2016 se devengaron en este eje un mil 38 millones 166 mil 74 pesos.</w:t>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 </w:t>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Los temas que conforman este eje son:</w:t>
      </w:r>
    </w:p>
    <w:p w:rsidR="00C242E8" w:rsidRDefault="00C242E8"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INVERSIÓN Y FOMENTO PRODUCTIVO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Acciones y estrategias encaminadas a generar riqueza para la población, mediante la atracción de inversiones públicas y privadas, la asesoría empresarial, la capacitación para el trabajo, el fomento de la productividad, la estimulación del empleo formal y la mejora y vigilancia de las condiciones laborales. Este Gobierno se ha preocupado por incentivar la inversión privada, complementada con inversión pública, considerando la diversidad cultural, las desigualdades de género y el uso sustentable de los recursos naturales.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el primer trimestre 2016 se aplicaron 10 millones 390 mil 959 pesos, lo que representa el 1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EMPLEO PRODUCTIVO Y MEJOR REMUNERADO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trabajo es una condición básica para la manutención de las familias, en la entidad se promueven las oportunidades de desarrollo de las personas y el crecimiento de las comunidades y regiones del Estado, lo que permite potenciar las oportunidades de empleo con atracción de inversiones productivas, ampliar el mercado laboral en el Estado, expansión de las micro y pequeñas empresas familiar y comunitarias, propiciar un mercado laboral incluyente para favorecer a las personas con capacidades diferentes; difusión y promoción de una cultura laboral para la inserción en la ocupación de madres trabajadoras, adultos mayores e indígenas y fomento del autoempleo.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inversión total para este eje en el primer trimestre 2016, fue de 44 millones 734 mil 622 pesos, lo que representa el 4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CIENCIA, TECNOLOGÍA E INNOVACIÓN</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Comprende las estrategias y acciones enfocadas al desarrollo de ciencia y tecnología, así como el conocimiento y sus aplicaciones productivas. A través del Consejo Oaxaqueño de Ciencia y Tecnología (COCYT) se apoyaron proyectos de investigación y se participó en programas de investigación financiados por CONACYT, destinados a instituciones de educación superior y al sector productivo, con la finalidad de propiciar la vinculación entre las instituciones educativas con las empresas establecidas en el Estado.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Gobierno propicia dentro del sector académico la innovación, la ciencia y la tecnología a través de la difusión y divulgación de los programas orientados para el fomento a la educación.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estos fines el Estado en el primer trimestre 2016 aplicó 41 millones 484 mil 153 pesos, lo que representa el 4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APOYO AL DESARROLLO AGROPECUARIO, FORESTAL Y PESQUERO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sector agropecuario, forestal y pesquero constituye un gran potencial para el desarrollo del Estado, que no ha podido ser explotado debidamente debido al bajo nivel de tecnología aplicada, bajos rendimientos en las cosechas de cultivos básicos, prácticas incipientes de mecanización agrícola y cultivos controlados en invernaderos.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abatir el rezago en esta materia, se incrementó la producción y productividad del subsector pecuario, así como la promoción, mercadeo y comercialización de los productos de origen animal, en coordinación con las instituciones de los tres niveles de gobierno, para que los productores pecuarios mejoren sus ingresos y condiciones de vida.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Los proyectos de este programa se enfocaron a: Talleres para educación ambiental a productores y campesinos; seguro agrícola catastrófico; apoyo al cultivo del maíz y sorgo; fomento a la producción pecuaria; impulso al desarrollo pesquero y acuícola en zonas potenciales; cría y explotación de ovinos; extracción de madera en bosques con manejo forestal; construcción de brechas para prevenir incendios forestales; y, control y combate de plagas y enfermedades forestales.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La inversión total en el primer trimestre 2016 fue de 89 millones 897 mil 355 pesos, lo que representa el 9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DESARROLLO COMUNITARIO CON IDENTIDAD CULTURAL</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Comprende las estrategias y acciones enfocadas al desarrollo económico comunitario con identidad cultural donde se promueven actividades económicas sostenibles para las familias con enfoque participativo de género, de fomento a la seguridad alimentaria de las familias, que fortalezcan los valores e instituciones de los pueblos indígenas y el aprovechamiento de su patrimonio natural y cultural, tales como la agroecología, agroforestería y el turismo comunitario y ecológico.</w:t>
      </w:r>
      <w:r w:rsidRPr="00FB23BE" w:rsidDel="00915731">
        <w:rPr>
          <w:rFonts w:ascii="Arial" w:hAnsi="Arial" w:cs="Arial"/>
          <w:kern w:val="2"/>
          <w:lang w:eastAsia="en-US"/>
        </w:rPr>
        <w:t xml:space="preserve">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A estos proyectos en el primer trimestre 2016 se destinaron recursos por 53 mil 850 pesos.</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TURISMO: PALANCA DEL DESARROLLO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Oaxaca es uno de los Estados con mayor riqueza cultural y natural de México, al contar con 16 grupos étnicos, numerosas zonas arqueológicas, expresiones artísticas, gastronómicas y musicales, así como su gran diversidad geográfica y biológica. Por su historia, tradiciones y diversidad étnica, el estado cuenta también con gran potencial para el turismo cultural.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Durante el primer trimestre 2016 el Estado destinó recursos por 232 millones 407 mil 884 pesos, esto representa el 22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ORDENAMIENTO TERRITORIAL E INFRAESTRUCTURAS</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desarrollo de Oaxaca enfrenta el reto de una enorme dispersión poblacional y una deficiente movilidad regional, rural y urbana, que complica la accesibilidad a los servicios básicos y a los mercados; esto ha contribuido al aislamiento, la desigualdad económica, la fragmentación social, las asimetrías territoriales y a la falta de oportunidades para el desarrollo humano.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construcción de infraestructura es factor estratégico que detona el crecimiento económico, impulsa la industria de la construcción, genera empleos, da movilidad a la rotación del capital invertido y provoca un incremento sustancial en la demanda de los bienes y servicios que requiere la población. Por ello, se trabaja en programas en los que convergen los tres niveles de Gobierno para enfrentar este reto, de manera eficiente y ordenada.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 xml:space="preserve">Este programa propicia las condiciones adecuadas para el incremento de la inversión en infraestructura que requiere el Estado para impulsar el desarrollo sustentable, competitivo y equitativo, mejorando el nivel de bienestar y la calidad de vida de la población.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el primer trimestre 2016 se devengaron 619 millones 197 mil 248 pesos, siendo una inversión del 60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Pr="00FB23BE" w:rsidRDefault="00C242E8" w:rsidP="008C16D2">
      <w:pPr>
        <w:spacing w:after="240"/>
        <w:contextualSpacing/>
        <w:jc w:val="center"/>
        <w:rPr>
          <w:rFonts w:ascii="Arial" w:hAnsi="Arial" w:cs="Arial"/>
          <w:kern w:val="2"/>
          <w:lang w:eastAsia="en-US"/>
        </w:rPr>
      </w:pPr>
      <w:r w:rsidRPr="00C242E8">
        <w:rPr>
          <w:noProof/>
          <w:lang w:val="es-MX" w:eastAsia="es-MX"/>
        </w:rPr>
        <w:drawing>
          <wp:inline distT="0" distB="0" distL="0" distR="0">
            <wp:extent cx="5882005" cy="2733214"/>
            <wp:effectExtent l="19050" t="0" r="4445" b="0"/>
            <wp:docPr id="2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882005" cy="2733214"/>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8C16D2" w:rsidRPr="00FB23BE" w:rsidRDefault="008C16D2"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864165" cy="1977298"/>
            <wp:effectExtent l="19050" t="0" r="3235" b="0"/>
            <wp:docPr id="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srcRect/>
                    <a:stretch>
                      <a:fillRect/>
                    </a:stretch>
                  </pic:blipFill>
                  <pic:spPr bwMode="auto">
                    <a:xfrm>
                      <a:off x="0" y="0"/>
                      <a:ext cx="5880203" cy="1982706"/>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lastRenderedPageBreak/>
        <w:t>4.5.3.- DESARROLLO SOCIAL Y HUMANO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pobreza se puede entender como un conjunto de privaciones en diversas dimensiones relevantes de la vida que afectan negativamente el bienestar general y las oportunidades de desarrollo de una persona, familia o comunidad. Entre las privaciones más relevantes se encuentran: La alimentación, la salud, la educación y el acceso a otros bienes y servicios básicos, aunque algunas aproximaciones pueden incluir otras como: el empleo, la seguridad social, los derechos civiles, la desigualdad social, entre otros.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marginación es un fenómeno estructural que se expresa en la dificultad para propagar el progreso técnico en las diferentes regiones, así como por la exclusión de grupos sociales del proceso de desarrollo y sus beneficios. Conforme a las definiciones y mediciones del Consejo Nacional de Población (CONAPO), la marginación está asociada a cuatro dimensiones fundamentales: el acceso a servicios básicos, las condiciones de la vivienda, los ingresos laborales y la educación. El grado de marginación puede agudizarse en un contexto de dispersión poblacional como es el caso de Oaxaca, que dificulte el desarrollo de las actividades económicas y un alto costo en la provisión de infraestructura y servicios.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Avanzar rápidamente en el desarrollo social y humano de la población oaxaqueña es un reto, atendido por los tres niveles de Gobierno.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el estado el Poder Ejecutivo encabeza y coordina el cumplimiento de las metas y acciones a través de la Secretaría de Desarrollo Social y Humano, que emite y vigila las reglas de operación de los Programas Bienestar, cuya ejecución se realiza a través de la misma; del Instituto Estatal de Educación Pública de Oaxaca; del Sistema para el Desarrollo Integral de la Familia del Estado de Oaxaca y el Instituto de la Juventud del Estado de Oaxaca. Adicionalmente, el resto de los Ejecutores de gasto dentro de sus competencias contribuyen al logro de metas y objetivos de este eje de gobierno.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el primer trimestre 2016 se devengaron en este Eje 6 mil 342 millones 182 mil 945 pesos. </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Los temas que conforman este eje son:</w:t>
      </w:r>
    </w:p>
    <w:p w:rsidR="00C242E8" w:rsidRPr="00FB23BE" w:rsidRDefault="00C242E8"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COMBATE A LA POBREZA, LA DESIGUALDAD Y A LA MARGINACIÓN</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pobreza está asociada a la desigualdad y la marginación, problemas que se deben entender y atender desde la política pública, tanto por su importancia y características específicas como por su relación y efectos sobre los niveles de vida digna que impacta considerablemente en la población indígena, carentes de lo más elemental para su </w:t>
      </w:r>
      <w:r w:rsidRPr="00FB23BE">
        <w:rPr>
          <w:rFonts w:ascii="Arial" w:hAnsi="Arial" w:cs="Arial"/>
          <w:kern w:val="2"/>
          <w:lang w:eastAsia="en-US"/>
        </w:rPr>
        <w:lastRenderedPageBreak/>
        <w:t>bienestar: sana alimentación, seguridad social, servicios de salud y servicios básicos en la vivienda; por ello, la estrategia de este Gobierno para disminuir este rezago, fue la implementación de los Programas Bienestar, a través de los cuales se otorgan apoyos directos a los grupos más vulnerables.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la atención de este tema el Estado en el primer trimestre 2016 destinó 715 millones 101 mil 990 pesos, lo que representa el 11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EDUCACIÓN: FACTOR DE PROGRESO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Contempla las acciones y estrategias encauzadas a la formación en hábitos y valores que favorezcan la realización personal y la convivencia con los miembros de la comunidad, responde a las necesidades y contexto cultural, así como fortalecer la identidad y los valores solidarios, con la finalidad de aprovechar los recursos humanos, financieros, naturales y culturales, para generar oportunidades de desarrollo y con ello combatir la pobreza, la desigualdad y la marginación.</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en el primer trimestre 2016 se devengaron 4 mil 143 millones 311 mil 541 pesos, lo que representa el 65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ARTE, CULTURA Y DEPORTE</w:t>
      </w:r>
    </w:p>
    <w:p w:rsidR="00C242E8" w:rsidRDefault="00C242E8" w:rsidP="00FB23BE">
      <w:pPr>
        <w:spacing w:after="240"/>
        <w:contextualSpacing/>
        <w:jc w:val="both"/>
        <w:rPr>
          <w:rFonts w:ascii="Arial" w:hAnsi="Arial" w:cs="Arial"/>
          <w:kern w:val="2"/>
          <w:lang w:eastAsia="en-US"/>
        </w:rPr>
      </w:pPr>
    </w:p>
    <w:p w:rsidR="00C242E8"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este tema, se contemplaron recursos para el fomento del arte y la cultura, así como la ejecución de obras de restauración, contemplando recursos para talleres de artes plásticas, talleres de lectura, prestación de servicios hemerográficos por medio de la biblioteca pública, conmemoración del natalicio del Lic. Benito Juárez García, entre otros.</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cuanto a fomento deportivo, se destinaron recursos para: realización de eventos para la activación física de la población, organización y coordinación de bloques deportivos representativos, apoyo a metodólogos entrenadores, asociaciones y municipio, entre otros.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el rubro de inversión se destinaron recursos para la construcción de la quinta etapa del centro de recreación y acondicionamiento deportivo "Venustiano Carranza"; cuarta etapa de la construcción del complejo deportivo zona poniente, en Oaxaca de Juárez, Oaxaca; de centros deportivos escolares y municipales y la construcción y mejoramiento de canchas deportivas en el Estado.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este tema en el primer trimestre 2016 se aplicaron 407 millones 929 mil 698 pesos, lo que representa el 6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OAXACA SALUDABLE</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el compromiso de este Gobierno está orientado a la prevención y combate de enfermedades para aumentar la esperanza de vida de las oaxaqueñas y los oaxaqueños.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Las acciones se orientaron a mejorar la calidad de vida de la población mediante proyectos para la reducción de sobrepeso y obesidad infantil; se proporcionó a la población orientación alimentaria para mejorar la nutrición comunitaria; abasto de medicamentos y material de curación; seguro popular; prevención y control del dengue, chikungunya, zika y paludismo; prevención y atención médica integral y de calidad del VIH/SIDA e ITS a grupos vulnerables en un marco de respeto a los derechos humanos; y, se enfatizó la difusión de la cultura de prevención, nutrición, medicina tradicional y promoción de la salud.</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En infraestructura pública destacan: La rehabilitación, equipamiento y mantenimiento de hospitales y centros de salud en el interior del Estado; operación del seguro popular; equipamiento de unidades médicas; y la implementación de programas federales contra riesgos sanitarios. </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suma de los recursos aplicados en el primer trimestre 2016, fue de un mil 6 millones 466 mil 126 pesos, que representó el 16 por ciento del monto total devengado en este eje.</w:t>
      </w:r>
    </w:p>
    <w:p w:rsidR="00C242E8" w:rsidRPr="00FB23BE" w:rsidRDefault="00C242E8"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NUEVAS REALIDADES Y NECESIDADES SOCIALES: NIÑOS, JÓVENES, ADULTOS MAYORES Y FAMILIAS</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familia es el núcleo de toda sociedad, es aquí donde se forma el carácter, conciencia, pensamientos e ideologías de cada individuo. Por ello el bienestar de las familias y la calidad de vida de sus integrantes es una prioridad de atención para este gobierno.</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Las acciones emprendidas para mejorar el índice de desarrollo humano han estado encaminadas a proporcionar y acercar los servicios públicos de salud y educación, así como mantenimiento y modernización de caminos y carreteras; y apoyo a empresas familiares para promover el autoempleo, con la visión de ir mejorando las condiciones de vida de los oaxaqueños. </w:t>
      </w:r>
    </w:p>
    <w:p w:rsidR="00C242E8" w:rsidRPr="00FB23BE"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atención integral a la familia y de manera particular en cada uno de sus integrantes se fortalece con los beneficios que otorgan los programas sociales, los cuales generan valor público, propiciando seguridad, confianza y credibilidad de la población, que se </w:t>
      </w:r>
      <w:r w:rsidRPr="00FB23BE">
        <w:rPr>
          <w:rFonts w:ascii="Arial" w:hAnsi="Arial" w:cs="Arial"/>
          <w:kern w:val="2"/>
          <w:lang w:eastAsia="en-US"/>
        </w:rPr>
        <w:lastRenderedPageBreak/>
        <w:t>complementa con acciones encaminadas a dar atención a niñas y niños en situación de calle y de escasos recursos en centros de atención infantil; y campañas promocionales sobre los derechos de las niñas y niños.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Las acciones emprendidas para este tema fueron: servicios de asistencia integral, campañas de derechos, procuración de los derechos humanos de la niñez.</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en el primer trimestre 2016 se aplicaron 65 millones 445 mil 147 pesos, lo que representa el 1 por ciento del total devengado en este eje.</w:t>
      </w:r>
    </w:p>
    <w:p w:rsidR="00C242E8" w:rsidRPr="00FB23BE" w:rsidRDefault="00C242E8"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ATENCIÓN A GRUPOS EN CONDICIONES DE VULNERABILIDAD</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atención a los grupos en condición de vulnerabilidad por pobreza, origen étnico, desplazados, estado de salud, género y discapacidad, requiere la suma de esfuerzos de los tres niveles de Gobierno, en el primer trimestre 2016 se concretaron acciones para personas con discapacidad tales como: salud y rehabilitación; deporte y recreación; atención y entrega de apoyos funcionales.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este tema en el primer trimestre 2016 se aplicaron recursos por un millón 671 mil 969 pesos.</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APOYO A MIGRANTES</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falta de oportunidades de empleo, el abandono del campo, la falta de ingresos, la dispersión demográfica, el aislamiento de las comunidades en situación de pobreza en las 8 regiones, son factores determinantes que incentivan a la población a desplazarse a lugares que ofrezcan mejores oportunidades para él y sus familias.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Oaxaca es una de las Entidades donde este fenómeno es común, por lo que el Estado en sus estrategias realiza acciones y crea las condiciones propicias para reducirlo.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Los recursos devengados en este tema fueron de 2 millones 256 mil 470 pesos.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Pr="00FB23BE" w:rsidRDefault="00C242E8" w:rsidP="008C16D2">
      <w:pPr>
        <w:spacing w:after="240"/>
        <w:contextualSpacing/>
        <w:jc w:val="center"/>
        <w:rPr>
          <w:rFonts w:ascii="Arial" w:hAnsi="Arial" w:cs="Arial"/>
          <w:kern w:val="2"/>
          <w:lang w:eastAsia="en-US"/>
        </w:rPr>
      </w:pPr>
      <w:r w:rsidRPr="00C242E8">
        <w:rPr>
          <w:noProof/>
          <w:lang w:val="es-MX" w:eastAsia="es-MX"/>
        </w:rPr>
        <w:lastRenderedPageBreak/>
        <w:drawing>
          <wp:inline distT="0" distB="0" distL="0" distR="0">
            <wp:extent cx="5882005" cy="2853092"/>
            <wp:effectExtent l="19050" t="0" r="4445" b="0"/>
            <wp:docPr id="2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5882005" cy="2853092"/>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890401" cy="2214105"/>
            <wp:effectExtent l="19050" t="0" r="0" b="0"/>
            <wp:docPr id="4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srcRect/>
                    <a:stretch>
                      <a:fillRect/>
                    </a:stretch>
                  </pic:blipFill>
                  <pic:spPr bwMode="auto">
                    <a:xfrm>
                      <a:off x="0" y="0"/>
                      <a:ext cx="5887385" cy="2212971"/>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lastRenderedPageBreak/>
        <w:t>4.5.4.- GOBIERNO HONESTO Y DE RESULTADOS.</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programa impulsa un gobierno democrático, moderno, transparente y sobre todo efectivo, con una clara orientación a resultados, incluyendo los mecanismos de transparencia y rendición de cuentas que permiten evaluar los alcances y resultados de la política gubernamental, diagnósticos, estrategias y líneas de acción en el combate a la corrupción, así como, fortalecer la coordinación interinstitucional y fomentar la vocación del servidor público en la toma de decisiones que beneficien a la población del Estado.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el primer trimestre 2016 se destinaron a este Eje, un mil 178 millones 477 mil 574 pesos.</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Los temas que conforman este eje son:</w:t>
      </w:r>
    </w:p>
    <w:p w:rsidR="00C242E8" w:rsidRPr="00FB23BE" w:rsidRDefault="00C242E8"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TRANSPARENCIA, RENDICIÓN DE CUENTAS Y COMBATE A LA CORRUPCIÓN</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Estado está obligado a dar cuenta de su actuación a la sociedad, facilitando a la ciudadanía el acceso a la información para su revisión y análisis o su utilización haciendo valer su derecho de acceso a la información pública que le confiere el artículo sexto de la Constitución Política de los Estados Unidos Mexicanos.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Este derecho de las oaxaqueñas y los oaxaqueños se reafirma en la Ley de Transparencia y Acceso a la Información Pública. Por ello, las políticas públicas que impulsa este Gobierno se centran en temas de presupuesto y gasto público, para que los ejecutores de gasto den cuenta a la sociedad de su actuación, atendiendo solicitudes, informando a través del Portal de Trasparencia Presupuestaria del Gobierno del Estado de Oaxaca o facilitando la información de su gestión pública en sus portales de internet.</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En el primer trimestre 2016 se devengaron 34 millones 504 mil 808 pesos, el 3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FORTALECIMIENTO DE LAS FINANZAS Y EFICIENCIA DEL GASTO PÚBLICO</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propósito fundamental de este programa es contar con finanzas públicas sanas y fuertes para coadyuvar en la disminución de carencias en materia de infraestructura física y social, que inciden en altos niveles de marginación y pobreza, por lo que se requiere que las políticas públicas de la hacienda pública local promuevan y generen los recursos suficientes para financiar obras y proyectos que contribuyan al abatimiento del rezago económico que prevalece en el Estado.</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De igual forma, es fundamental que la Hacienda Pública cuente con recursos financieros y un marco legal fortalecido que permita promover y llevar a cabo proyectos de inversión pública de infraestructura como carreteras, puertos, electrificación y en general, de infraestructura física, que impulse el desarrollo de las actividades productivas permitiendo elevar los niveles de competitividad, propiciando mayor dinamismo en la generación de empleos e ingresos a la población oaxaqueña.</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financiamiento para las funciones de la Administración Pública del Estado se realizó mediante procesos de planeación, programación y presupuestación con enfoque de resultados a través de una nueva estructura programática definida a partir del mandato misional de cada Poder, Órgano Autónomo, Dependencia o Entidad, priorizando el gasto en las actividades que mayor impacto tienen sobre la población, cuyo objetivo se direccionó en la generación de valor público y gasto eficiente, por lo que se establecieron los mecanismos técnicos apropiados para su ejercicio, basado en las mejores prácticas nacionales e internacionales, así como, la implementación del Plan Anual de Evaluación el cual se centra en la evaluación del desempeño y rendición de cuentas de los programas públicos estatales.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presupuesto devengado en el primer trimestre 2016 en este tema fue de 746 millones 88 mil 35 pesos, lo que representó el 63 por ciento del monto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GOBIERNO EFICAZ Y EFICIENTE</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La simplificación administrativa equivale a llevar a cabo un proceso que consiste, por un lado, en eliminar y compactar procesos administrativos que retrasan el actuar público y que los recursos lleguen con prontitud a quien los necesita, estos procesos se han venido haciendo más por tradición que por eficiencia, por lo que este Gobierno está trabajando en una reingeniería de procesos dentro de la administración pública. </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Como resultado de esta reingeniería, uno de los logros más sobresalientes es la implementación de procesos eficientes y eficaces en materia de planeación, programación y presupuestación con base en resultados, donde se pretende medir la eficiencia del gasto público y los resultados de las acciones de gobierno a través de indicadores de desempeño y la implementación de la Metodología de Marco Lógico mediante la integración de una nueva estructura programática armónicamente articulada y armonizada con el PED 2011-2016. Con este modelo de presupuesto se elaboró el Presupuesto de Egresos del Gobierno del Estado para el ejercicio fiscal 2016 que permitirá el seguimiento y evaluación del Plan Estatal de Desarrollo y Sistema de Evaluación del Desempeño</w:t>
      </w:r>
    </w:p>
    <w:p w:rsidR="00C242E8" w:rsidRPr="00FB23BE"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En este tema se devengaron 254 millones 330 mil 311 pesos, lo que representó el 22 por ciento de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PROFESIONALIZACIÓN Y DESEMPEÑO DE LOS SERVIDORES PÚBLICOS</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El desarrollo del personal de las instituciones públicas comprende el reclutamiento, selección, capacitación, actualización, remuneración, promoción y evaluación, entre otras actividades. Los principales argumentos a favor de la profesionalización del servicio público son: el establecimiento de reglas claras y transparentes para el reclutamiento, provisión de servidores públicos acordes a los perfiles requeridos por el puesto y las funciones. La presente Administración para el cumplimiento de este programa implementó un programa de profesionalización a los integrantes de las instituciones de seguridad pública mediante un Sistema Integral de Desarrollo, así como la modernización y capacitación de los servidores públicos.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Para este tema en el primer trimestre 2016 se devengaron 100 millones 829 mil 175 pesos, lo que representa el 9 por ciento del total devengado en este eje.</w:t>
      </w:r>
    </w:p>
    <w:p w:rsidR="00FB23BE" w:rsidRPr="00FB23BE" w:rsidRDefault="00FB23BE" w:rsidP="00FB23BE">
      <w:pPr>
        <w:spacing w:after="240"/>
        <w:contextualSpacing/>
        <w:jc w:val="both"/>
        <w:rPr>
          <w:rFonts w:ascii="Arial" w:hAnsi="Arial" w:cs="Arial"/>
          <w:kern w:val="2"/>
          <w:lang w:eastAsia="en-US"/>
        </w:rPr>
      </w:pP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t>COORDINACIÓN INSTITUCIONAL</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coordinación institucional que deriva de la actuación pública con políticas de desarrollo incluyentes requiere de forma conjunta estructurar sus actividades con planeación para alcanzar objetivos comunes de tal manera que el uso de los recursos públicos reduzca duplicidades y propicie complementariedades compartiendo gastos en los diferentes niveles del gobierno local, con organizaciones públicas, privadas y la participación del gobierno federal.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coordinación institucional está considerada como una condición necesaria para resolver o mitigar los problemas y dilemas que se han derivado del desarrollo urbano, sobre todo que promueve una elevada interacción entre los diversos actores y organizaciones en los diferentes niveles de gobierno que influyen en el progreso de las ciudades y el reordenamiento de los recursos públicos.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Para tal efecto, fue necesario establecer mecanismos de coordinación que impiden duplicidades en la ejecución de programas y proyectos, como ampliar y fortalecer la coordinación entre las Dependencias y Entidades estatales permitiendo interactuar con los actores sociales, privados y organismos internacionales.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Asimismo, se continuó con las audiencias públicas, donde se conjuntan los diversos actores del gobierno del Estado para dar atención integral y oportuna a la demanda ciudadana. </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lastRenderedPageBreak/>
        <w:t>Para la coordinación institucional se aplicaron en el primer trimestre 2016 recursos por 42 millones 725 mil 243 pesos, lo que representa el 4 por ciento del monto total devengado en este eje.</w:t>
      </w:r>
    </w:p>
    <w:p w:rsidR="00FB23BE" w:rsidRDefault="00FB23BE"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C242E8" w:rsidRPr="00FB23BE" w:rsidRDefault="00C242E8" w:rsidP="008C16D2">
      <w:pPr>
        <w:spacing w:after="240"/>
        <w:contextualSpacing/>
        <w:jc w:val="center"/>
        <w:rPr>
          <w:rFonts w:ascii="Arial" w:hAnsi="Arial" w:cs="Arial"/>
          <w:kern w:val="2"/>
          <w:lang w:eastAsia="en-US"/>
        </w:rPr>
      </w:pPr>
      <w:r w:rsidRPr="00C242E8">
        <w:rPr>
          <w:noProof/>
          <w:lang w:val="es-MX" w:eastAsia="es-MX"/>
        </w:rPr>
        <w:drawing>
          <wp:inline distT="0" distB="0" distL="0" distR="0">
            <wp:extent cx="5882005" cy="2533418"/>
            <wp:effectExtent l="19050" t="0" r="4445" b="0"/>
            <wp:docPr id="2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5882005" cy="2533418"/>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8C16D2" w:rsidRDefault="008C16D2" w:rsidP="00FB23BE">
      <w:pPr>
        <w:spacing w:after="240"/>
        <w:contextualSpacing/>
        <w:jc w:val="both"/>
        <w:rPr>
          <w:rFonts w:ascii="Arial" w:hAnsi="Arial" w:cs="Arial"/>
          <w:kern w:val="2"/>
          <w:lang w:eastAsia="en-US"/>
        </w:rPr>
      </w:pPr>
    </w:p>
    <w:p w:rsidR="008C16D2" w:rsidRPr="00FB23BE" w:rsidRDefault="008C16D2"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864165" cy="1965944"/>
            <wp:effectExtent l="19050" t="0" r="3235" b="0"/>
            <wp:docPr id="5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srcRect/>
                    <a:stretch>
                      <a:fillRect/>
                    </a:stretch>
                  </pic:blipFill>
                  <pic:spPr bwMode="auto">
                    <a:xfrm>
                      <a:off x="0" y="0"/>
                      <a:ext cx="5868939" cy="1967544"/>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C242E8" w:rsidRDefault="00C242E8" w:rsidP="00FB23BE">
      <w:pPr>
        <w:spacing w:after="240"/>
        <w:contextualSpacing/>
        <w:jc w:val="both"/>
        <w:rPr>
          <w:rFonts w:ascii="Arial" w:hAnsi="Arial" w:cs="Arial"/>
          <w:b/>
          <w:kern w:val="2"/>
          <w:lang w:eastAsia="en-US"/>
        </w:rPr>
      </w:pPr>
    </w:p>
    <w:p w:rsidR="008C16D2" w:rsidRDefault="008C16D2">
      <w:pPr>
        <w:rPr>
          <w:rFonts w:ascii="Arial" w:hAnsi="Arial" w:cs="Arial"/>
          <w:b/>
          <w:kern w:val="2"/>
          <w:lang w:eastAsia="en-US"/>
        </w:rPr>
      </w:pPr>
      <w:r>
        <w:rPr>
          <w:rFonts w:ascii="Arial" w:hAnsi="Arial" w:cs="Arial"/>
          <w:b/>
          <w:kern w:val="2"/>
          <w:lang w:eastAsia="en-US"/>
        </w:rPr>
        <w:br w:type="page"/>
      </w:r>
    </w:p>
    <w:p w:rsidR="00FB23BE" w:rsidRPr="00C242E8" w:rsidRDefault="00FB23BE" w:rsidP="00FB23BE">
      <w:pPr>
        <w:spacing w:after="240"/>
        <w:contextualSpacing/>
        <w:jc w:val="both"/>
        <w:rPr>
          <w:rFonts w:ascii="Arial" w:hAnsi="Arial" w:cs="Arial"/>
          <w:b/>
          <w:kern w:val="2"/>
          <w:lang w:eastAsia="en-US"/>
        </w:rPr>
      </w:pPr>
      <w:r w:rsidRPr="00C242E8">
        <w:rPr>
          <w:rFonts w:ascii="Arial" w:hAnsi="Arial" w:cs="Arial"/>
          <w:b/>
          <w:kern w:val="2"/>
          <w:lang w:eastAsia="en-US"/>
        </w:rPr>
        <w:lastRenderedPageBreak/>
        <w:t>4.6.-CLASIFICACIÓN ADMINISTRATIVA</w:t>
      </w:r>
    </w:p>
    <w:p w:rsidR="00C242E8" w:rsidRDefault="00C242E8"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La clasificación Administrativa define al ejecutor o administrador directo de los recursos públicos. Permite identificar a los ejecutores y responsables del gasto público y facilita su ubicación, ya que muestra los recursos asignados a las Dependencias y Entidades.</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Conforme a esta clasificación, el gasto público que se informa en este periodo abarca las actuaciones, en el marco de su competencia, de los Poderes Ejecutivo, Legislativo y Judicial, de los Órganos Autónomos, Organismos Públicos Descentralizados, Fideicomisos Públicos e Instituciones Públicas de Seguridad Social.</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t xml:space="preserve">El gasto total devengado en el primer trimestre 2016, fue de 13 mil 90 millones 857 mil 626 pesos. </w:t>
      </w:r>
    </w:p>
    <w:p w:rsidR="00FB23BE" w:rsidRDefault="00FB23BE" w:rsidP="00FB23BE">
      <w:pPr>
        <w:spacing w:after="240"/>
        <w:contextualSpacing/>
        <w:jc w:val="both"/>
        <w:rPr>
          <w:rFonts w:ascii="Arial" w:hAnsi="Arial" w:cs="Arial"/>
          <w:kern w:val="2"/>
          <w:lang w:eastAsia="en-US"/>
        </w:rPr>
      </w:pPr>
    </w:p>
    <w:p w:rsidR="003D6669" w:rsidRDefault="003D6669" w:rsidP="00FB23BE">
      <w:pPr>
        <w:spacing w:after="240"/>
        <w:contextualSpacing/>
        <w:jc w:val="both"/>
        <w:rPr>
          <w:rFonts w:ascii="Arial" w:hAnsi="Arial" w:cs="Arial"/>
          <w:kern w:val="2"/>
          <w:lang w:eastAsia="en-US"/>
        </w:rPr>
      </w:pPr>
      <w:r>
        <w:rPr>
          <w:rFonts w:ascii="Arial" w:hAnsi="Arial" w:cs="Arial"/>
          <w:kern w:val="2"/>
          <w:lang w:eastAsia="en-US"/>
        </w:rPr>
        <w:t xml:space="preserve">Con base en esta clasificación: </w:t>
      </w:r>
    </w:p>
    <w:p w:rsidR="003D6669" w:rsidRPr="00FB23BE" w:rsidRDefault="003D6669"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La Administración Pública Centralizada</w:t>
      </w:r>
      <w:r w:rsidRPr="00FB23BE">
        <w:rPr>
          <w:rFonts w:ascii="Arial" w:hAnsi="Arial" w:cs="Arial"/>
          <w:kern w:val="2"/>
          <w:lang w:eastAsia="en-US"/>
        </w:rPr>
        <w:t>, misma que comprende a los Municipios, en el primer trimestre 2016 devengó la cantidad de 6 mil 442 millones 352 mil 150 pesos, que representa el 49 por ciento del monto total del presupuesto devengado durante el primer trimestre 2016.</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El Poder Legislativo,</w:t>
      </w:r>
      <w:r w:rsidRPr="00FB23BE">
        <w:rPr>
          <w:rFonts w:ascii="Arial" w:hAnsi="Arial" w:cs="Arial"/>
          <w:kern w:val="2"/>
          <w:lang w:eastAsia="en-US"/>
        </w:rPr>
        <w:t xml:space="preserve"> en el primer trimestre 2016 devengó la cantidad de 225 millones 891 mil 764 pesos, que representa el 1 por ciento del monto total del presupuesto devengado durante el primer trimestre 2016.</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El Poder Judicial</w:t>
      </w:r>
      <w:r w:rsidRPr="00FB23BE">
        <w:rPr>
          <w:rFonts w:ascii="Arial" w:hAnsi="Arial" w:cs="Arial"/>
          <w:kern w:val="2"/>
          <w:lang w:eastAsia="en-US"/>
        </w:rPr>
        <w:t>, en el primer trimestre 2016 devengó la cantidad de 196 millones 345 mil 388 pesos, que representa el 1 por ciento del monto total del presupuesto devengado durante el primer trimestre 2016.</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Los órganos Autónomos</w:t>
      </w:r>
      <w:r w:rsidRPr="00FB23BE">
        <w:rPr>
          <w:rFonts w:ascii="Arial" w:hAnsi="Arial" w:cs="Arial"/>
          <w:kern w:val="2"/>
          <w:lang w:eastAsia="en-US"/>
        </w:rPr>
        <w:t>, en el primer trimestre 2016 devengaron la cantidad de 535 millones 749 mil 52 pesos, que representa el 4 por ciento del monto total del presupuesto devengado durante el primer trimestre 2016</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Los Organismos Públicos Descentralizados</w:t>
      </w:r>
      <w:r w:rsidRPr="00FB23BE">
        <w:rPr>
          <w:rFonts w:ascii="Arial" w:hAnsi="Arial" w:cs="Arial"/>
          <w:kern w:val="2"/>
          <w:lang w:eastAsia="en-US"/>
        </w:rPr>
        <w:t>, en el primer trimestre 2016 devengaron la cantidad de 5 mil 667 millones 493 mil 412 pesos, que representa el 43 por ciento del monto total del presupuesto devengado durante el primer trimestre 2016.</w:t>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Los Fideicomisos Públicos</w:t>
      </w:r>
      <w:r w:rsidR="00C242E8">
        <w:rPr>
          <w:rFonts w:ascii="Arial" w:hAnsi="Arial" w:cs="Arial"/>
          <w:kern w:val="2"/>
          <w:lang w:eastAsia="en-US"/>
        </w:rPr>
        <w:t xml:space="preserve">, </w:t>
      </w:r>
      <w:r w:rsidRPr="00FB23BE">
        <w:rPr>
          <w:rFonts w:ascii="Arial" w:hAnsi="Arial" w:cs="Arial"/>
          <w:kern w:val="2"/>
          <w:lang w:eastAsia="en-US"/>
        </w:rPr>
        <w:t>en el primer trimestre 2016 devengaron la cantidad de 3 millones 18 mil 705 pesos.</w:t>
      </w:r>
    </w:p>
    <w:p w:rsidR="00FB23BE" w:rsidRPr="00FB23BE" w:rsidRDefault="00FB23BE" w:rsidP="00FB23BE">
      <w:pPr>
        <w:spacing w:after="240"/>
        <w:contextualSpacing/>
        <w:jc w:val="both"/>
        <w:rPr>
          <w:rFonts w:ascii="Arial" w:hAnsi="Arial" w:cs="Arial"/>
          <w:kern w:val="2"/>
          <w:lang w:eastAsia="en-US"/>
        </w:rPr>
      </w:pPr>
    </w:p>
    <w:p w:rsidR="00FB23BE" w:rsidRDefault="00FB23BE" w:rsidP="00FB23BE">
      <w:pPr>
        <w:spacing w:after="240"/>
        <w:contextualSpacing/>
        <w:jc w:val="both"/>
        <w:rPr>
          <w:rFonts w:ascii="Arial" w:hAnsi="Arial" w:cs="Arial"/>
          <w:kern w:val="2"/>
          <w:lang w:eastAsia="en-US"/>
        </w:rPr>
      </w:pPr>
      <w:r w:rsidRPr="00C242E8">
        <w:rPr>
          <w:rFonts w:ascii="Arial" w:hAnsi="Arial" w:cs="Arial"/>
          <w:b/>
          <w:kern w:val="2"/>
          <w:lang w:eastAsia="en-US"/>
        </w:rPr>
        <w:t>Las Instituciones Públicas de Seguridad Social</w:t>
      </w:r>
      <w:r w:rsidRPr="00FB23BE">
        <w:rPr>
          <w:rFonts w:ascii="Arial" w:hAnsi="Arial" w:cs="Arial"/>
          <w:kern w:val="2"/>
          <w:lang w:eastAsia="en-US"/>
        </w:rPr>
        <w:t>, en el primer trimestre 2016 devengaron la cantidad de 20 millones 7 mil 152 pesos.</w:t>
      </w:r>
    </w:p>
    <w:p w:rsidR="003A4E15" w:rsidRPr="00FB23BE" w:rsidRDefault="003A4E15"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990269"/>
            <wp:effectExtent l="19050" t="0" r="7620" b="0"/>
            <wp:docPr id="5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srcRect/>
                    <a:stretch>
                      <a:fillRect/>
                    </a:stretch>
                  </pic:blipFill>
                  <pic:spPr bwMode="auto">
                    <a:xfrm>
                      <a:off x="0" y="0"/>
                      <a:ext cx="5612130" cy="1990269"/>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6E47E2" w:rsidRDefault="006E47E2" w:rsidP="008C16D2">
      <w:pPr>
        <w:jc w:val="center"/>
        <w:rPr>
          <w:rFonts w:ascii="Arial" w:hAnsi="Arial" w:cs="Arial"/>
          <w:kern w:val="2"/>
          <w:lang w:eastAsia="en-US"/>
        </w:rPr>
      </w:pPr>
      <w:r w:rsidRPr="006E47E2">
        <w:rPr>
          <w:rFonts w:ascii="Arial" w:hAnsi="Arial" w:cs="Arial"/>
          <w:noProof/>
          <w:kern w:val="2"/>
          <w:lang w:val="es-MX" w:eastAsia="es-MX"/>
        </w:rPr>
        <w:drawing>
          <wp:inline distT="0" distB="0" distL="0" distR="0">
            <wp:extent cx="5182678" cy="2743200"/>
            <wp:effectExtent l="0" t="0" r="0" b="0"/>
            <wp:docPr id="25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Arial" w:hAnsi="Arial" w:cs="Arial"/>
          <w:kern w:val="2"/>
          <w:lang w:eastAsia="en-US"/>
        </w:rPr>
        <w:br w:type="page"/>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5653340"/>
            <wp:effectExtent l="19050" t="0" r="7620" b="0"/>
            <wp:docPr id="5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srcRect/>
                    <a:stretch>
                      <a:fillRect/>
                    </a:stretch>
                  </pic:blipFill>
                  <pic:spPr bwMode="auto">
                    <a:xfrm>
                      <a:off x="0" y="0"/>
                      <a:ext cx="5612130" cy="5653340"/>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br w:type="page"/>
      </w: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lastRenderedPageBreak/>
        <w:drawing>
          <wp:inline distT="0" distB="0" distL="0" distR="0">
            <wp:extent cx="5612130" cy="1534420"/>
            <wp:effectExtent l="19050" t="0" r="7620" b="0"/>
            <wp:docPr id="6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srcRect/>
                    <a:stretch>
                      <a:fillRect/>
                    </a:stretch>
                  </pic:blipFill>
                  <pic:spPr bwMode="auto">
                    <a:xfrm>
                      <a:off x="0" y="0"/>
                      <a:ext cx="5612130" cy="1534420"/>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8C16D2" w:rsidRPr="00FB23BE" w:rsidRDefault="008C16D2"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534420"/>
            <wp:effectExtent l="19050" t="0" r="7620" b="0"/>
            <wp:docPr id="6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srcRect/>
                    <a:stretch>
                      <a:fillRect/>
                    </a:stretch>
                  </pic:blipFill>
                  <pic:spPr bwMode="auto">
                    <a:xfrm>
                      <a:off x="0" y="0"/>
                      <a:ext cx="5612130" cy="1534420"/>
                    </a:xfrm>
                    <a:prstGeom prst="rect">
                      <a:avLst/>
                    </a:prstGeom>
                    <a:noFill/>
                    <a:ln w="9525">
                      <a:noFill/>
                      <a:miter lim="800000"/>
                      <a:headEnd/>
                      <a:tailEnd/>
                    </a:ln>
                  </pic:spPr>
                </pic:pic>
              </a:graphicData>
            </a:graphic>
          </wp:inline>
        </w:drawing>
      </w:r>
    </w:p>
    <w:p w:rsidR="00FB23BE" w:rsidRDefault="00FB23BE" w:rsidP="00FB23BE">
      <w:pPr>
        <w:spacing w:after="240"/>
        <w:contextualSpacing/>
        <w:jc w:val="both"/>
        <w:rPr>
          <w:rFonts w:ascii="Arial" w:hAnsi="Arial" w:cs="Arial"/>
          <w:kern w:val="2"/>
          <w:lang w:eastAsia="en-US"/>
        </w:rPr>
      </w:pPr>
    </w:p>
    <w:p w:rsidR="008C16D2" w:rsidRPr="00FB23BE" w:rsidRDefault="008C16D2" w:rsidP="00FB23BE">
      <w:pPr>
        <w:spacing w:after="240"/>
        <w:contextualSpacing/>
        <w:jc w:val="both"/>
        <w:rPr>
          <w:rFonts w:ascii="Arial" w:hAnsi="Arial" w:cs="Arial"/>
          <w:kern w:val="2"/>
          <w:lang w:eastAsia="en-US"/>
        </w:rPr>
      </w:pP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2446626"/>
            <wp:effectExtent l="19050" t="0" r="7620" b="0"/>
            <wp:docPr id="23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srcRect/>
                    <a:stretch>
                      <a:fillRect/>
                    </a:stretch>
                  </pic:blipFill>
                  <pic:spPr bwMode="auto">
                    <a:xfrm>
                      <a:off x="0" y="0"/>
                      <a:ext cx="5612130" cy="2446626"/>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r w:rsidRPr="00FB23BE">
        <w:rPr>
          <w:rFonts w:ascii="Arial" w:hAnsi="Arial" w:cs="Arial"/>
          <w:kern w:val="2"/>
          <w:lang w:eastAsia="en-US"/>
        </w:rPr>
        <w:br w:type="page"/>
      </w: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lastRenderedPageBreak/>
        <w:drawing>
          <wp:inline distT="0" distB="0" distL="0" distR="0">
            <wp:extent cx="5612130" cy="7374474"/>
            <wp:effectExtent l="19050" t="0" r="7620" b="0"/>
            <wp:docPr id="23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srcRect/>
                    <a:stretch>
                      <a:fillRect/>
                    </a:stretch>
                  </pic:blipFill>
                  <pic:spPr bwMode="auto">
                    <a:xfrm>
                      <a:off x="0" y="0"/>
                      <a:ext cx="5612130" cy="7374474"/>
                    </a:xfrm>
                    <a:prstGeom prst="rect">
                      <a:avLst/>
                    </a:prstGeom>
                    <a:noFill/>
                    <a:ln w="9525">
                      <a:noFill/>
                      <a:miter lim="800000"/>
                      <a:headEnd/>
                      <a:tailEnd/>
                    </a:ln>
                  </pic:spPr>
                </pic:pic>
              </a:graphicData>
            </a:graphic>
          </wp:inline>
        </w:drawing>
      </w:r>
    </w:p>
    <w:p w:rsidR="00FB23BE" w:rsidRP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lastRenderedPageBreak/>
        <w:drawing>
          <wp:inline distT="0" distB="0" distL="0" distR="0">
            <wp:extent cx="5612130" cy="2681673"/>
            <wp:effectExtent l="19050" t="0" r="7620" b="0"/>
            <wp:docPr id="2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srcRect/>
                    <a:stretch>
                      <a:fillRect/>
                    </a:stretch>
                  </pic:blipFill>
                  <pic:spPr bwMode="auto">
                    <a:xfrm>
                      <a:off x="0" y="0"/>
                      <a:ext cx="5612130" cy="2681673"/>
                    </a:xfrm>
                    <a:prstGeom prst="rect">
                      <a:avLst/>
                    </a:prstGeom>
                    <a:noFill/>
                    <a:ln w="9525">
                      <a:noFill/>
                      <a:miter lim="800000"/>
                      <a:headEnd/>
                      <a:tailEnd/>
                    </a:ln>
                  </pic:spPr>
                </pic:pic>
              </a:graphicData>
            </a:graphic>
          </wp:inline>
        </w:drawing>
      </w:r>
    </w:p>
    <w:p w:rsidR="00FB23BE" w:rsidRPr="00FB23BE" w:rsidRDefault="00FB23BE" w:rsidP="00FB23BE">
      <w:pPr>
        <w:spacing w:after="240"/>
        <w:contextualSpacing/>
        <w:jc w:val="both"/>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Default="00FB23BE" w:rsidP="008C16D2">
      <w:pPr>
        <w:spacing w:after="240"/>
        <w:contextualSpacing/>
        <w:jc w:val="center"/>
        <w:rPr>
          <w:rFonts w:ascii="Arial" w:hAnsi="Arial" w:cs="Arial"/>
          <w:kern w:val="2"/>
          <w:lang w:eastAsia="en-US"/>
        </w:rPr>
      </w:pPr>
      <w:r w:rsidRPr="00FB23BE">
        <w:rPr>
          <w:rFonts w:ascii="Arial" w:hAnsi="Arial" w:cs="Arial"/>
          <w:noProof/>
          <w:kern w:val="2"/>
          <w:lang w:val="es-MX" w:eastAsia="es-MX"/>
        </w:rPr>
        <w:drawing>
          <wp:inline distT="0" distB="0" distL="0" distR="0">
            <wp:extent cx="5612130" cy="1762344"/>
            <wp:effectExtent l="19050" t="0" r="7620" b="0"/>
            <wp:docPr id="2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srcRect/>
                    <a:stretch>
                      <a:fillRect/>
                    </a:stretch>
                  </pic:blipFill>
                  <pic:spPr bwMode="auto">
                    <a:xfrm>
                      <a:off x="0" y="0"/>
                      <a:ext cx="5612130" cy="1762344"/>
                    </a:xfrm>
                    <a:prstGeom prst="rect">
                      <a:avLst/>
                    </a:prstGeom>
                    <a:noFill/>
                    <a:ln w="9525">
                      <a:noFill/>
                      <a:miter lim="800000"/>
                      <a:headEnd/>
                      <a:tailEnd/>
                    </a:ln>
                  </pic:spPr>
                </pic:pic>
              </a:graphicData>
            </a:graphic>
          </wp:inline>
        </w:drawing>
      </w:r>
    </w:p>
    <w:p w:rsidR="008C16D2" w:rsidRDefault="008C16D2" w:rsidP="008C16D2">
      <w:pPr>
        <w:spacing w:after="240"/>
        <w:contextualSpacing/>
        <w:jc w:val="center"/>
        <w:rPr>
          <w:rFonts w:ascii="Arial" w:hAnsi="Arial" w:cs="Arial"/>
          <w:kern w:val="2"/>
          <w:lang w:eastAsia="en-US"/>
        </w:rPr>
      </w:pPr>
    </w:p>
    <w:p w:rsidR="008C16D2" w:rsidRPr="00FB23BE" w:rsidRDefault="008C16D2" w:rsidP="008C16D2">
      <w:pPr>
        <w:spacing w:after="240"/>
        <w:contextualSpacing/>
        <w:jc w:val="center"/>
        <w:rPr>
          <w:rFonts w:ascii="Arial" w:hAnsi="Arial" w:cs="Arial"/>
          <w:kern w:val="2"/>
          <w:lang w:eastAsia="en-US"/>
        </w:rPr>
      </w:pPr>
    </w:p>
    <w:p w:rsidR="00FB23BE" w:rsidRPr="00FB23BE" w:rsidRDefault="00FB23BE" w:rsidP="00FB23BE">
      <w:pPr>
        <w:spacing w:after="240"/>
        <w:contextualSpacing/>
        <w:jc w:val="both"/>
        <w:rPr>
          <w:rFonts w:ascii="Arial" w:hAnsi="Arial" w:cs="Arial"/>
          <w:kern w:val="2"/>
          <w:lang w:eastAsia="en-US"/>
        </w:rPr>
      </w:pPr>
    </w:p>
    <w:p w:rsidR="00FB23BE" w:rsidRDefault="00FB23BE" w:rsidP="008C16D2">
      <w:pPr>
        <w:jc w:val="center"/>
        <w:rPr>
          <w:rFonts w:ascii="Arial" w:hAnsi="Arial" w:cs="Arial"/>
          <w:spacing w:val="20"/>
          <w:sz w:val="23"/>
          <w:szCs w:val="23"/>
        </w:rPr>
      </w:pPr>
      <w:r w:rsidRPr="00D0259A">
        <w:rPr>
          <w:noProof/>
          <w:szCs w:val="23"/>
          <w:lang w:val="es-MX" w:eastAsia="es-MX"/>
        </w:rPr>
        <w:drawing>
          <wp:inline distT="0" distB="0" distL="0" distR="0">
            <wp:extent cx="5612130" cy="1416896"/>
            <wp:effectExtent l="19050" t="0" r="7620" b="0"/>
            <wp:docPr id="2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srcRect/>
                    <a:stretch>
                      <a:fillRect/>
                    </a:stretch>
                  </pic:blipFill>
                  <pic:spPr bwMode="auto">
                    <a:xfrm>
                      <a:off x="0" y="0"/>
                      <a:ext cx="5612130" cy="1416896"/>
                    </a:xfrm>
                    <a:prstGeom prst="rect">
                      <a:avLst/>
                    </a:prstGeom>
                    <a:noFill/>
                    <a:ln w="9525">
                      <a:noFill/>
                      <a:miter lim="800000"/>
                      <a:headEnd/>
                      <a:tailEnd/>
                    </a:ln>
                  </pic:spPr>
                </pic:pic>
              </a:graphicData>
            </a:graphic>
          </wp:inline>
        </w:drawing>
      </w:r>
      <w:r>
        <w:rPr>
          <w:rFonts w:ascii="Arial" w:hAnsi="Arial" w:cs="Arial"/>
          <w:spacing w:val="20"/>
          <w:sz w:val="23"/>
          <w:szCs w:val="23"/>
        </w:rPr>
        <w:br w:type="page"/>
      </w:r>
    </w:p>
    <w:p w:rsidR="00FB23BE" w:rsidRPr="002053AC" w:rsidRDefault="002053AC" w:rsidP="00FB23BE">
      <w:pPr>
        <w:spacing w:line="360" w:lineRule="auto"/>
        <w:jc w:val="both"/>
        <w:rPr>
          <w:rFonts w:ascii="Arial" w:hAnsi="Arial" w:cs="Arial"/>
          <w:b/>
          <w:spacing w:val="20"/>
          <w:sz w:val="23"/>
          <w:szCs w:val="23"/>
        </w:rPr>
      </w:pPr>
      <w:r w:rsidRPr="002053AC">
        <w:rPr>
          <w:rFonts w:ascii="Arial" w:hAnsi="Arial" w:cs="Arial"/>
          <w:b/>
          <w:spacing w:val="20"/>
          <w:sz w:val="23"/>
          <w:szCs w:val="23"/>
        </w:rPr>
        <w:lastRenderedPageBreak/>
        <w:t>4.7.- GASTO DE CAPITAL</w:t>
      </w:r>
    </w:p>
    <w:p w:rsidR="00E81C69" w:rsidRPr="0002002E" w:rsidRDefault="00E81C69" w:rsidP="00E81C69">
      <w:pPr>
        <w:contextualSpacing/>
        <w:jc w:val="both"/>
        <w:rPr>
          <w:rFonts w:ascii="Arial" w:hAnsi="Arial" w:cs="Arial"/>
          <w:b/>
          <w:spacing w:val="20"/>
          <w:kern w:val="2"/>
        </w:rPr>
      </w:pPr>
      <w:r w:rsidRPr="0002002E">
        <w:rPr>
          <w:rFonts w:ascii="Arial" w:hAnsi="Arial" w:cs="Arial"/>
          <w:b/>
          <w:spacing w:val="20"/>
          <w:kern w:val="2"/>
        </w:rPr>
        <w:t>INVERSIÓN PÚBLICA</w:t>
      </w:r>
    </w:p>
    <w:p w:rsidR="00E81C69" w:rsidRPr="0002002E" w:rsidRDefault="00E81C69" w:rsidP="00E81C69">
      <w:pPr>
        <w:contextualSpacing/>
        <w:jc w:val="both"/>
        <w:rPr>
          <w:rFonts w:ascii="Arial" w:hAnsi="Arial" w:cs="Arial"/>
          <w:spacing w:val="20"/>
          <w:kern w:val="2"/>
          <w:highlight w:val="yellow"/>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En este apartado se presenta un informe de la Inversión Pública devengada a través de programas y proyectos de inversión pública orientados a infraestructura física, equipamiento, y acciones encaminadas para la producción de insumos básicos y fomento de actividades productivas.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total devengado en este capítulo es de un mil 886 millones 132 mil 156 pesos. Dichos recursos provienen de tres orígenes de fuentes de financiamiento: Recursos Estatales por  la cantidad de 887 millones 50 mil 136 pesos; Fondos de Aportaciones Federales del  Ramo General 33 por  245 millones 682 mil 137 pesos; y Recursos Federales (Gasto Federal Reasignado al Estado) por 753 millones 399 mil 883 pesos.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Estos recursos  fueron devengados por dependencias y entidades de la Administración Pública Centralizada, Poder  Judicial, Organismos Públicos Descentralizados, Fideicomisos Públicos, Órganos  Autónomos y por los Municipios.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 xml:space="preserve">Recursos Estatales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total de recursos estatales ejercidos es de 887 millones 50 mil 136 pesos; las Contribuciones Locales por la cantidad de 293 millones 558 mil 910 pesos que se devengaron principalmente a través de:</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Secretaría de las Infraestructuras y el Ordenamiento Territorial Sustentable devengó recursos por la cantidad de  10 millones 934 mil 237 pesos, principalmente al pago de licencia y permisos de materia de desarrollo urbano, obras publicas y ecología por la construcción del centro de reinserción social de media seguridad, a  la Secretaría de Turismo y Desarrollo Económico destinó 168 millones 999 mil 967 pesos; en lo que respecta a la Secretaría de las Culturas y Artes de Oaxaca se devengaron 3 millones 596 mil 459 pesos para la promoción y fomento a las culturas, a la Secretaría de Desarrollo Agropecuario, Pesca y Acuacultura le fueron otorgados 7 millones 646 mil 526 pesos; Secretariado Ejecutivo del Sistema Estatal de Seguridad Pública devengó 4 millones 602 mil 697 pesos para el fortalecimiento de las instituciones de seguridad.</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Por su parte la Defensoría De Los Derechos Humanos Del Pueblo De Oaxaca devengó un total de 200 mil pesos, destinados a la prevención y defensa de los derechos humanos; Caminos y Aeropistas de Oaxaca devengó la cantidad de 9 millones 557 mil 661 pesos al mejoramiento y conservacion de caminos rurales y carreteras alimentadoras; en lo que respecta Comisión Estatal de Cultura Física  y </w:t>
      </w:r>
      <w:r w:rsidRPr="00E81C69">
        <w:rPr>
          <w:rFonts w:ascii="Arial" w:hAnsi="Arial" w:cs="Arial"/>
          <w:kern w:val="2"/>
          <w:lang w:eastAsia="en-US"/>
        </w:rPr>
        <w:lastRenderedPageBreak/>
        <w:t>Deporte le fueron asignados 4 millones 463 mil 270 pesos para la promoción y fomento de las actividades físicas y deportivas; la Comisión Estatal de Vivienda  devengó la cantidad de 43 millones 722 mil 871 pesos para mejoramiento, construcción y reubicación de viviendas; mediante la Comisión Estatal del Agua se devengaron  765 mil 655 pesos para la ampliación y mejoramiento de cobertura de agua potable; para la Comisión Estatal Forestal le fueron asignados un millón 431 mil 911 pesos para el desarrollo forestal sustentable.</w:t>
      </w:r>
    </w:p>
    <w:p w:rsidR="00E81C69" w:rsidRP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Instituto de la Juventud del Estado de Oaxaca devengó 2 millones 788 mil 652 pesos, destinados al programa de promoción y fomento a la juventud; a través del  Instituto Estatal de Educación para Adultos se devengaron 31 millones 639 mil 4 pesos,  para la campaña nacional de alfabetización y reducción del rezago educativo; los Servicios de Agua Potable y Alcantarillado de Oaxaca destinó 900 mil pesos  para el mantenimiento de sistemas de agua potable; mediante  la Oficina De Convenciones Y Visitantes De Oaxaca se devengaron recursos por la cantidad de 810 mil pesos en campañas publicitarias para difundir y atraer eventos de turismo de reuniones. A través de los Municipios se devengó un millón 500 mil pesos en el CCX aniversario del natalicio del Lic. Benito Juárez García.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En lo que se refiere a Créditos, Empréstitos y Préstamos se devengaron recursos por la cantidad de 514 millones 651 mil 114 pesos, los cuales fueron destinados a la Secretaría de las Infraestructuras y el Ordenamiento Territorial Sustentable 246 millones 450 mil 7 pesos para el mejoramiento urbano de los centros de población la ampliación y mejora de la cobertura de energía eléctrica y la promoción y fomento de la activación física y del deporte; a la  Secretaria de Turismo Y Desarrollo Económico 18 millones 600 mil pesos para el programa de promoción  y desarrollo turístico;  a través de la Secretaria de Desarrollo Agropecuario, Pesca y Acuacultura,  24 millones 170 mil 175 pesos para el  impulso  a  la producción de  maíz para grano, la construcción de infraestructura agrícola  presas. Diquiyú, la cría y explotación de ganado ovino. Xoxocotlan.</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Secretaria De Administración devengó recursos por 4 millones 446 mil 624 pesos para el apoyo a la movilidad urbana y renovación del parque vehicular en Oaxaca.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Mediante la comisión de Caminos y Aeropistas De Oaxaca se destinaron 61 millones 788 mil 864 pesos, para el programa de ampliación y mejora de caminos rurales y el programa de ampliación y mejora de carreteras alimentadoras. La Comisión Estatal de Vivienda devengó 28 millones 332 mil 778 pesos, estos para el programa de mejoramiento, construcción y reubicación de la vivienda.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Comisión Estatal del Agua destinó 3 millones 826 mil  815 pesos al mejoramiento de servicios de agua potable y alcantarillado; por su parte la Comisión Estatal Forestal </w:t>
      </w:r>
      <w:r w:rsidRPr="00E81C69">
        <w:rPr>
          <w:rFonts w:ascii="Arial" w:hAnsi="Arial" w:cs="Arial"/>
          <w:kern w:val="2"/>
          <w:lang w:eastAsia="en-US"/>
        </w:rPr>
        <w:lastRenderedPageBreak/>
        <w:t>devengó un millón 766 mil 885 pesos, para el programa de desarrollo Forestal sustentable. A través del Instituto Del Patrimonio Cultural Del Estado De Oaxaca se devengaron 3 millones 664 pesos,  en la gerencia de proyecto y supervisión de obra, para "construcción de la ciudad de los archivos en Oaxaca."(3a. etapa).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El Instituto Oaxaqueño Constructor de Infraestructura Física Educativa devengó 3 millones 811 mil 451 pesos, para el programa formación con calidad en educación media y media superior y el de coordinación y fortalecimiento de las instituciones de educación superior.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2 millones 688 mil 18 pesos fue la cantidad que los Servicios de Agua Potable y  Alcantarillado de Oaxaca destinó a la construcción de red de drenaje sanitario del paraje La Loma y la rrehabilitación  de planta de tratamiento de aguas residuales (4a etapa).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Universidad De La Sierra Sur destinó 428  mil 619 pesos  para la construcción de un edificio de dos niveles para siete aulas  y la construcción de una planta de tratamiento de aguas residuales.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Y finalmente en este rubro la a través de la coinversión con municipios se devengó la cantidad  de 115 millones 340 mil 214 pesos principalmente en obras y acciones de  mejoramiento, construcción y reubicación de la vivienda, la ampliación y mejora de caminos rurales, la ampliación y mejora de carreteras alimentadoras, ampliación y mejora de la cobertura de energía eléctrica, ampliación y mejoramiento de la cobertura de agua potable, entre otras.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En lo que respecta a las Aportaciones Municipales se devengaron recursos por  91 mil 54 pesos esto mediante la Comisión Estatal Del Agua para la construcción del sistema de alcantarillado sanitario.</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 Banobras por su parte contribuyó con un total de 78 millones 749 mil 58 pesos devengados como a continuación se describe: el Tribunal Superior de Justicia devengó 36 millones 451 mil 33 pesos, para la Comisión Estatal De Vivienda se destinaron 22 millones 990 mil 384 pesos,  la Comisión Estatal Del Agua devengó 3 millones 678 mil 676 pesos y a través de la coinversión municipal 15 millones 628 mil 965 pesos.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Fondos de Aportaciones Federales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Los recursos financieros transferidos al Estado con fines específicos, a través de los Fondos de Aportaciones para la Infraestructura Social Estatal (FISE), Múltiples para Asistencia Social (FAM - FAAS), Múltiples para Infraestructura Educativa Básica (FAM-</w:t>
      </w:r>
      <w:r w:rsidRPr="00E81C69">
        <w:rPr>
          <w:rFonts w:ascii="Arial" w:hAnsi="Arial" w:cs="Arial"/>
          <w:kern w:val="2"/>
          <w:lang w:eastAsia="en-US"/>
        </w:rPr>
        <w:lastRenderedPageBreak/>
        <w:t>FAIEB), Múltiples para Infraestructura Educativa Superior (FAM - FAIES), Múltiples para Infraestructura Educativa Media Superior (FAM – FAIEMS) para la Seguridad Pública de los Estados y del Distrito Federal (FASP), para Infraestructura en Salud (FASSA) y para el Fortalecimiento de las Entidades Federativas  (FAFEF), deben registrarse como propios y ejercerse conforme a las leyes estatales en términos de lo establecido en el Capítulo V de la Ley de Coordinación Fiscal; en este sentido se devengaron 245 millones 682 mil 137 pesos de la siguiente manera: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Del FISE se devengaron 123 millones 561 mil 431 pesos, de los cuales Caminos y Aeropistas de Oaxaca devengo la cantidad de 58 millones 564 mil 49 pesos;  se aplicaron 42 millones 422 mil 104 millones a cargo de la Comisión Estatal de Vivienda; por medio de la Comision Estatal del Agua se devengaron 3 millones 91 mil  361 pesos; la Secretaría de las Infraestructuras y el Ordenamiento Territorial Sustentable realizó una inversión de 13 millones 328 mil  819 pesos y complementando el gasto como parte de la inversión concertada con los Municipios se devengaron 6 millones 155 mil 98 pesos.</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Del FAM-FAIEB, se devengaron recursos por la cantidad de 17 millones 844 mil 400 pesos, los cuales se destinaron principalmente en reparaciones generales en planteles de educación preescolar (urbano, indígena y rural), primaria, secundaria (general, técnica y telesecundaria), construcción de aulas didácticas, aulas de medios y equipamiento de aulas didácticas, aulas de medios, laboratorios talleres en planteles de educación secundaria, a través del Instituto Oaxaqueño Constructor de Infraestructura Física Educativa.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A través del FAM-FAIES, se aplicaron recursos por la cantidad de 2 millones 269 mil 851 pesos para construcción  de unidad académica departamental  en  el Instituto Tecnológico de Pochutla, así como construcción de un laboratorio pesado de concreto en la Universidad tecnológica de la Sierra Sur de Oaxaca, a través del Instituto Oaxaqueño Constructor de Infraestructura Física Educativa; por medio de la Universidad Tecnológica de la Mixteca  se devengaron 7 mil 383 pesos para la reparación y mantenimiento de las losas de azoteas del instituto de ciencias y humanidades, del instituto de agroindustrias, del edificio de laboratorios de electrónica avanzada  y del edificio de servicios escolares.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Los recursos correspondientes al FASP, fueron aplicados a través de los  diferentes convenios de la Federación en materia de seguridad pública por el orden de los 90 millones 17 mil 105 pesos; los cuales se devengaron para nuevo sistema de justicia penal, el fortalecimiento de las capacidades, profesionalización de las instituciones de seguridad pública, servicio de llamadas de emergencia 066 y denuncia anónima 089, registro público vehicular, fortalecimiento de las instituciones estatales de seguridad pública, instrumentación de la estrategia en el combate al secuestro,  devengando un </w:t>
      </w:r>
      <w:r w:rsidRPr="00E81C69">
        <w:rPr>
          <w:rFonts w:ascii="Arial" w:hAnsi="Arial" w:cs="Arial"/>
          <w:kern w:val="2"/>
          <w:lang w:eastAsia="en-US"/>
        </w:rPr>
        <w:lastRenderedPageBreak/>
        <w:t>monto de 67 millones 607 mil  901 pesos a la Secretaría de Seguridad Pública y 22 millones 409 mil  204 pesos a cargo de la Procuraduría General de Justicia del Estado.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Del FAFEF, se devengaron  recursos por la cantidad de 11 millones 989 mil 350 pesos, de los cuales 2 millones 862 mil 521 pesos devengó Caminos y Aeropistas de Oaxaca, por su parte 2 millones 470 mil 983 pesos se destinaron a la Comisión Estatal del Agua; la  Secretaría de las Infraestructuras y el Ordenamiento Territorial Sustentable devengó  3 millones 97 mil  238 pesos y finalmente a través del Instituto Oaxaqueño Constructor de Infraestructura Física Educativa se devengaron 3 millones 558 mil  608 pesos.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Gasto Federal Reasignado al Estado</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De recursos federales autorizados en el Presupuesto de Egresos de la Federación para el Estado y Municipios cuya transferencia se formaliza a través de diferentes instrumentos jurídicos y/o administrativos que Dependencias Federales suscriben para tal efecto, se devengó la cantidad de 753 millones 399 mil 883 pesos.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Para el Ramo 6, Hacienda y Crédito Público,  Caminos y Aeropistas de Oaxaca destinó 7 millones 126 mil  233 pesos para el programa de Infraestructura Indígena, por su parte la Comisión Estatal del Agua devengó  3 millones  315 mil 859 pesos, y mediante la inversión concertada con municipios se devengaron 95 millones 283 mil  954 pesos.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Secretaría de Comunicaciones y Transportes convino recursos con el Estado a través del Ramo 9, por 2 millones 154 mil 209 pesos, para la  modernización y ampliación del camino Rosario Ibarra - San Rafael - Santa Úrsula - Los Reyes - Cerro de Oro tramo del km. 0+000 al km. 11+895.59 Subtramo a modernizar del km. 7+700 al km. 8+700; a cargo de Caminos y Aeropistas de Oaxaca.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En lo que respecta al Ramo 11 Educación, se devengaron recursos por 32 millones 482 mil 755 pesos; a través del Instituto Oaxaqueño Constructor de Infraestructura Física Educativa se destinaron 19 millones  433 mil 647 pesos, para la Universidad Tecnológica de los Valles Centrales 3 millones 408 mil 705 pesos, asimismo para el Centro de las Artes de San Agustín  se devengaron 170 mil 653 pesos y la Secretaría de las Culturas y Artes de Oaxaca destinó 8 millones 514 mil  278 pesos  principalmente para los programas de: “Fomento del Desarrollo cultural y sustentable”, “Salvaguarda y Fortalecimiento del Patrimonio Cultural Material e Inmaterial” y “Fortalecimiento a la Formación y Capacitación Artística y Cultural”.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lastRenderedPageBreak/>
        <w:t>Para el Instituto de la Instituto de Capacitación y Productividad para el Trabajo del Estado de Oaxaca se devengaron recursos por 896 mil 672 pesos; y  58 mil 800 pesos se destinaron al Instituto de la Juventud del Estado de Oaxaca.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Del Ramo 12 Salud, se devengaron recursos por 13 millones 917 mil 427 pesos; de los cuales el Régimen Estatal De Protección Social En Salud destinó 13 millones 341 mil 740 pesos, para el equipamiento de infraestructura;  así mismo la Servicios de Salud  del Estado de Oaxaca devengó  575 mil 687 pesos para equipamiento de una Unidad de Hospitalización en Huajuapan de León.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Con transferencias del Ramo 16 Medio Ambiente y Recursos Naturales se devengaron 50 millones 932 mil 381 pesos; de los cuales corresponden a la Comisión Estatal del Agua la cantidad de 46 millones 856 mil 248 pesos, para los programas de:  Agua Limpia, Agua Potable, Alcantarillado y Saneamiento en Zonas Rurales; Programa para la Sostenibilidad de los Servicios de Agua Potable y Saneamiento en Comunidades Rurales; Programa para el Tratamiento de Aguas Residuales, entre otros; mediante Los Servicios de Agua Potable y Alcantarillado de Oaxaca se devengaron 3 millones 842 mil 905 pesos, para los programas de Agua Potable, Alcantarillado y Saneamiento en Zonas Urbanas y Cultura del Agua; finalmente la Comisión Estatal Forestal devengó 233 mil 228 pesos.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Del Ramo General 23, se devengaron recursos por la cantidad de 548 millones 187 mil 65 pesos los cuales se devengaron, a través del Fondo Regional 352 millones 284 mil  767 pesos,  mediante el Fondo de Infraestructura Deportiva se destinó 4 millones 73 mil  751 pesos, con cargo al Fondo para la Accesibilidad en el Transporte  Público para personas con discapacidad, 2 millones 900 mil pesos, con el Fondo Sur Sureste se destinaron 5 millones 36 mil  453 pesos, para el programa de Fortalecimiento financiero se devengaron 71 millones 357 mil  364 pesos, en el Fondo de Proyectos de Desarrollo Regional se devengó  58 millones 655 mil 673 pesos, y finalmente dentro de Contingencias Económicas se destinaron 53 millones 879 mil 57 pesos.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Dentro de estos programas se incluye infraestructura siendo las obras más relevantes las siguientes: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Pavimentación de calles y trabajos de Urbanización en diversas localidades del Estado, Ampliación de red de distribución de energía eléctrica en diferentes municipios del Estado, Instalación de Módulos Solares Fotovoltaicos para energía eléctrica, Rehabilitación de vialidades urbanas, elaboración de estudios y proyectos para la construcción de sistemas de agua potable, suministro e instalación de bebederos en escuelas primarias, secundarias y telesecundarias.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lastRenderedPageBreak/>
        <w:t>En el sector salud se devengaron recursos para el servicio de transporte público adaptado para personas con discapacidad en el estado de Oaxaca; así como el fomento a la cultura física y deportiva a través de la  construcción  de la Unidad Deportiva de la agencia de San Andres Tlahuilotepec, continuación de la Unidad Deportiva de la Agencia De San Jose Quianitas, continuación de la Unidad Deportiva de la Agencia de Santiago Quiavigolo, construcción de Complejo Deportivo Zona Poniente, En Oaxaca De Juárez, Oaxaca (Estadio De Futbol), Construcción De La Unidad Deportiva "Aquiles Córdova Moran", entre otros.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Para el sector de agua y saneamiento básico se devengaron recursos  en diversas obras y acciones como es la elaboración de Estudio de pre-inversión para mejorar el cauce y la imagen urbana de las riberas del río salado.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En el sector de transportes se realizaron la construcción del puente vehicular "Guadalupe" ubicado en camino: San Martín Peras - Barrio La Laguna - Guadalupe Peras, la construcción del camino e.c. km 79+760 (Santiago Amoltepec - Santiago Textitlán - San José el frijol) paraje portillo - barranca el coquito - agua zarca - San José el frijol - río ciruelo, tramo km 0+000 al km 24+000, subtramo del km 8+000 al km 10+000. También la construcción del camino de acceso al predio de reubicación en Santo Domingo Yojovi, agencia de San Andrés Solaga, tramo del km. 0+000 al km. 1+040, la conservación de la carretera Tlacolula de Matamoros-Díaz Ordaz-Cuajimoloyas-llano grande-San Pedro Cajonos-villa alta, tramo del km 0+000 al km 130+000, subtramo del km 20+000 al km 70+000, tramos parciales, la reconstrucción de la carretera e.c.(Oaxaca- Huajuapan de león )- Santiago Tejupan- San Juan Bautista Coixtlahuaca tramo del km 0+000 al km 22+000 tramos parciales, reconstrucción de la carretera Sola de Vega-Cerro del Vidrio-Puerto Escondido tramo del km 78+800 al km 246+000, subtramo cerro del Vidrio-Puerto Escondido del km 160+000 al km 246+000 tramos parciales y la reconstrucción de la carretera Silacayoapám - Ixpantepec Nieves - e.c. (Hujuapam - Juxtlahuaca), del km 0+000 al km 28+000, por mencionar algunas.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Con la aplicación de los recursos a cargo de los Municipios se tiene las obras siguientes: Construcción del puente vehicular "Guadalupe" ubicado en: camino San Martín Peras - Barrio La Laguna - Guadalupe Peras; Construcción del puente vehicular: en el  Km 1+065.79 de la calle Cristóbal Colón, Sobre Arroyo El Higo; también para la ampliación y modernización del camino: Villa Sola De Vega-Gulera-El Común; Tramo Del Km 0+000 Al Km 8+500, Subtramo a construir del Km 1+000 Al Km 4+000; Ampliación de la  Red De Distribución de energía eléctrica; ampliación y rehabilitación de la red de alcantarillado sanitario, Ampliación y contruccion de Sistemas de agua potable;  ampliación del centro de atención integral a niñas, niños y adolescentes Rusibani (Estancia Temporal); rehabilitación de auditorio multifuncional, en el municipio De Salina Cruz; construcción y equipamiento de aula de medios en el </w:t>
      </w:r>
      <w:r w:rsidRPr="00E81C69">
        <w:rPr>
          <w:rFonts w:ascii="Arial" w:hAnsi="Arial" w:cs="Arial"/>
          <w:kern w:val="2"/>
          <w:lang w:eastAsia="en-US"/>
        </w:rPr>
        <w:lastRenderedPageBreak/>
        <w:t xml:space="preserve">bachillerato integral comunitario 04 clave 20EBD0004Z;  Construcción de Unidad Médica Rural No 227 De San Bernardo Mixtepec; alumbrado público a base de luminaria solar tipo leds del tramo centro de Tehuantepec-La Brecha, en el municipio de Santo Domingo Tehuantepec, luminarias y postes, así mismo construcción de drenajes sanitarios, entre otros.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Entes ejecutores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Los recursos de inversión pública devengados  en el  primer trimestre del año 2016 fueron aplicados por el Poder Judicial a través del Tribunal Superior de Justicia; y del Poder Ejecutivo a través de las dependencias y entidades de la Administración Pública, órganos autónomos y Municipios.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A continuación se desagregan los recursos ejercidos por estos entes públicos en el capítulo de Gasto de Capital, desglosando el importe, la fuente y las acciones en las que fueron aplicados.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Poder Judicial</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Tribunal Superior de Justicia  devengó 36 millones 451 mil 33 pesos de recursos estatales para la centro de justicia Ejutla de Crespo oax-16-2014-5000-B, el centro de justicia Huajuapán  oax-22-2014-5000-B, centro de justicia Putla Villa de Guerrero oax-20-2014-5000-B, centro de justicia Tanivet oax-19-2014-5000-B</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Poder Ejecutivo</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Administración Pública Centralizada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Procuraduría General de Justicia devengó recursos por la cantidad de 22 millones 409 mil 204 pesos recursos provenientes del Ramo General 33, destinados al Nuevo Sistema de  Justicia Penal.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Secretaría de las Infraestructuras y el Ordenamiento Territorial Sustentable, en el primer trimestre del cierre de la administración se destinaron recursos por la cantidad de 332 millones 299 mil 661 pesos, estatales por la cantidad de 257 millones 384 mil 243 pesos, del ramo 33, 16 millones 426 mil 57 pesos y federales por 58 millones 489 mil 361 pesos; en la parte estatal se destinaron para obras de ampliaciones de redes de energía eléctrica, centro de recreación "Venustiano Carranza" y construcción de centro de recreación y acondicionamiento deportivo "Venustiano Carranza" (5ª. etapa), construcción de complejo deportivo zona poniente (unidad deportiva) 4ª. etapa, pago de licencia y permisos de materia de desarrollo urbano, pavimentación con concreto hidráulico; en lo que respecta al ramo 33, se llevan a cabo obras de obras de </w:t>
      </w:r>
      <w:r w:rsidRPr="00E81C69">
        <w:rPr>
          <w:rFonts w:ascii="Arial" w:hAnsi="Arial" w:cs="Arial"/>
          <w:kern w:val="2"/>
          <w:lang w:eastAsia="en-US"/>
        </w:rPr>
        <w:lastRenderedPageBreak/>
        <w:t>ampliaciones de la redes de energía eléctrica, construcciones de alumbrado público sustentable,  pavimentación con concreto hidráulico, construcción de techado de plazas cívicas y canchas de usos múltiples; con respecto al ramo 23 Provisiones Salariales y Económicas, se aplicaron recursos en ampliaciones y mejoramiento de las redes de energía eléctrica, construcción de biblioteca y salón de usos múltiples de la facultad de derecho y ciencias sociales de la UABJO (1ª. etapa), construcción de complejo deportivo zona poniente, en Oaxaca de Juárez, Oaxaca (estadio de futbol), incluyendo las gradas del campo de béisbol y la construcción de unidades deportivas.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Secretaría de Turismo y Desarrollo Económico en el primer trimestre del cierre de la administración, destino recursos por la cantidad de 189 millones 683 mil 198 pesos, estatales por la cantidad de  187 millones 599 mil 967 pesos y federales por 2 millones 83 mil 231 pesos, de los cuales en el primer rubro se llevaron a cabo en campañas publicitarias y eventos en promoción y desarrollo turístico 2015, construcción de parador turístico carretero en el vidrio, Santa Catarina Juquila, festivales culturales 2015, apoyo del mezcal y productores agroindustriales, mejoramiento de imagen urbana de cuajimoloyas 2ª. etapa, equipamiento de paradores turísticos, programa de profesionalización del sector turístico, apoyo al turista y el señalamiento y tematización de rutas; al ramo 23 Provisiones Salariales y Económicas, se aplicaron recursos para un estudio de factibilidad para establecer industrias ligeras en la región del istmo de tehuantepec.</w:t>
      </w:r>
    </w:p>
    <w:p w:rsidR="00E81C69" w:rsidRP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Secretaria de las Culturas y Artes de Oaxaca en el primer trimestre del cierre de la administración, destino recursos por la cantidad de 12 millones 110 mil 737 pesos, estatales por la cantidad de  3 millones 596 mil 459 pesos y federales por 8 millones 514 mil 278 pesos, los recursos estatales fueron aplicados de la siguiente manera; talleres infantiles y juveniles de formación artística, presentación de actividades, conciertos y la presentación de la compañía estatal de danza contemporánea y costumbrista, realización de la muestra internacional de danza Oaxaca, actividades artísticas y culturales en eventos especiales e impulso al desarrollo artístico y la realización de Oaxaca cine 2016; en la parte que corresponde a los recursos federales se distribuyeron de la siguiente manera: apoyo, capacitación y fortalecimiento en programas culturales (subsidio 2015), programa de apoyo a las culturas municipales y comunitarias (PACMyC aportación CONACULTA emisión 2015), programa de desarrollo cultural municipal (federal), realización de actividades y programas para el fortalecimiento artístico cultural y el sistema estatal de casas de cultura y casas del pueblo (subsidio 2015).</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A través de la  Secretaria de Desarrollo Agropecuario, Pesca y Acuacultura en el primer trimestre del cierre de la administración, destinó recursos por la cantidad de 31 millones 816 mil 701 pesos, estatales en su totalidad y distribuyéndose en los siguientes conceptos; construcción de infraestructura agrícola en huertos comunitarios </w:t>
      </w:r>
      <w:r w:rsidRPr="00E81C69">
        <w:rPr>
          <w:rFonts w:ascii="Arial" w:hAnsi="Arial" w:cs="Arial"/>
          <w:kern w:val="2"/>
          <w:lang w:eastAsia="en-US"/>
        </w:rPr>
        <w:lastRenderedPageBreak/>
        <w:t>y presas, cría y explotación de ganado ovino, impulso  a  la producción de  maíz de grano y el impulso y fortalecimiento de los sistemas de transformación del maíz.</w:t>
      </w:r>
    </w:p>
    <w:p w:rsidR="00E81C69" w:rsidRP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Por su parte la Secretaria de Administración en el primer trimestre del cierre de la administración, destino recursos por la cantidad de 63 millones 102 mil 297 pesos, estatales por la cantidad de  4 millones 446 mil 624 pesos y federales por 58 millones 655 mil 624 pesos, entre recurso estatal y federal fueron destinados a el apoyo a la movilidad urbana y renovación del parque vehicular en Oaxaca.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El Secretariado Ejecutivo del Sistema Estatal de Seguridad Pública en el primer trimestre del cierre de la administración, destino recursos por la cantidad de 72 millones 210 mil 597 pesos, estatales por la cantidad de  4 millones 602 mil 697 pesos y federales por 67 millones 607 mil 900 pesos, los recursos estatales se derivan para el fortalecimiento de las capacidades y evaluación del FASP 2014, prevención social de la violencia y la delincuencia con participación ciudadana PNE 2014 – 2015, los siguientes programas convergen entre recursos estatales y federales, (justicia para las mujeres, fortalecimiento de las capacidades y evaluación, red nacional de telecomunicaciones, registro público vehicular, servicio de llamadas de emergencia 066 y de denuncia anónima 089, fortalecimiento de las capacidades humanas y tecnológicas del sistema penitenciario nacional, fortalecimiento de programas prioritarios locales de las instituciones de seguridad pública e impartición de justicia todos estos programas aplicándose con FASP 2015); del ramo 33 (sistema nacional de información (bases de datos), instrumentación de la estrategia en el combate al secuestro (uecs), profesionalización de las instituciones de seguridad pública de la misma manera con FASP 2015).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Organismos Públicos Descentralizados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Caminos y Aeropistas de Oaxaca  devengo recursos por la cantidad de 196 millones 475 mil 436 pesos, de los cuales  71 millones 346 mil 525 pesos corresponden a recursos estatales,61 millones 426 mil 569 pesos a recursos del Ramo 33, 63 millones 702 mil 342 pesos de transferencias federales, de las cuales 54 millones 421 mil 901 pesos provenientes del Ramo General 23, 7 millones 126 mil 233 pesos del Ramo 6, específicamente del  Programa de Infraestructura Indígena (PROII), 2 millones 154 mil 209 del Ramo 9, Capufe.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Los recursos estatales se  destinaron principalmente para la ejecución de programas de conservación de caminos rurales y carreteras alimentadoras; reconstrucción de vialidades urbanas y rurales en diferentes regiones del estado y la elaboración de estudios y proyectos; dentro de las principales acciones que se ejecutaron con cargo al recurso federal se encuentran: conservación de la carretera Mariscala de Juárez- Santiago Tamazola-Santa Cruz de Bravo- Calihuala- San Francisco Tlalpancingo, </w:t>
      </w:r>
      <w:r w:rsidRPr="00E81C69">
        <w:rPr>
          <w:rFonts w:ascii="Arial" w:hAnsi="Arial" w:cs="Arial"/>
          <w:kern w:val="2"/>
          <w:lang w:eastAsia="en-US"/>
        </w:rPr>
        <w:lastRenderedPageBreak/>
        <w:t>tramo del km 65+000 al km 132+00 tramos parciales; conservación de la carretera Tlacolula de Matamoros-Díaz Ordaz-Cuajimoloyas-Llano Grande-San Pedro Cajonos-Villa Alta, tramo del km 0+000 al km 130+000, subtramo del km 20+000 al km 70+000, tramos parciales; conservación del camino La Venta-San Francisco Ozolotepec. tramo del km 0+000 al km 90+000 subtramo del km 0+000 al km 24+000, tramos parciales; conservación del camino San Juan Cotzocón-Santa María Puxmetacan--La Sabana- María Lombardo De Caso- e.c(Tuxtepec- Palomares) tramo del km 0+000 al km 84+000, subtramo Cotzocón- Puxmetacán del km 0+000 a km 39+000 tramos parciales; construcción de un puente vehicular e.c (autopista barranca larga- ventanilla)- Santa Catarina Coatlán; construcción del camino e.c. km 79+760 (Santiago Amoltepec - Santiago Textitlán - San José El Frijol) Paraje Portillo - Barranca El Coquito - Agua Zarca - San José El Frigol - Río Ciruelo, tramo km 0+000 al km 24+000, subtramo del km 8+000 al km 10+000;  construcción del puente vehicular sobre camino Sabinillo Peña Colorada ubicada en el km 0+182.88 segunda etapa; estudio de prefactibilidad para la modernización y ampliación de la carretera Tehuacán-Puebla-Zapotitlán Salinas Puebla-Santiago Chazumba Oaxaca-Santiago Miltepec Oaxaca- Santiago Huajolotitlán Oaxaca- Huajuapan De León Oaxaca; reconstrucción de la carretera Putla de Guerrero - Constancia del Rosario - Sabana del km 16+500 al km 33+000;  reconstrucción de la carretera e.c.(Oaxaca- Huajuapan De Leon )- Santiago Tejupan- San Juan Bautista Coixtlahuaca tramo del km 0+000 al km 22+000 tramos parciales. Entre otras.  Por ultimo las obras que fueron devengadas con recursos del Ramo 33 se encuentran las siguientes: conservacion del circuito de la viii zona militar del km 0+000 al km 1+579 segunda etapa;  mejoramiento de camino mogoñe a yerba santa; mejoramiento de camino Mogoñe Viejo a el zarzal, ramal San Antonio; mejoramiento de camino Ocotal a Chocolate, mejoramiento de camino ocotal a rio sol (yogoch); mejoramiento del camino rural Buena Vista a San pedro Apostol; mejoramiento del camino rural cabecera nueva a valfre, ramala la Paz Monte Verde;  mejoramiento del camino rural Candelaria Loxicha a Rio Molino; mejoramiento del camino rural carretero nuevo a Arroyo Chicali; mejoramiento del camino rural de Felipe Angeles a camino rural a Fresnos, por mencionar algunas.</w:t>
      </w: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El Centro de las Artes de San Agustín devengó recursos por un monto de  170 mil 652 pesos,  para la realización de eventos culturales y artísticos especializados y la realización de residencias, diplomados, talleres y cursos. </w:t>
      </w:r>
    </w:p>
    <w:p w:rsidR="00E81C69" w:rsidRP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Comisión Estatal de Cultura Física y Deporte  devengó recursos por la cantidad de 4 millones 463 mil 270 pesos de recursos estatales dichos recursos fueron aplicados en acciones de impulso de talentos y deportistas de alto rendimiento, en apoyo a metodólogos entrenadores, asociaciones y municipios, también en la organización de olimpiada en sus diferentes etapas así como en la organización y coordinación de bloques deportivos representativos, en la realización de eventos para la activación </w:t>
      </w:r>
      <w:r w:rsidRPr="00E81C69">
        <w:rPr>
          <w:rFonts w:ascii="Arial" w:hAnsi="Arial" w:cs="Arial"/>
          <w:kern w:val="2"/>
          <w:lang w:eastAsia="en-US"/>
        </w:rPr>
        <w:lastRenderedPageBreak/>
        <w:t xml:space="preserve">física de la población y en servicios deportivos para personas con capacidades diferentes.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Comisión Estatal de Vivienda  devengo recursos por 137 millones 468 mil 137 pesos; de los cuales 95 millones 46 mil 33 pesos se devengaron  a través de recursos estatales y 42 millones 422 mil 104 pesos corresponde a recursos del Ramo 33; para la ejecución de acciones de construcción de unidades de vivienda digna, construcción de sanitarios con biodigestores para el mejoramiento de la vivienda en diversos municipios del estado, en el equipamiento de estufas ecológicas para el mejoramiento de vivienda, también en varios municipios, así como en el suministro de materiales industrializados,  suministro de calentadores solares.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comisión Estatal del Agua  devengó recursos por la cantidad de 129 millones 525 mil 547 pesos,  de los cuales 8 millones 362 mil 200 pesos fueron recursos estatales,5 millones 562 mil 344 pesos correspondieron al Ramo 33 y 115 millones 601 mil 3 pesos a recursos federales; con la aportación estatal se aplicaron recursos para la construcción del sistema de alcantarillado sanitario, construcción de sistemas de agua potable. Con recursos federales se atendieron  obras de construcción, rehabilitación, ampliación de sistemas de agua potable, drenaje y alcantarillado sanitario, colectores, plantas de tratamiento de aguas residuales, instalación de equipos de desinfección, estudios y proyectos, suministros e instalación de bebederos escolares, rescate y regeneración de ríos y arroyos, por ultimo con recursos del Ramo 33 se ampliaron los servicios de agua potable, drenaje y Alcantarillado.</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Comisión Estatal Forestal destinó recursos por un total de 3 millones 432 mil 24 pesos, en el primer trimestre del 2016, de los cuales 3 millones 198 mil  796 pesos corresponden a recursos estatales y 233 mil 228 pesos correspondientes a recurso federal, los cuales fueron aplicados al control y combate de plagas y enfermedades forestales en las ocho regiones del estado, a la integración y operación de brigada oficial  de prevención, control y combate de incendios forestales en zonas  de alto riesgo y  tambien a la produccion de plantas en viveros tecnificados.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Instituto de Capacitación  y Productividad  Para el Trabajo del Estado de Oaxaca devengó un total de  896 mil 672 pesos en  la promoción y fomento a la capacitación para el trabajo.</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El Instituto de Jeventud del Estado de Oaxaca devengó la cantidad de 2 millones 847 mil 452 pesos, de los cuales 2 millones 788 mil 652 pesos provienen de recursos estatales y 58 mil 800 pesos fueron devengados de recursos federales mismo que se destinaron a  los programas de centros interactivos juveniles, al programa “Juventud Sana”,   tambien al programa estatal de apoyo a jovenes emprendedores "Autoempleo </w:t>
      </w:r>
      <w:r w:rsidRPr="00E81C69">
        <w:rPr>
          <w:rFonts w:ascii="Arial" w:hAnsi="Arial" w:cs="Arial"/>
          <w:kern w:val="2"/>
          <w:lang w:eastAsia="en-US"/>
        </w:rPr>
        <w:lastRenderedPageBreak/>
        <w:t>Juvenil", y "Leer te lleva donde quieras" y a la red nacional de programas de radio y televisión poder joven.</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Instituto del Patrimonio Cultural del Estado de Oaxaca devengó recursos por 3 millones 664 pesos de recursos estatales para la gerencia de proyecto y supervisión de obra "construcción de la ciudad de los archivos en Oaxaca."(3a. etapa).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Instituto Estatal de Educación para Adultos devengó 31 millones 639 mil 5 pesos de recurso estatal, mismos que fueron destinados al programa denominado educación para jóvenes y adultos en su campaña nacional de alfabetización y reducción del rezago educativo en el estado de Oaxaca.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Instituto Estatal De Educación Pública de Oaxaca destinó 7 millones 731 mil 855 pesos, provenientes del Ramo 33, para el equipamiento de escuelas publicas de nivel básico  en diversos municipios del Estado.</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Instituto Oaxaqueño Constructor de Infraestructura Física Educativa devengó recursos por 39 millones 178 mil 720 pesos de los cuales: 3 millones 811 mil 451 pesos son recursos estatales destinados para la construcción, reparación y equipamiento de espacios educativos como COBAOS, IEBOS y CBTIS, por mencionar algunos; 15 millones 933 mil 622 pesos correspondientes al Ramo General 33 los cuales se destinaron a obras de pesos construcción reparación y equipamiento en escuelas de nivel básico, como lo son primarias y secundarias; y 19 millones 433 mil 647 pesos de recursos federales con los cuales se realizaron obras de de construcción, mantenimiento y reparación de diferentes espacios educativos en bibliotecas, edificios destinados a la educación, entre otros.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Servicios De Agua Potable Y Alcantarillado De Oaxaca destinó la cantidad de 19 millones 729 mil 853 pesos de los cuales corresponden al recurso estatal 3 millones 588 mil 18 pesos,  y con recursos federales se asignó 16 millones 141 mil 835 pesos,  de los recursos estatales para la construcción de drenaje sanitario, pago de servicios ambientales a través de fondos concurrentes,  y rehabilitación de plantas de tratamiento de aguas residuales. Con recursos federales se realizaron acciones para   equipamiento y automatización del pozo granada en el macrosector San Juan Chapultepec, la realización de evento “cultura del agua” y el programa de modernización de sistemas de agua potable.</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575 mil 687 pesos se destinaron a través de los Servicios De Salud Del Estado De Oaxaca para el equipamiento de  Unidad De Hospitalización en la localidad de Heroica Ciudad De Huajapan De León.</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lastRenderedPageBreak/>
        <w:t>Por medio del Sistema para el Desarrollo Integral de la Familia, se devengaron recursos por la cantidad de 2 millones 900 mil pesos provenientes de recursos federales para el proyecto de integración y accesibilidad para las personas con discapacidad mediante la adquisición de vehículos adaptados.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Universidad de la Sierra Sur en el primer trimestre del cierre de la administración, destino recursos por la cantidad de 428 mil 619 pesos, estatales en su totalidad y ejecutándose en la construcción de un edificio de dos niveles para siete aulas y dos módulos de baños para la des de salud y la construcción de una planta de tratamiento de aguas residuales.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Universidad Tecnológica de la Mixteca en el primer trimestre del cierre de la administración, destino recursos por la cantidad de 7 mil 383 pesos, del ramo 33 llevándose a cabo en la reparación y mantenimiento de las losas de azoteas de los institutos de ciencias y humanidades, agroindustrias, en los edificios de laboratorios de electrónica avanzada y de servicios escolares.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Universidad Tecnológica de los Valles Centrales en el primer trimestre del cierre de la administración, destino recursos por la cantidad de 3 millones 408 mil 705 pesos, del rubro federal para la construcción y equipamiento de laboratorio de energías renovables y tecnologías bioalimentarias.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El Régimen Estatal de Protección Social en Salud en el primer trimestre del cierre de la administración, destino recursos por la cantidad de 13 millones 341 mil 740 pesos, siendo federal y aplicándose para el fortalecimiento de estrategias de atención a la nutrición y el equipamiento de infraestructura para ejecución del programa desarrollo humano oportunidades.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Fideicomisos Públicos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 xml:space="preserve">La Oficina de Convenciones y Visitantes de Oaxaca en el primer trimestre del cierre de la administración, destino recursos por la cantidad de 810 mil  pesos, estatales en su totalidad para campañas publicitarias para difundir y atraer eventos de turismo. </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t>Órganos Autónomos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La defensoría de los Derechos Humanos del Pueblo de Oaxaca devengó un total de 200 mil pesos, destinados a la prevención y defensa de los derechos humanos.</w:t>
      </w:r>
    </w:p>
    <w:p w:rsidR="00E81C69" w:rsidRPr="00E81C69" w:rsidRDefault="00E81C69" w:rsidP="00E81C69">
      <w:pPr>
        <w:spacing w:after="240"/>
        <w:contextualSpacing/>
        <w:jc w:val="both"/>
        <w:rPr>
          <w:rFonts w:ascii="Arial" w:hAnsi="Arial" w:cs="Arial"/>
          <w:kern w:val="2"/>
          <w:lang w:eastAsia="en-US"/>
        </w:rPr>
      </w:pPr>
    </w:p>
    <w:p w:rsidR="00A269EF" w:rsidRDefault="00A269EF">
      <w:pPr>
        <w:rPr>
          <w:rFonts w:ascii="Arial" w:hAnsi="Arial" w:cs="Arial"/>
          <w:b/>
          <w:kern w:val="2"/>
          <w:lang w:eastAsia="en-US"/>
        </w:rPr>
      </w:pPr>
      <w:r>
        <w:rPr>
          <w:rFonts w:ascii="Arial" w:hAnsi="Arial" w:cs="Arial"/>
          <w:b/>
          <w:kern w:val="2"/>
          <w:lang w:eastAsia="en-US"/>
        </w:rPr>
        <w:br w:type="page"/>
      </w:r>
    </w:p>
    <w:p w:rsidR="00E81C69" w:rsidRPr="00E81C69" w:rsidRDefault="00E81C69" w:rsidP="00E81C69">
      <w:pPr>
        <w:spacing w:after="240"/>
        <w:contextualSpacing/>
        <w:jc w:val="both"/>
        <w:rPr>
          <w:rFonts w:ascii="Arial" w:hAnsi="Arial" w:cs="Arial"/>
          <w:b/>
          <w:kern w:val="2"/>
          <w:lang w:eastAsia="en-US"/>
        </w:rPr>
      </w:pPr>
      <w:r w:rsidRPr="00E81C69">
        <w:rPr>
          <w:rFonts w:ascii="Arial" w:hAnsi="Arial" w:cs="Arial"/>
          <w:b/>
          <w:kern w:val="2"/>
          <w:lang w:eastAsia="en-US"/>
        </w:rPr>
        <w:lastRenderedPageBreak/>
        <w:t>Municipios</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r w:rsidRPr="00E81C69">
        <w:rPr>
          <w:rFonts w:ascii="Arial" w:hAnsi="Arial" w:cs="Arial"/>
          <w:kern w:val="2"/>
          <w:lang w:eastAsia="en-US"/>
        </w:rPr>
        <w:t>En lo que se refiere a la inversión pública por parte de los  municipios, en el primer trimestre del cierre de la administración estos aplicaron recursos que ascienden a 527 millones 817 mil 307 pesos, estatales por la cantidad de 132 millones 469 mil 180 pesos, del ramo 33, 6 millones 155 mil 99 pesos y federales por 389 millones 193 mil 28  pesos; entre la parte estatal y federal se destacan la mayoría de estas obras: construcción, rehabilitación y ampliación de redes de agua potable, perforación de pozo profundo, tanque elevado, drenaje sanitario, sanitarios con biodigestor, construcción y equipamiento de plantas de tratamiento de aguas residuales, construcción y ampliación de redes de energía eléctrica, paneles solares, construcción, modernización, ampliación y conservación de caminos y puentes,  construcción del centro de salud de 2 núcleos básicos, primera etapa, construcción de cuartos dormitorio y pavimentación con concreto hidráulico; por el ramo 33 se aplicaron para ampliaciones de redes de energía eléctrica y drenaje sanitario; en la parte federal fue de la siguiente manera, alumbrado público a base de luminaria solar tipo leds, construcción de primera etapa edificio u2-c en telebachillerato núm. 25, construcción de unidades médicas rurales, construcción y equipamiento de aula de medios en el bachillerato integral comunitario, construcción y equipamiento de una planta de tratamiento y valorización integral de residuos sólidos urbanos, elaboración de estudio para el centro de distribución alimentaria y la rehabilitación de auditorio multifuncional, en el municipio de salina cruz, Oaxaca.</w:t>
      </w: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r w:rsidRPr="00E81C69">
        <w:rPr>
          <w:rFonts w:ascii="Arial" w:hAnsi="Arial" w:cs="Arial"/>
          <w:noProof/>
          <w:kern w:val="2"/>
          <w:lang w:val="es-MX" w:eastAsia="es-MX"/>
        </w:rPr>
        <w:lastRenderedPageBreak/>
        <w:drawing>
          <wp:inline distT="0" distB="0" distL="0" distR="0">
            <wp:extent cx="5613400" cy="6647180"/>
            <wp:effectExtent l="38100" t="19050" r="25400" b="2032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6"/>
                    <a:srcRect/>
                    <a:stretch>
                      <a:fillRect/>
                    </a:stretch>
                  </pic:blipFill>
                  <pic:spPr bwMode="auto">
                    <a:xfrm>
                      <a:off x="0" y="0"/>
                      <a:ext cx="5613400" cy="6647180"/>
                    </a:xfrm>
                    <a:prstGeom prst="rect">
                      <a:avLst/>
                    </a:prstGeom>
                    <a:noFill/>
                    <a:ln w="9525">
                      <a:solidFill>
                        <a:schemeClr val="accent1"/>
                      </a:solidFill>
                      <a:miter lim="800000"/>
                      <a:headEnd/>
                      <a:tailEnd/>
                    </a:ln>
                  </pic:spPr>
                </pic:pic>
              </a:graphicData>
            </a:graphic>
          </wp:inline>
        </w:drawing>
      </w:r>
    </w:p>
    <w:p w:rsidR="00E81C69" w:rsidRPr="0002002E"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p>
    <w:p w:rsidR="00E81C69" w:rsidRPr="0002002E"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r w:rsidRPr="00E81C69">
        <w:rPr>
          <w:rFonts w:ascii="Arial" w:hAnsi="Arial" w:cs="Arial"/>
          <w:noProof/>
          <w:kern w:val="2"/>
          <w:lang w:val="es-MX" w:eastAsia="es-MX"/>
        </w:rPr>
        <w:drawing>
          <wp:inline distT="0" distB="0" distL="0" distR="0">
            <wp:extent cx="5613400" cy="4325620"/>
            <wp:effectExtent l="19050" t="0" r="635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srcRect/>
                    <a:stretch>
                      <a:fillRect/>
                    </a:stretch>
                  </pic:blipFill>
                  <pic:spPr bwMode="auto">
                    <a:xfrm>
                      <a:off x="0" y="0"/>
                      <a:ext cx="5613400" cy="4325620"/>
                    </a:xfrm>
                    <a:prstGeom prst="rect">
                      <a:avLst/>
                    </a:prstGeom>
                    <a:noFill/>
                    <a:ln w="9525">
                      <a:noFill/>
                      <a:miter lim="800000"/>
                      <a:headEnd/>
                      <a:tailEnd/>
                    </a:ln>
                  </pic:spPr>
                </pic:pic>
              </a:graphicData>
            </a:graphic>
          </wp:inline>
        </w:drawing>
      </w: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Default="00E81C69" w:rsidP="00E81C69">
      <w:pPr>
        <w:spacing w:after="240"/>
        <w:contextualSpacing/>
        <w:jc w:val="both"/>
        <w:rPr>
          <w:rFonts w:ascii="Arial" w:hAnsi="Arial" w:cs="Arial"/>
          <w:kern w:val="2"/>
          <w:lang w:eastAsia="en-US"/>
        </w:rPr>
      </w:pPr>
    </w:p>
    <w:p w:rsidR="00E81C69" w:rsidRPr="00E81C69" w:rsidRDefault="00E81C69" w:rsidP="00E81C69">
      <w:pPr>
        <w:spacing w:after="240"/>
        <w:contextualSpacing/>
        <w:jc w:val="both"/>
        <w:rPr>
          <w:rFonts w:ascii="Arial" w:hAnsi="Arial" w:cs="Arial"/>
          <w:kern w:val="2"/>
          <w:lang w:eastAsia="en-US"/>
        </w:rPr>
      </w:pPr>
    </w:p>
    <w:p w:rsidR="00FB23BE" w:rsidRPr="00E81C69" w:rsidRDefault="00FB23BE" w:rsidP="00E81C69">
      <w:pPr>
        <w:spacing w:after="240"/>
        <w:contextualSpacing/>
        <w:jc w:val="both"/>
        <w:rPr>
          <w:rFonts w:ascii="Arial" w:hAnsi="Arial" w:cs="Arial"/>
          <w:kern w:val="2"/>
          <w:lang w:eastAsia="en-US"/>
        </w:rPr>
      </w:pPr>
    </w:p>
    <w:p w:rsidR="00FB23BE" w:rsidRDefault="00FB23BE" w:rsidP="00FB23BE">
      <w:pPr>
        <w:spacing w:line="360" w:lineRule="auto"/>
        <w:jc w:val="both"/>
        <w:rPr>
          <w:rFonts w:ascii="Arial" w:hAnsi="Arial" w:cs="Arial"/>
          <w:spacing w:val="20"/>
          <w:sz w:val="23"/>
          <w:szCs w:val="23"/>
        </w:rPr>
      </w:pPr>
    </w:p>
    <w:p w:rsidR="00FB23BE" w:rsidRDefault="00FB23BE" w:rsidP="00FB23BE">
      <w:pPr>
        <w:spacing w:line="360" w:lineRule="auto"/>
        <w:jc w:val="both"/>
        <w:rPr>
          <w:rFonts w:ascii="Arial" w:hAnsi="Arial" w:cs="Arial"/>
          <w:spacing w:val="20"/>
          <w:sz w:val="23"/>
          <w:szCs w:val="23"/>
        </w:rPr>
      </w:pPr>
    </w:p>
    <w:p w:rsidR="005B10A6" w:rsidRDefault="005B10A6" w:rsidP="00A271FE">
      <w:pPr>
        <w:spacing w:after="240"/>
        <w:contextualSpacing/>
        <w:jc w:val="both"/>
        <w:rPr>
          <w:rFonts w:ascii="Arial" w:hAnsi="Arial" w:cs="Arial"/>
          <w:b/>
          <w:kern w:val="2"/>
          <w:lang w:eastAsia="en-US"/>
        </w:rPr>
      </w:pPr>
    </w:p>
    <w:p w:rsidR="00C66B44" w:rsidRDefault="00C66B44" w:rsidP="00A271FE">
      <w:pPr>
        <w:spacing w:after="240"/>
        <w:contextualSpacing/>
        <w:jc w:val="both"/>
        <w:rPr>
          <w:rFonts w:ascii="Arial" w:hAnsi="Arial" w:cs="Arial"/>
          <w:b/>
          <w:kern w:val="2"/>
          <w:lang w:eastAsia="en-US"/>
        </w:rPr>
      </w:pPr>
    </w:p>
    <w:p w:rsidR="00E81C69" w:rsidRPr="00174694" w:rsidRDefault="00E81C69" w:rsidP="00E81C69">
      <w:pPr>
        <w:contextualSpacing/>
        <w:jc w:val="both"/>
        <w:rPr>
          <w:rFonts w:ascii="Arial" w:eastAsia="Calibri" w:hAnsi="Arial" w:cs="Arial"/>
          <w:b/>
          <w:bCs/>
          <w:spacing w:val="20"/>
          <w:kern w:val="2"/>
          <w:lang w:eastAsia="es-MX"/>
        </w:rPr>
      </w:pPr>
      <w:r w:rsidRPr="00174694">
        <w:rPr>
          <w:rFonts w:ascii="Arial" w:eastAsia="Calibri" w:hAnsi="Arial" w:cs="Arial"/>
          <w:b/>
          <w:bCs/>
          <w:spacing w:val="20"/>
          <w:kern w:val="2"/>
          <w:lang w:eastAsia="es-MX"/>
        </w:rPr>
        <w:lastRenderedPageBreak/>
        <w:t>4.8.- FONDOS DE APORTACIONES FEDERALES</w:t>
      </w:r>
    </w:p>
    <w:p w:rsidR="00E81C69" w:rsidRPr="00174694" w:rsidRDefault="00E81C69" w:rsidP="00E81C69">
      <w:pPr>
        <w:contextualSpacing/>
        <w:jc w:val="both"/>
        <w:rPr>
          <w:rFonts w:ascii="Arial" w:eastAsia="Calibri" w:hAnsi="Arial" w:cs="Arial"/>
          <w:bCs/>
          <w:spacing w:val="20"/>
          <w:kern w:val="2"/>
          <w:lang w:eastAsia="es-MX"/>
        </w:rPr>
      </w:pPr>
    </w:p>
    <w:p w:rsidR="00E81C69" w:rsidRPr="007B1C6E" w:rsidRDefault="00E81C69" w:rsidP="00E81C69">
      <w:pPr>
        <w:contextualSpacing/>
        <w:jc w:val="both"/>
        <w:rPr>
          <w:rFonts w:ascii="Arial" w:hAnsi="Arial" w:cs="Arial"/>
          <w:kern w:val="2"/>
          <w:lang w:eastAsia="en-US"/>
        </w:rPr>
      </w:pPr>
      <w:r w:rsidRPr="007B1C6E">
        <w:rPr>
          <w:rFonts w:ascii="Arial" w:hAnsi="Arial" w:cs="Arial"/>
          <w:kern w:val="2"/>
          <w:lang w:eastAsia="en-US"/>
        </w:rPr>
        <w:t xml:space="preserve">La Ley de Coordinación Fiscal en su Capítulo V, establece los fines para los que se deben destinar los recursos provenientes de los 8 Fondos del Ramo 33, mismos que dada su naturaleza se registran como ingresos propios y por lo tanto son administrados y ejercidos conforme a la legislación estatal. En el periodo que se informa se devengó la cantidad de </w:t>
      </w:r>
      <w:r w:rsidR="00B570C7">
        <w:rPr>
          <w:rFonts w:ascii="Arial" w:hAnsi="Arial" w:cs="Arial"/>
          <w:kern w:val="2"/>
          <w:lang w:eastAsia="en-US"/>
        </w:rPr>
        <w:t>5</w:t>
      </w:r>
      <w:r w:rsidRPr="007B1C6E">
        <w:rPr>
          <w:rFonts w:ascii="Arial" w:hAnsi="Arial" w:cs="Arial"/>
          <w:kern w:val="2"/>
          <w:lang w:eastAsia="en-US"/>
        </w:rPr>
        <w:t xml:space="preserve"> mil </w:t>
      </w:r>
      <w:r w:rsidR="00B570C7">
        <w:rPr>
          <w:rFonts w:ascii="Arial" w:hAnsi="Arial" w:cs="Arial"/>
          <w:kern w:val="2"/>
          <w:lang w:eastAsia="en-US"/>
        </w:rPr>
        <w:t>927</w:t>
      </w:r>
      <w:r w:rsidRPr="007B1C6E">
        <w:rPr>
          <w:rFonts w:ascii="Arial" w:hAnsi="Arial" w:cs="Arial"/>
          <w:kern w:val="2"/>
          <w:lang w:eastAsia="en-US"/>
        </w:rPr>
        <w:t xml:space="preserve"> millones </w:t>
      </w:r>
      <w:r w:rsidR="00B570C7">
        <w:rPr>
          <w:rFonts w:ascii="Arial" w:hAnsi="Arial" w:cs="Arial"/>
          <w:kern w:val="2"/>
          <w:lang w:eastAsia="en-US"/>
        </w:rPr>
        <w:t>459</w:t>
      </w:r>
      <w:r w:rsidRPr="007B1C6E">
        <w:rPr>
          <w:rFonts w:ascii="Arial" w:hAnsi="Arial" w:cs="Arial"/>
          <w:kern w:val="2"/>
          <w:lang w:eastAsia="en-US"/>
        </w:rPr>
        <w:t xml:space="preserve"> mil </w:t>
      </w:r>
      <w:r w:rsidR="00B570C7">
        <w:rPr>
          <w:rFonts w:ascii="Arial" w:hAnsi="Arial" w:cs="Arial"/>
          <w:kern w:val="2"/>
          <w:lang w:eastAsia="en-US"/>
        </w:rPr>
        <w:t>448</w:t>
      </w:r>
      <w:r w:rsidRPr="007B1C6E">
        <w:rPr>
          <w:rFonts w:ascii="Arial" w:hAnsi="Arial" w:cs="Arial"/>
          <w:kern w:val="2"/>
          <w:lang w:eastAsia="en-US"/>
        </w:rPr>
        <w:t xml:space="preserve"> pesos, para la realización de los diversos programas que prevé el capítulo en mención y que son recibidos por el Estado conforme al calendario que emite el Gobierno Federal, distribuyéndose a las Dependencias y Entidades para su ejercicio, de acuerdo a sus requerimientos y a los fines para los que fueron autorizados. </w:t>
      </w:r>
    </w:p>
    <w:p w:rsidR="00E81C69" w:rsidRDefault="00E81C69" w:rsidP="00E81C69">
      <w:pPr>
        <w:contextualSpacing/>
        <w:jc w:val="both"/>
        <w:rPr>
          <w:rFonts w:ascii="Arial" w:eastAsia="Calibri" w:hAnsi="Arial" w:cs="Arial"/>
          <w:bCs/>
          <w:spacing w:val="20"/>
          <w:kern w:val="2"/>
          <w:lang w:eastAsia="es-MX"/>
        </w:rPr>
      </w:pPr>
    </w:p>
    <w:p w:rsidR="00E81C69" w:rsidRPr="00174694" w:rsidRDefault="00D258C5" w:rsidP="00E81C69">
      <w:pPr>
        <w:contextualSpacing/>
        <w:jc w:val="both"/>
        <w:rPr>
          <w:rFonts w:ascii="Arial" w:eastAsia="Calibri" w:hAnsi="Arial" w:cs="Arial"/>
          <w:bCs/>
          <w:spacing w:val="20"/>
          <w:kern w:val="2"/>
          <w:lang w:eastAsia="es-MX"/>
        </w:rPr>
      </w:pPr>
      <w:r w:rsidRPr="00D258C5">
        <w:rPr>
          <w:rFonts w:eastAsia="Calibri"/>
          <w:noProof/>
          <w:lang w:val="es-MX" w:eastAsia="es-MX"/>
        </w:rPr>
        <w:drawing>
          <wp:inline distT="0" distB="0" distL="0" distR="0">
            <wp:extent cx="5882005" cy="4866080"/>
            <wp:effectExtent l="19050" t="0" r="444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5882005" cy="4866080"/>
                    </a:xfrm>
                    <a:prstGeom prst="rect">
                      <a:avLst/>
                    </a:prstGeom>
                    <a:noFill/>
                    <a:ln w="9525">
                      <a:noFill/>
                      <a:miter lim="800000"/>
                      <a:headEnd/>
                      <a:tailEnd/>
                    </a:ln>
                  </pic:spPr>
                </pic:pic>
              </a:graphicData>
            </a:graphic>
          </wp:inline>
        </w:drawing>
      </w:r>
    </w:p>
    <w:p w:rsidR="00E81C69" w:rsidRPr="00174694" w:rsidRDefault="00E81C69" w:rsidP="00E81C69">
      <w:pPr>
        <w:contextualSpacing/>
        <w:jc w:val="both"/>
        <w:rPr>
          <w:rFonts w:ascii="Arial" w:eastAsia="Calibri" w:hAnsi="Arial" w:cs="Arial"/>
          <w:bCs/>
          <w:spacing w:val="20"/>
          <w:kern w:val="2"/>
          <w:lang w:eastAsia="es-MX"/>
        </w:rPr>
      </w:pPr>
    </w:p>
    <w:p w:rsidR="00E81C69" w:rsidRPr="00174694" w:rsidRDefault="00E81C69" w:rsidP="00E81C69">
      <w:pPr>
        <w:contextualSpacing/>
        <w:jc w:val="both"/>
        <w:rPr>
          <w:rFonts w:ascii="Arial" w:eastAsia="Calibri" w:hAnsi="Arial" w:cs="Arial"/>
          <w:bCs/>
          <w:spacing w:val="20"/>
          <w:kern w:val="2"/>
          <w:lang w:eastAsia="es-MX"/>
        </w:rPr>
      </w:pPr>
    </w:p>
    <w:p w:rsidR="00E81C69" w:rsidRPr="009451F1" w:rsidRDefault="00E81C69" w:rsidP="00E81C69">
      <w:pPr>
        <w:contextualSpacing/>
        <w:jc w:val="both"/>
        <w:rPr>
          <w:rFonts w:ascii="Arial" w:hAnsi="Arial" w:cs="Arial"/>
          <w:b/>
          <w:color w:val="000000" w:themeColor="text1"/>
          <w:spacing w:val="20"/>
          <w:kern w:val="24"/>
        </w:rPr>
      </w:pPr>
      <w:r w:rsidRPr="009451F1">
        <w:rPr>
          <w:rFonts w:ascii="Arial" w:hAnsi="Arial" w:cs="Arial"/>
          <w:b/>
          <w:color w:val="000000" w:themeColor="text1"/>
          <w:spacing w:val="20"/>
          <w:kern w:val="24"/>
        </w:rPr>
        <w:lastRenderedPageBreak/>
        <w:t xml:space="preserve">FONDO DE APORTACIONES PARA LA </w:t>
      </w:r>
      <w:r>
        <w:rPr>
          <w:rFonts w:ascii="Arial" w:hAnsi="Arial" w:cs="Arial"/>
          <w:b/>
          <w:color w:val="000000" w:themeColor="text1"/>
          <w:spacing w:val="20"/>
          <w:kern w:val="24"/>
        </w:rPr>
        <w:t>NOMINA EDUCATIVA Y GASTOS DE OPERACION</w:t>
      </w:r>
    </w:p>
    <w:p w:rsidR="00E81C69" w:rsidRDefault="00E81C69" w:rsidP="00E81C69">
      <w:pPr>
        <w:contextualSpacing/>
        <w:jc w:val="both"/>
        <w:rPr>
          <w:rFonts w:ascii="Arial" w:hAnsi="Arial" w:cs="Arial"/>
          <w:color w:val="000000" w:themeColor="text1"/>
          <w:spacing w:val="20"/>
          <w:kern w:val="24"/>
        </w:rPr>
      </w:pPr>
    </w:p>
    <w:p w:rsidR="00B570C7" w:rsidRDefault="00B570C7" w:rsidP="00B570C7">
      <w:pPr>
        <w:jc w:val="both"/>
        <w:rPr>
          <w:rFonts w:ascii="Arial" w:hAnsi="Arial" w:cs="Arial"/>
          <w:kern w:val="2"/>
          <w:lang w:eastAsia="en-US"/>
        </w:rPr>
      </w:pPr>
      <w:r w:rsidRPr="00B570C7">
        <w:rPr>
          <w:rFonts w:ascii="Arial" w:hAnsi="Arial" w:cs="Arial"/>
          <w:kern w:val="2"/>
          <w:lang w:eastAsia="en-US"/>
        </w:rPr>
        <w:t>Este fondo se asigna de manera exclusiva a los estados, para ejercer en materia de educación básica y normal  que estipula la Ley General de Educación y que la Ley de Coordinación Fiscal Federal y que  principalmente esta destinadas para cubrir el pago de los servicios personales  del personal que ocupa las plazas transferidas a los estados, en el marco del Acuerdo Nacional para la Modernización de la Educación Básica y los convenios que de conformidad con el mismo fueron formalizados por los estados.</w:t>
      </w:r>
    </w:p>
    <w:p w:rsidR="00B570C7" w:rsidRPr="00B570C7" w:rsidRDefault="00B570C7" w:rsidP="00B570C7">
      <w:pPr>
        <w:jc w:val="both"/>
        <w:rPr>
          <w:rFonts w:ascii="Arial" w:hAnsi="Arial" w:cs="Arial"/>
          <w:kern w:val="2"/>
          <w:lang w:eastAsia="en-US"/>
        </w:rPr>
      </w:pPr>
    </w:p>
    <w:p w:rsidR="00B570C7" w:rsidRDefault="00B570C7" w:rsidP="00B570C7">
      <w:pPr>
        <w:jc w:val="both"/>
        <w:rPr>
          <w:rFonts w:ascii="Arial" w:hAnsi="Arial" w:cs="Arial"/>
          <w:kern w:val="2"/>
          <w:lang w:eastAsia="en-US"/>
        </w:rPr>
      </w:pPr>
      <w:r w:rsidRPr="00B570C7">
        <w:rPr>
          <w:rFonts w:ascii="Arial" w:hAnsi="Arial" w:cs="Arial"/>
          <w:kern w:val="2"/>
          <w:lang w:eastAsia="en-US"/>
        </w:rPr>
        <w:t xml:space="preserve">Es importante señalar que los recursos son transferidos directamente por la federación a los beneficiarios, y que el Instituto Estatal de Educación Pública de Oaxaca (IEEPO) registra en el sistema contable (SINPRES2016) las acciones presupuestales y contables para que generar la información financiera del trimestre enero-marzo de 2016. </w:t>
      </w:r>
    </w:p>
    <w:p w:rsidR="00B570C7" w:rsidRPr="00B570C7" w:rsidRDefault="00B570C7" w:rsidP="00B570C7">
      <w:pPr>
        <w:jc w:val="both"/>
        <w:rPr>
          <w:rFonts w:ascii="Arial" w:hAnsi="Arial" w:cs="Arial"/>
          <w:kern w:val="2"/>
          <w:lang w:eastAsia="en-US"/>
        </w:rPr>
      </w:pPr>
    </w:p>
    <w:p w:rsidR="00B570C7" w:rsidRPr="00B570C7" w:rsidRDefault="00B570C7" w:rsidP="00B570C7">
      <w:pPr>
        <w:jc w:val="both"/>
        <w:rPr>
          <w:rFonts w:ascii="Arial" w:hAnsi="Arial" w:cs="Arial"/>
          <w:kern w:val="2"/>
          <w:lang w:eastAsia="en-US"/>
        </w:rPr>
      </w:pPr>
      <w:r w:rsidRPr="00B570C7">
        <w:rPr>
          <w:rFonts w:ascii="Arial" w:hAnsi="Arial" w:cs="Arial"/>
          <w:kern w:val="2"/>
          <w:lang w:eastAsia="en-US"/>
        </w:rPr>
        <w:t xml:space="preserve">En el trimestre enero-marzo 2016 se registro un presupuesto aprobado de </w:t>
      </w:r>
      <w:r w:rsidR="00C565B0">
        <w:rPr>
          <w:rFonts w:ascii="Arial" w:hAnsi="Arial" w:cs="Arial"/>
          <w:kern w:val="2"/>
          <w:lang w:eastAsia="en-US"/>
        </w:rPr>
        <w:t>20</w:t>
      </w:r>
      <w:r w:rsidRPr="00B570C7">
        <w:rPr>
          <w:rFonts w:ascii="Arial" w:hAnsi="Arial" w:cs="Arial"/>
          <w:kern w:val="2"/>
          <w:lang w:eastAsia="en-US"/>
        </w:rPr>
        <w:t xml:space="preserve"> mil </w:t>
      </w:r>
      <w:r w:rsidR="00C565B0">
        <w:rPr>
          <w:rFonts w:ascii="Arial" w:hAnsi="Arial" w:cs="Arial"/>
          <w:kern w:val="2"/>
          <w:lang w:eastAsia="en-US"/>
        </w:rPr>
        <w:t>177</w:t>
      </w:r>
      <w:r w:rsidRPr="00B570C7">
        <w:rPr>
          <w:rFonts w:ascii="Arial" w:hAnsi="Arial" w:cs="Arial"/>
          <w:kern w:val="2"/>
          <w:lang w:eastAsia="en-US"/>
        </w:rPr>
        <w:t xml:space="preserve"> millones </w:t>
      </w:r>
      <w:r w:rsidR="00C565B0">
        <w:rPr>
          <w:rFonts w:ascii="Arial" w:hAnsi="Arial" w:cs="Arial"/>
          <w:kern w:val="2"/>
          <w:lang w:eastAsia="en-US"/>
        </w:rPr>
        <w:t>897</w:t>
      </w:r>
      <w:r w:rsidRPr="00B570C7">
        <w:rPr>
          <w:rFonts w:ascii="Arial" w:hAnsi="Arial" w:cs="Arial"/>
          <w:kern w:val="2"/>
          <w:lang w:eastAsia="en-US"/>
        </w:rPr>
        <w:t xml:space="preserve"> mil </w:t>
      </w:r>
      <w:r w:rsidR="00C565B0">
        <w:rPr>
          <w:rFonts w:ascii="Arial" w:hAnsi="Arial" w:cs="Arial"/>
          <w:kern w:val="2"/>
          <w:lang w:eastAsia="en-US"/>
        </w:rPr>
        <w:t>773</w:t>
      </w:r>
      <w:r w:rsidRPr="00B570C7">
        <w:rPr>
          <w:rFonts w:ascii="Arial" w:hAnsi="Arial" w:cs="Arial"/>
          <w:kern w:val="2"/>
          <w:lang w:eastAsia="en-US"/>
        </w:rPr>
        <w:t xml:space="preserve"> pesos, de los cuales en lo que va de este trimestre se a devengado </w:t>
      </w:r>
      <w:r w:rsidR="00C565B0">
        <w:rPr>
          <w:rFonts w:ascii="Arial" w:hAnsi="Arial" w:cs="Arial"/>
          <w:kern w:val="2"/>
          <w:lang w:eastAsia="en-US"/>
        </w:rPr>
        <w:t xml:space="preserve">2 mil 695 </w:t>
      </w:r>
      <w:r w:rsidRPr="00B570C7">
        <w:rPr>
          <w:rFonts w:ascii="Arial" w:hAnsi="Arial" w:cs="Arial"/>
          <w:kern w:val="2"/>
          <w:lang w:eastAsia="en-US"/>
        </w:rPr>
        <w:t xml:space="preserve">millones </w:t>
      </w:r>
      <w:r w:rsidR="00C565B0">
        <w:rPr>
          <w:rFonts w:ascii="Arial" w:hAnsi="Arial" w:cs="Arial"/>
          <w:kern w:val="2"/>
          <w:lang w:eastAsia="en-US"/>
        </w:rPr>
        <w:t>810</w:t>
      </w:r>
      <w:r w:rsidRPr="00B570C7">
        <w:rPr>
          <w:rFonts w:ascii="Arial" w:hAnsi="Arial" w:cs="Arial"/>
          <w:kern w:val="2"/>
          <w:lang w:eastAsia="en-US"/>
        </w:rPr>
        <w:t xml:space="preserve"> mil </w:t>
      </w:r>
      <w:r w:rsidR="00C565B0">
        <w:rPr>
          <w:rFonts w:ascii="Arial" w:hAnsi="Arial" w:cs="Arial"/>
          <w:kern w:val="2"/>
          <w:lang w:eastAsia="en-US"/>
        </w:rPr>
        <w:t>582</w:t>
      </w:r>
      <w:r w:rsidRPr="00B570C7">
        <w:rPr>
          <w:rFonts w:ascii="Arial" w:hAnsi="Arial" w:cs="Arial"/>
          <w:kern w:val="2"/>
          <w:lang w:eastAsia="en-US"/>
        </w:rPr>
        <w:t xml:space="preserve"> pesos </w:t>
      </w:r>
    </w:p>
    <w:p w:rsidR="00B570C7" w:rsidRPr="00B570C7" w:rsidRDefault="00B570C7" w:rsidP="00E81C69">
      <w:pPr>
        <w:contextualSpacing/>
        <w:jc w:val="both"/>
        <w:rPr>
          <w:rFonts w:ascii="Arial" w:hAnsi="Arial" w:cs="Arial"/>
          <w:kern w:val="2"/>
          <w:lang w:eastAsia="en-US"/>
        </w:rPr>
      </w:pPr>
    </w:p>
    <w:p w:rsidR="00E81C69" w:rsidRPr="007B1C6E" w:rsidRDefault="00E81C69" w:rsidP="007B1C6E">
      <w:pPr>
        <w:contextualSpacing/>
        <w:jc w:val="both"/>
        <w:rPr>
          <w:rFonts w:ascii="Arial" w:hAnsi="Arial" w:cs="Arial"/>
          <w:b/>
          <w:kern w:val="2"/>
          <w:lang w:eastAsia="en-US"/>
        </w:rPr>
      </w:pPr>
      <w:r w:rsidRPr="007B1C6E">
        <w:rPr>
          <w:rFonts w:ascii="Arial" w:hAnsi="Arial" w:cs="Arial"/>
          <w:b/>
          <w:kern w:val="2"/>
          <w:lang w:eastAsia="en-US"/>
        </w:rPr>
        <w:t xml:space="preserve">FONDO DE APORTACIONES PARA LOS SERVICIOS DE SALUD. </w:t>
      </w:r>
    </w:p>
    <w:p w:rsidR="00A269EF" w:rsidRDefault="00A269EF" w:rsidP="00E81C69">
      <w:pPr>
        <w:contextualSpacing/>
        <w:jc w:val="both"/>
        <w:rPr>
          <w:rFonts w:ascii="Arial" w:hAnsi="Arial" w:cs="Arial"/>
          <w:b/>
          <w:kern w:val="2"/>
          <w:lang w:eastAsia="en-US"/>
        </w:rPr>
      </w:pPr>
    </w:p>
    <w:p w:rsidR="00C565B0" w:rsidRDefault="00C565B0" w:rsidP="00C565B0">
      <w:pPr>
        <w:jc w:val="both"/>
        <w:rPr>
          <w:rFonts w:ascii="Arial" w:hAnsi="Arial" w:cs="Arial"/>
          <w:kern w:val="2"/>
          <w:lang w:eastAsia="en-US"/>
        </w:rPr>
      </w:pPr>
      <w:r w:rsidRPr="00C565B0">
        <w:rPr>
          <w:rFonts w:ascii="Arial" w:hAnsi="Arial" w:cs="Arial"/>
          <w:kern w:val="2"/>
          <w:lang w:eastAsia="en-US"/>
        </w:rPr>
        <w:t xml:space="preserve">El fondo de Aportaciones para los Servicios de Salud, son recursos que están encaminados para cumplir  metas y objetivos del Gobierno Federal, donde la salud es una condicionante para detonar la calidad de vida en la población  vulnerable. </w:t>
      </w:r>
    </w:p>
    <w:p w:rsidR="00C565B0" w:rsidRPr="00C565B0" w:rsidRDefault="00C565B0" w:rsidP="00C565B0">
      <w:pPr>
        <w:jc w:val="both"/>
        <w:rPr>
          <w:rFonts w:ascii="Arial" w:hAnsi="Arial" w:cs="Arial"/>
          <w:kern w:val="2"/>
          <w:lang w:eastAsia="en-US"/>
        </w:rPr>
      </w:pPr>
    </w:p>
    <w:p w:rsidR="00C565B0" w:rsidRDefault="00C565B0" w:rsidP="00C565B0">
      <w:pPr>
        <w:jc w:val="both"/>
        <w:rPr>
          <w:rFonts w:ascii="Arial" w:hAnsi="Arial" w:cs="Arial"/>
          <w:kern w:val="2"/>
          <w:lang w:eastAsia="en-US"/>
        </w:rPr>
      </w:pPr>
      <w:r w:rsidRPr="00C565B0">
        <w:rPr>
          <w:rFonts w:ascii="Arial" w:hAnsi="Arial" w:cs="Arial"/>
          <w:kern w:val="2"/>
          <w:lang w:eastAsia="en-US"/>
        </w:rPr>
        <w:t xml:space="preserve">Este fondo, está dirigido a asegurar el acceso a los servicios en materia de salud con calidades, cuidando la promoción, protección y prevención, apegándose al programa sectorial de salud. </w:t>
      </w:r>
    </w:p>
    <w:p w:rsidR="00C565B0" w:rsidRPr="00C565B0" w:rsidRDefault="00C565B0" w:rsidP="00C565B0">
      <w:pPr>
        <w:jc w:val="both"/>
        <w:rPr>
          <w:rFonts w:ascii="Arial" w:hAnsi="Arial" w:cs="Arial"/>
          <w:kern w:val="2"/>
          <w:lang w:eastAsia="en-US"/>
        </w:rPr>
      </w:pPr>
    </w:p>
    <w:p w:rsidR="00C565B0" w:rsidRDefault="00C565B0" w:rsidP="00C565B0">
      <w:pPr>
        <w:jc w:val="both"/>
        <w:rPr>
          <w:rFonts w:ascii="Arial" w:hAnsi="Arial" w:cs="Arial"/>
          <w:kern w:val="2"/>
          <w:lang w:eastAsia="en-US"/>
        </w:rPr>
      </w:pPr>
      <w:r w:rsidRPr="00C565B0">
        <w:rPr>
          <w:rFonts w:ascii="Arial" w:hAnsi="Arial" w:cs="Arial"/>
          <w:kern w:val="2"/>
          <w:lang w:eastAsia="en-US"/>
        </w:rPr>
        <w:t>Para ello, los Servicios de Salud de Oaxaca, acorde al Plan Estatal de Gobierno 2010-2016 tiene los objetivos definidos para combatir la mortalidad materna y perinatal, prevención de enfermedades crónicas degenerativas, acciones de hábitos alimenticios, consulta externa, campañas permanentes de epidemiológicas a la población abierta y hospitalización; acciones de detección y atención del cáncer de la mujer (mama, cervico uterino de ovario); detección oportuna del virus del papiloma humano; exploraciones clínicas de mastografías, citologías vaginales, etc.</w:t>
      </w:r>
    </w:p>
    <w:p w:rsidR="00C565B0" w:rsidRPr="00C565B0" w:rsidRDefault="00C565B0" w:rsidP="00C565B0">
      <w:pPr>
        <w:jc w:val="both"/>
        <w:rPr>
          <w:rFonts w:ascii="Arial" w:hAnsi="Arial" w:cs="Arial"/>
          <w:kern w:val="2"/>
          <w:lang w:eastAsia="en-US"/>
        </w:rPr>
      </w:pPr>
    </w:p>
    <w:p w:rsidR="00A269EF" w:rsidRDefault="00C565B0" w:rsidP="00C565B0">
      <w:pPr>
        <w:jc w:val="both"/>
        <w:rPr>
          <w:rFonts w:ascii="Arial" w:hAnsi="Arial" w:cs="Arial"/>
          <w:kern w:val="2"/>
          <w:lang w:eastAsia="en-US"/>
        </w:rPr>
      </w:pPr>
      <w:r w:rsidRPr="00C565B0">
        <w:rPr>
          <w:rFonts w:ascii="Arial" w:hAnsi="Arial" w:cs="Arial"/>
          <w:kern w:val="2"/>
          <w:lang w:eastAsia="en-US"/>
        </w:rPr>
        <w:t xml:space="preserve">Para este trimestre enero-marzo 2016  se recibieron </w:t>
      </w:r>
      <w:r>
        <w:rPr>
          <w:rFonts w:ascii="Arial" w:hAnsi="Arial" w:cs="Arial"/>
          <w:kern w:val="2"/>
          <w:lang w:eastAsia="en-US"/>
        </w:rPr>
        <w:t>un</w:t>
      </w:r>
      <w:r w:rsidRPr="00C565B0">
        <w:rPr>
          <w:rFonts w:ascii="Arial" w:hAnsi="Arial" w:cs="Arial"/>
          <w:kern w:val="2"/>
          <w:lang w:eastAsia="en-US"/>
        </w:rPr>
        <w:t xml:space="preserve"> mil 68 millones 964 mil 249 pesos y se han ejercido </w:t>
      </w:r>
      <w:r>
        <w:rPr>
          <w:rFonts w:ascii="Arial" w:hAnsi="Arial" w:cs="Arial"/>
          <w:kern w:val="2"/>
          <w:lang w:eastAsia="en-US"/>
        </w:rPr>
        <w:t>791</w:t>
      </w:r>
      <w:r w:rsidRPr="00C565B0">
        <w:rPr>
          <w:rFonts w:ascii="Arial" w:hAnsi="Arial" w:cs="Arial"/>
          <w:kern w:val="2"/>
          <w:lang w:eastAsia="en-US"/>
        </w:rPr>
        <w:t xml:space="preserve"> millones </w:t>
      </w:r>
      <w:r>
        <w:rPr>
          <w:rFonts w:ascii="Arial" w:hAnsi="Arial" w:cs="Arial"/>
          <w:kern w:val="2"/>
          <w:lang w:eastAsia="en-US"/>
        </w:rPr>
        <w:t xml:space="preserve">269 </w:t>
      </w:r>
      <w:r w:rsidRPr="00C565B0">
        <w:rPr>
          <w:rFonts w:ascii="Arial" w:hAnsi="Arial" w:cs="Arial"/>
          <w:kern w:val="2"/>
          <w:lang w:eastAsia="en-US"/>
        </w:rPr>
        <w:t xml:space="preserve">mil </w:t>
      </w:r>
      <w:r>
        <w:rPr>
          <w:rFonts w:ascii="Arial" w:hAnsi="Arial" w:cs="Arial"/>
          <w:kern w:val="2"/>
          <w:lang w:eastAsia="en-US"/>
        </w:rPr>
        <w:t>459</w:t>
      </w:r>
      <w:r w:rsidRPr="00C565B0">
        <w:rPr>
          <w:rFonts w:ascii="Arial" w:hAnsi="Arial" w:cs="Arial"/>
          <w:kern w:val="2"/>
          <w:lang w:eastAsia="en-US"/>
        </w:rPr>
        <w:t xml:space="preserve"> pesos, quedando pendiente de </w:t>
      </w:r>
      <w:r w:rsidRPr="00C565B0">
        <w:rPr>
          <w:rFonts w:ascii="Arial" w:hAnsi="Arial" w:cs="Arial"/>
          <w:kern w:val="2"/>
          <w:lang w:eastAsia="en-US"/>
        </w:rPr>
        <w:lastRenderedPageBreak/>
        <w:t>ejercer para el resto</w:t>
      </w:r>
      <w:r>
        <w:rPr>
          <w:rFonts w:ascii="Arial" w:hAnsi="Arial" w:cs="Arial"/>
          <w:kern w:val="2"/>
          <w:lang w:eastAsia="en-US"/>
        </w:rPr>
        <w:t xml:space="preserve"> </w:t>
      </w:r>
      <w:r w:rsidRPr="00C565B0">
        <w:rPr>
          <w:rFonts w:ascii="Arial" w:hAnsi="Arial" w:cs="Arial"/>
          <w:kern w:val="2"/>
          <w:lang w:eastAsia="en-US"/>
        </w:rPr>
        <w:t>del ejercicio fiscal 2016</w:t>
      </w:r>
      <w:r>
        <w:rPr>
          <w:rFonts w:ascii="Arial" w:hAnsi="Arial" w:cs="Arial"/>
          <w:kern w:val="2"/>
          <w:lang w:eastAsia="en-US"/>
        </w:rPr>
        <w:t>,</w:t>
      </w:r>
      <w:r w:rsidRPr="00C565B0">
        <w:rPr>
          <w:rFonts w:ascii="Arial" w:hAnsi="Arial" w:cs="Arial"/>
          <w:kern w:val="2"/>
          <w:lang w:eastAsia="en-US"/>
        </w:rPr>
        <w:t xml:space="preserve"> </w:t>
      </w:r>
      <w:r>
        <w:rPr>
          <w:rFonts w:ascii="Arial" w:hAnsi="Arial" w:cs="Arial"/>
          <w:kern w:val="2"/>
          <w:lang w:eastAsia="en-US"/>
        </w:rPr>
        <w:t>277</w:t>
      </w:r>
      <w:r w:rsidRPr="00C565B0">
        <w:rPr>
          <w:rFonts w:ascii="Arial" w:hAnsi="Arial" w:cs="Arial"/>
          <w:kern w:val="2"/>
          <w:lang w:eastAsia="en-US"/>
        </w:rPr>
        <w:t xml:space="preserve"> millones </w:t>
      </w:r>
      <w:r>
        <w:rPr>
          <w:rFonts w:ascii="Arial" w:hAnsi="Arial" w:cs="Arial"/>
          <w:kern w:val="2"/>
          <w:lang w:eastAsia="en-US"/>
        </w:rPr>
        <w:t>694</w:t>
      </w:r>
      <w:r w:rsidRPr="00C565B0">
        <w:rPr>
          <w:rFonts w:ascii="Arial" w:hAnsi="Arial" w:cs="Arial"/>
          <w:kern w:val="2"/>
          <w:lang w:eastAsia="en-US"/>
        </w:rPr>
        <w:t xml:space="preserve"> mil </w:t>
      </w:r>
      <w:r>
        <w:rPr>
          <w:rFonts w:ascii="Arial" w:hAnsi="Arial" w:cs="Arial"/>
          <w:kern w:val="2"/>
          <w:lang w:eastAsia="en-US"/>
        </w:rPr>
        <w:t>790</w:t>
      </w:r>
      <w:r w:rsidRPr="00C565B0">
        <w:rPr>
          <w:rFonts w:ascii="Arial" w:hAnsi="Arial" w:cs="Arial"/>
          <w:kern w:val="2"/>
          <w:lang w:eastAsia="en-US"/>
        </w:rPr>
        <w:t xml:space="preserve"> pesos en relación a los ingresos</w:t>
      </w:r>
      <w:r>
        <w:rPr>
          <w:rFonts w:ascii="Arial" w:hAnsi="Arial" w:cs="Arial"/>
          <w:kern w:val="2"/>
          <w:lang w:eastAsia="en-US"/>
        </w:rPr>
        <w:t>.</w:t>
      </w:r>
    </w:p>
    <w:p w:rsidR="00C565B0" w:rsidRPr="00C565B0" w:rsidRDefault="00C565B0" w:rsidP="00C565B0">
      <w:pPr>
        <w:jc w:val="both"/>
        <w:rPr>
          <w:rFonts w:ascii="Arial" w:hAnsi="Arial" w:cs="Arial"/>
          <w:kern w:val="2"/>
          <w:lang w:eastAsia="en-US"/>
        </w:rPr>
      </w:pPr>
    </w:p>
    <w:p w:rsidR="00E81C69" w:rsidRPr="007B1C6E" w:rsidRDefault="00E81C69" w:rsidP="00E81C69">
      <w:pPr>
        <w:contextualSpacing/>
        <w:jc w:val="both"/>
        <w:rPr>
          <w:rFonts w:ascii="Arial" w:hAnsi="Arial" w:cs="Arial"/>
          <w:b/>
          <w:kern w:val="2"/>
          <w:lang w:eastAsia="en-US"/>
        </w:rPr>
      </w:pPr>
      <w:r w:rsidRPr="007B1C6E">
        <w:rPr>
          <w:rFonts w:ascii="Arial" w:hAnsi="Arial" w:cs="Arial"/>
          <w:b/>
          <w:kern w:val="2"/>
          <w:lang w:eastAsia="en-US"/>
        </w:rPr>
        <w:t>FONDO DE APORTACIONES PARA LA INFRAESTRUCTURA SOCIAL</w:t>
      </w:r>
    </w:p>
    <w:p w:rsidR="00E81C69" w:rsidRPr="007B1C6E" w:rsidRDefault="00E81C69" w:rsidP="00E81C69">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La creación de este fondo está prevista en la Fracción III, Artículo 25 de la Ley de Coordinación Fiscal, para brindar apoyo en infraestructura básica en poblaciones de rezago social, y se divide a su vez en dos fondos: Fondo de Infraestructura Social para las Entidades y el Fondo de  Infraestructura Social Municipal y Demarcaciones Territoriales del Distrito Federal.</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b/>
          <w:kern w:val="2"/>
          <w:lang w:eastAsia="en-US"/>
        </w:rPr>
      </w:pPr>
      <w:r w:rsidRPr="007B1C6E">
        <w:rPr>
          <w:rFonts w:ascii="Arial" w:hAnsi="Arial" w:cs="Arial"/>
          <w:b/>
          <w:kern w:val="2"/>
          <w:lang w:eastAsia="en-US"/>
        </w:rPr>
        <w:t xml:space="preserve">Fondo de Infraestructura Social para las  Entidades </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Los recursos del Fondo de Infraestructura Social para las  Entidades (FISE), conforme a lo dispuesto en el Artículo 33 de la Ley de Coordinación Fiscal se destinaron exclusivamente al financiamiento de obras, acciones sociales básicas que beneficien preferentemente a la población de los municipios, demarcaciones territoriales y localidades que presente mayores niveles de rezago social y pobreza extrema en la entidad.</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Durante el primer trimestre del cierre del ejercicio fiscal 2016 se devengaron recursos de este fondo por la cantidad de </w:t>
      </w:r>
      <w:r w:rsidR="00F33749">
        <w:rPr>
          <w:rFonts w:ascii="Arial" w:hAnsi="Arial" w:cs="Arial"/>
          <w:kern w:val="2"/>
          <w:lang w:eastAsia="en-US"/>
        </w:rPr>
        <w:t xml:space="preserve">131 </w:t>
      </w:r>
      <w:r w:rsidRPr="007B1C6E">
        <w:rPr>
          <w:rFonts w:ascii="Arial" w:hAnsi="Arial" w:cs="Arial"/>
          <w:kern w:val="2"/>
          <w:lang w:eastAsia="en-US"/>
        </w:rPr>
        <w:t xml:space="preserve">millones </w:t>
      </w:r>
      <w:r w:rsidR="00F33749">
        <w:rPr>
          <w:rFonts w:ascii="Arial" w:hAnsi="Arial" w:cs="Arial"/>
          <w:kern w:val="2"/>
          <w:lang w:eastAsia="en-US"/>
        </w:rPr>
        <w:t>186</w:t>
      </w:r>
      <w:r w:rsidRPr="007B1C6E">
        <w:rPr>
          <w:rFonts w:ascii="Arial" w:hAnsi="Arial" w:cs="Arial"/>
          <w:kern w:val="2"/>
          <w:lang w:eastAsia="en-US"/>
        </w:rPr>
        <w:t xml:space="preserve"> mil </w:t>
      </w:r>
      <w:r w:rsidR="00F33749">
        <w:rPr>
          <w:rFonts w:ascii="Arial" w:hAnsi="Arial" w:cs="Arial"/>
          <w:kern w:val="2"/>
          <w:lang w:eastAsia="en-US"/>
        </w:rPr>
        <w:t>548</w:t>
      </w:r>
      <w:r w:rsidRPr="007B1C6E">
        <w:rPr>
          <w:rFonts w:ascii="Arial" w:hAnsi="Arial" w:cs="Arial"/>
          <w:kern w:val="2"/>
          <w:lang w:eastAsia="en-US"/>
        </w:rPr>
        <w:t xml:space="preserve"> pesos para la inversión pública.</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Caminos y Aeropistas de Oaxaca, devengó recursos del FISE por la cantidad de 58 millones 564 mil 49 pesos. Para el programa de Caminos rurales devengó 42 millones 739 mil 683 pesos  en obras como el mejoramiento del camino rural desviación de la Esperanza a San Martín Arroyo Concha; mejoramiento del camino rural desviación La Ermita a Tres Arroyos, mejoramiento del camino rural Montenegro a Arroyo Blanco, mejoramiento de camino Mogoñe viejo a el Zarzal, ramal San Antonio, mejoramiento de camino del entronque de (San Juan Guichicovi - Chocolate) a Lomería, mejoramiento de camino Mogoñe a Yerba Santa, mejoramiento de camino Ocotal a Ríio Sol (Yogoch), rehabilitación del camino Xinitioco - Santiago Nuxaño del km. 0+000 al km. 1+400, por mencionar algunos. </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Para el Programa de Carreteras Alimentadoras, devengó recursos por 15 millones 824 mil 366 pesos, los cuales se destinaron a obras como la modernización y ampliación del camino e.c. (Yucudaa-Pinotepa Nacional)-San José Xochixtlan tramo del km. 0+000 al km. 4+181.40, subtramo a   modernizar del km. 1+500 al km. 3+680, rehabilitación de la carretera Ixtlan De Juarez - San Bartolome Zoogocho, tramo del km 0+000 al km 58+000, subtramo a reconstruir del km 50+000 al km 52+000, rehabilitación de la carretera Ayutla - San Isidro Huayapam del km 0+000 al km </w:t>
      </w:r>
      <w:r w:rsidRPr="007B1C6E">
        <w:rPr>
          <w:rFonts w:ascii="Arial" w:hAnsi="Arial" w:cs="Arial"/>
          <w:kern w:val="2"/>
          <w:lang w:eastAsia="en-US"/>
        </w:rPr>
        <w:lastRenderedPageBreak/>
        <w:t>38+000 subtramo a reconstruir del km 0+000 al km 10+000, tramos parciales, rehabilitación de la Carretera La Venta - San Francisco Ozolotepec, tramo del km 0+000 al km 90+000, subtramo del km 0+000 al km 34+400, en tramos parciales, rehabilitación de la carretera Tecomaxtlahuaca - Coicoyan de las flores del km. 0+000 al km. 30+000.</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La Comisión Estatal de vivienda destinó recursos por 42 millones 422 mil 104 pesos  al programa de mejoramiento, construcción y reubicación de la vivienda, con obras como equipamiento de estufas ecológicas para el mejoramiento de vivienda en varios municipios del estado y la construcción de cuartos dormitorios para el mejoramiento de la vivienda en diversas localidades y la construcción de sanitarios con biodigestores para el mejoramiento de vivienda. </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Mediante la Comisión Estatal del Agua devengó la cantidad de 3 millones 91 mil  361 pesos, mismos que mismos que fueron destinados a los programas de Sistemas de Agua potable y de Sistemas de  alcantarillado; el primero con un recurso devengado de 2 millones 672 mil  306 pesos y el segundo con 419 mil 55 pesos.  </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En lo que respecta a la  Secretaría de las Infraestructuras y el Ordenamiento Territorial Sustentable, devengó la cantidad de 13 millones 328 mil  819 pesos, de los cuales 11 millones 884 mil  523 pesos se destinaron a de electrificación en diversos municipios; y un millón 444 mil 296 pesos en obras de alumbrado público.</w:t>
      </w:r>
    </w:p>
    <w:p w:rsidR="007B1C6E" w:rsidRPr="007B1C6E" w:rsidRDefault="007B1C6E" w:rsidP="007B1C6E">
      <w:pPr>
        <w:contextualSpacing/>
        <w:jc w:val="both"/>
        <w:rPr>
          <w:rFonts w:ascii="Arial" w:hAnsi="Arial" w:cs="Arial"/>
          <w:kern w:val="2"/>
          <w:lang w:eastAsia="en-US"/>
        </w:rPr>
      </w:pPr>
    </w:p>
    <w:p w:rsidR="00E81C69"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Por último en coinversión con los municipios se devengaron de este Fondo recursos por la cantidad de 6 millones 155 mil  98 pesos en la ejecución de ampliación de las de redes de distribución de energía eléctrica, y ampliación de sistemas de drenaje sanitario.</w:t>
      </w:r>
    </w:p>
    <w:p w:rsidR="00E81C69" w:rsidRPr="007B1C6E" w:rsidRDefault="00E81C69" w:rsidP="00E81C69">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b/>
          <w:kern w:val="2"/>
          <w:lang w:eastAsia="en-US"/>
        </w:rPr>
      </w:pPr>
      <w:r w:rsidRPr="007B1C6E">
        <w:rPr>
          <w:rFonts w:ascii="Arial" w:hAnsi="Arial" w:cs="Arial"/>
          <w:b/>
          <w:kern w:val="2"/>
          <w:lang w:eastAsia="en-US"/>
        </w:rPr>
        <w:t>FONDO DE APORTACIONES PARA EL FORTALECIMIENTO DE LOS MUNICIPIOS Y DE LAS DEMARCACIONES TERRITORIALES DEL DISTRITO FEDERAL.</w:t>
      </w:r>
    </w:p>
    <w:p w:rsidR="00E81C69" w:rsidRDefault="00E81C69" w:rsidP="00E81C69">
      <w:pPr>
        <w:contextualSpacing/>
        <w:jc w:val="both"/>
        <w:rPr>
          <w:rFonts w:ascii="Arial" w:hAnsi="Arial" w:cs="Arial"/>
          <w:kern w:val="2"/>
          <w:lang w:eastAsia="en-US"/>
        </w:rPr>
      </w:pPr>
    </w:p>
    <w:p w:rsidR="00C05E2F" w:rsidRDefault="00C05E2F" w:rsidP="00C05E2F">
      <w:pPr>
        <w:contextualSpacing/>
        <w:jc w:val="both"/>
        <w:rPr>
          <w:rFonts w:ascii="Arial" w:hAnsi="Arial" w:cs="Arial"/>
          <w:kern w:val="2"/>
          <w:lang w:eastAsia="en-US"/>
        </w:rPr>
      </w:pPr>
      <w:r w:rsidRPr="00C05E2F">
        <w:rPr>
          <w:rFonts w:ascii="Arial" w:hAnsi="Arial" w:cs="Arial"/>
          <w:kern w:val="2"/>
          <w:lang w:eastAsia="en-US"/>
        </w:rPr>
        <w:t>La creación de este fondo se fundamenta en la fracción IV del artículo 25</w:t>
      </w:r>
      <w:r>
        <w:rPr>
          <w:rFonts w:ascii="Arial" w:hAnsi="Arial" w:cs="Arial"/>
          <w:kern w:val="2"/>
          <w:lang w:eastAsia="en-US"/>
        </w:rPr>
        <w:t xml:space="preserve"> </w:t>
      </w:r>
      <w:r w:rsidRPr="00C05E2F">
        <w:rPr>
          <w:rFonts w:ascii="Arial" w:hAnsi="Arial" w:cs="Arial"/>
          <w:kern w:val="2"/>
          <w:lang w:eastAsia="en-US"/>
        </w:rPr>
        <w:t>de la Ley de Coordinación Fiscal; su mecanismo de cálculo y destino</w:t>
      </w:r>
      <w:r>
        <w:rPr>
          <w:rFonts w:ascii="Arial" w:hAnsi="Arial" w:cs="Arial"/>
          <w:kern w:val="2"/>
          <w:lang w:eastAsia="en-US"/>
        </w:rPr>
        <w:t xml:space="preserve"> </w:t>
      </w:r>
      <w:r w:rsidRPr="00C05E2F">
        <w:rPr>
          <w:rFonts w:ascii="Arial" w:hAnsi="Arial" w:cs="Arial"/>
          <w:kern w:val="2"/>
          <w:lang w:eastAsia="en-US"/>
        </w:rPr>
        <w:t>está contenido en los artículos 37 y 38 de la misma Ley; el total de los</w:t>
      </w:r>
      <w:r>
        <w:rPr>
          <w:rFonts w:ascii="Arial" w:hAnsi="Arial" w:cs="Arial"/>
          <w:kern w:val="2"/>
          <w:lang w:eastAsia="en-US"/>
        </w:rPr>
        <w:t xml:space="preserve"> </w:t>
      </w:r>
      <w:r w:rsidRPr="00C05E2F">
        <w:rPr>
          <w:rFonts w:ascii="Arial" w:hAnsi="Arial" w:cs="Arial"/>
          <w:kern w:val="2"/>
          <w:lang w:eastAsia="en-US"/>
        </w:rPr>
        <w:t>recursos autorizados se distribuye entre los Municipios del Estado, como</w:t>
      </w:r>
      <w:r>
        <w:rPr>
          <w:rFonts w:ascii="Arial" w:hAnsi="Arial" w:cs="Arial"/>
          <w:kern w:val="2"/>
          <w:lang w:eastAsia="en-US"/>
        </w:rPr>
        <w:t xml:space="preserve"> </w:t>
      </w:r>
      <w:r w:rsidRPr="00C05E2F">
        <w:rPr>
          <w:rFonts w:ascii="Arial" w:hAnsi="Arial" w:cs="Arial"/>
          <w:kern w:val="2"/>
          <w:lang w:eastAsia="en-US"/>
        </w:rPr>
        <w:t>apoyo a sus requerimientos y obligaciones financieras y a la atención de</w:t>
      </w:r>
      <w:r>
        <w:rPr>
          <w:rFonts w:ascii="Arial" w:hAnsi="Arial" w:cs="Arial"/>
          <w:kern w:val="2"/>
          <w:lang w:eastAsia="en-US"/>
        </w:rPr>
        <w:t xml:space="preserve"> </w:t>
      </w:r>
      <w:r w:rsidRPr="00C05E2F">
        <w:rPr>
          <w:rFonts w:ascii="Arial" w:hAnsi="Arial" w:cs="Arial"/>
          <w:kern w:val="2"/>
          <w:lang w:eastAsia="en-US"/>
        </w:rPr>
        <w:t>necesidades vinculadas a la seguridad pública de sus habitant es.</w:t>
      </w:r>
      <w:r>
        <w:rPr>
          <w:rFonts w:ascii="Arial" w:hAnsi="Arial" w:cs="Arial"/>
          <w:kern w:val="2"/>
          <w:lang w:eastAsia="en-US"/>
        </w:rPr>
        <w:t xml:space="preserve"> </w:t>
      </w:r>
    </w:p>
    <w:p w:rsidR="00C05E2F" w:rsidRDefault="00C05E2F" w:rsidP="00C05E2F">
      <w:pPr>
        <w:contextualSpacing/>
        <w:jc w:val="both"/>
        <w:rPr>
          <w:rFonts w:ascii="Arial" w:hAnsi="Arial" w:cs="Arial"/>
          <w:kern w:val="2"/>
          <w:lang w:eastAsia="en-US"/>
        </w:rPr>
      </w:pPr>
    </w:p>
    <w:p w:rsidR="00C05E2F" w:rsidRPr="007B1C6E" w:rsidRDefault="00C05E2F" w:rsidP="00C05E2F">
      <w:pPr>
        <w:contextualSpacing/>
        <w:jc w:val="both"/>
        <w:rPr>
          <w:rFonts w:ascii="Arial" w:hAnsi="Arial" w:cs="Arial"/>
          <w:kern w:val="2"/>
          <w:lang w:eastAsia="en-US"/>
        </w:rPr>
      </w:pPr>
      <w:r w:rsidRPr="00C05E2F">
        <w:rPr>
          <w:rFonts w:ascii="Arial" w:hAnsi="Arial" w:cs="Arial"/>
          <w:kern w:val="2"/>
          <w:lang w:eastAsia="en-US"/>
        </w:rPr>
        <w:t>En este rubro se asignaron recursos por la</w:t>
      </w:r>
      <w:r>
        <w:rPr>
          <w:rFonts w:ascii="Arial" w:hAnsi="Arial" w:cs="Arial"/>
          <w:kern w:val="2"/>
          <w:lang w:eastAsia="en-US"/>
        </w:rPr>
        <w:t xml:space="preserve"> </w:t>
      </w:r>
      <w:r w:rsidRPr="00C05E2F">
        <w:rPr>
          <w:rFonts w:ascii="Arial" w:hAnsi="Arial" w:cs="Arial"/>
          <w:kern w:val="2"/>
          <w:lang w:eastAsia="en-US"/>
        </w:rPr>
        <w:t xml:space="preserve">cantidad de </w:t>
      </w:r>
      <w:r>
        <w:rPr>
          <w:rFonts w:ascii="Arial" w:hAnsi="Arial" w:cs="Arial"/>
          <w:kern w:val="2"/>
          <w:lang w:eastAsia="en-US"/>
        </w:rPr>
        <w:t>340</w:t>
      </w:r>
      <w:r w:rsidRPr="00C05E2F">
        <w:rPr>
          <w:rFonts w:ascii="Arial" w:hAnsi="Arial" w:cs="Arial"/>
          <w:kern w:val="2"/>
          <w:lang w:eastAsia="en-US"/>
        </w:rPr>
        <w:t xml:space="preserve"> millones </w:t>
      </w:r>
      <w:r>
        <w:rPr>
          <w:rFonts w:ascii="Arial" w:hAnsi="Arial" w:cs="Arial"/>
          <w:kern w:val="2"/>
          <w:lang w:eastAsia="en-US"/>
        </w:rPr>
        <w:t>21</w:t>
      </w:r>
      <w:r w:rsidRPr="00C05E2F">
        <w:rPr>
          <w:rFonts w:ascii="Arial" w:hAnsi="Arial" w:cs="Arial"/>
          <w:kern w:val="2"/>
          <w:lang w:eastAsia="en-US"/>
        </w:rPr>
        <w:t xml:space="preserve"> mil </w:t>
      </w:r>
      <w:r>
        <w:rPr>
          <w:rFonts w:ascii="Arial" w:hAnsi="Arial" w:cs="Arial"/>
          <w:kern w:val="2"/>
          <w:lang w:eastAsia="en-US"/>
        </w:rPr>
        <w:t>700</w:t>
      </w:r>
      <w:r w:rsidRPr="00C05E2F">
        <w:rPr>
          <w:rFonts w:ascii="Arial" w:hAnsi="Arial" w:cs="Arial"/>
          <w:kern w:val="2"/>
          <w:lang w:eastAsia="en-US"/>
        </w:rPr>
        <w:t xml:space="preserve"> pesos.</w:t>
      </w:r>
    </w:p>
    <w:p w:rsidR="00E81C69" w:rsidRPr="007B1C6E" w:rsidRDefault="00E81C69" w:rsidP="007B1C6E">
      <w:pPr>
        <w:contextualSpacing/>
        <w:jc w:val="both"/>
        <w:rPr>
          <w:rFonts w:ascii="Arial" w:hAnsi="Arial" w:cs="Arial"/>
          <w:kern w:val="2"/>
          <w:lang w:eastAsia="en-US"/>
        </w:rPr>
      </w:pPr>
      <w:r w:rsidRPr="007B1C6E">
        <w:rPr>
          <w:rFonts w:ascii="Arial" w:hAnsi="Arial" w:cs="Arial"/>
          <w:kern w:val="2"/>
          <w:lang w:eastAsia="en-US"/>
        </w:rPr>
        <w:br w:type="page"/>
      </w:r>
    </w:p>
    <w:p w:rsidR="00E81C69" w:rsidRPr="00A269EF" w:rsidRDefault="00E81C69" w:rsidP="00E81C69">
      <w:pPr>
        <w:contextualSpacing/>
        <w:jc w:val="both"/>
        <w:rPr>
          <w:rFonts w:ascii="Arial" w:hAnsi="Arial" w:cs="Arial"/>
          <w:b/>
          <w:kern w:val="2"/>
          <w:lang w:eastAsia="en-US"/>
        </w:rPr>
      </w:pPr>
      <w:r w:rsidRPr="00A269EF">
        <w:rPr>
          <w:rFonts w:ascii="Arial" w:hAnsi="Arial" w:cs="Arial"/>
          <w:b/>
          <w:kern w:val="2"/>
          <w:lang w:eastAsia="en-US"/>
        </w:rPr>
        <w:lastRenderedPageBreak/>
        <w:t>FONDO DE APORTACIONES MÚLTIPLES</w:t>
      </w:r>
    </w:p>
    <w:p w:rsidR="00E81C69" w:rsidRPr="007B1C6E" w:rsidRDefault="00E81C69" w:rsidP="00E81C69">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El Fondo de Aportaciones Múltiples (FAM) está integrado por cuatro fondos: Asistencia Social (FAAS), Infraestructura Educativa Básica (FAIEB),  Infraestructura Educativa Superior (FAIES) e Infraestructura Educativa Media Superior (FAIEMS). En total para este fondo, durante el primer trimestre del cierre de la administración en el ejercicio 2016 se devengó la cantidad de 20 millones 114 mil  251 pesos</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b/>
          <w:kern w:val="2"/>
          <w:lang w:eastAsia="en-US"/>
        </w:rPr>
      </w:pPr>
      <w:r w:rsidRPr="007B1C6E">
        <w:rPr>
          <w:rFonts w:ascii="Arial" w:hAnsi="Arial" w:cs="Arial"/>
          <w:b/>
          <w:kern w:val="2"/>
          <w:lang w:eastAsia="en-US"/>
        </w:rPr>
        <w:t>Infraestructura Educativa Básica</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Conforme a lo dispuesto en el Artículo 40 de la Ley de Coordinación Fiscal, los recursos de este fondo deben destinarse a la construcción, equipamiento y rehabilitación de infraestructura física de los niveles de educación básica, por ello y en apego al citado ordenamiento, se ejecutaron recursos por la cantidad de  17 millones 844 mil 400 pesos, en acciones como las que se describen a continuación:</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A través del Instituto Oaxaqueño Constructor de Infraestructura Física Educativa en el primer trimestre del cierre de la administración, se ejecutaron 10 millones 112 mil 545 pesos en construcción y reparación de espacios educativos en diferentes escuelas del estado, como la construcción  de un aula, dos anexos y reparaciones generales en escuela primaria "Narciso Mendoza", construcción de dos aulas en j.n.i. "Guialguie", construcción de edificio administrativo en escuela secundaria general "Nuevo México", construcción de obra exterior en escuela secundaria técnica núm. 192, construcción de obra exterior en escuela secundaria técnica núm. 216 (col. panorámica), construcción de tres aulas en escuela primaria "Donaji" (Cruz Blanca, Barrio San Lucas), construcción de un laboratorio en escuela secundaria técnica no. 191, construcción de un laboratorio-taller en telesecundaria y reparaciones generales en escuela primaria “General Francisco J. Múgica", reparaciones generales en escuela secundaria técnica núm. 14 (internado) por mencionar algunas.</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Por medio del Instituto Estatal de Educación Pública de Oaxaca, en el primer trimestre del cierre de la administración se ejecutaron, 7 millones 731 mil 855 pesos en el equipamiento de escuelas del nivel básico.</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b/>
          <w:kern w:val="2"/>
          <w:lang w:eastAsia="en-US"/>
        </w:rPr>
      </w:pPr>
      <w:r w:rsidRPr="007B1C6E">
        <w:rPr>
          <w:rFonts w:ascii="Arial" w:hAnsi="Arial" w:cs="Arial"/>
          <w:kern w:val="2"/>
          <w:lang w:eastAsia="en-US"/>
        </w:rPr>
        <w:t xml:space="preserve"> </w:t>
      </w:r>
      <w:r w:rsidRPr="007B1C6E">
        <w:rPr>
          <w:rFonts w:ascii="Arial" w:hAnsi="Arial" w:cs="Arial"/>
          <w:b/>
          <w:kern w:val="2"/>
          <w:lang w:eastAsia="en-US"/>
        </w:rPr>
        <w:t>Infraestructura Educativa Superior </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El Fondo de Aportaciones para la Infraestructura Educativa  Superior  se constituye para la construcción, equipamiento y rehabilitación de infraestructura física en instituciones educativas de nivel superior, en este rubro se devengaron 2 millones 269 mil 851 pesos. Dicha cantidad se distribuyo de la siguiente manera:</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lastRenderedPageBreak/>
        <w:t>El Instituto Oaxaqueño Constructor de Infraestructura Física Educativa designó 2 millones 262 mil  468 pesos a la construcción de unidad académica departamental tipo III en instituto Tecnológico De Pochutla y para la construcción de un laboratorio pesado de concreto que albergara los talleres y laboratorios de las carreras de agricultura sustentable y protegida y procesos alimentarios en  Universidad Tecnológica de la Sierra Sur de Oaxaca.</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La  Universidad Tecnológica de la Mixteca devengó 7 mil 383 pesos en la reparación y mantenimiento de las losas de azoteas del instituto de ciencias y humanidades, del instituto de agroindustrias, del edificio de laboratorios de electrónica avanzada y  del edificio de servicios escolares.</w:t>
      </w:r>
    </w:p>
    <w:p w:rsidR="00E81C69" w:rsidRPr="007B1C6E" w:rsidRDefault="00E81C69" w:rsidP="00E81C69">
      <w:pPr>
        <w:contextualSpacing/>
        <w:jc w:val="both"/>
        <w:rPr>
          <w:rFonts w:ascii="Arial" w:hAnsi="Arial" w:cs="Arial"/>
          <w:kern w:val="2"/>
          <w:lang w:eastAsia="en-US"/>
        </w:rPr>
      </w:pPr>
    </w:p>
    <w:p w:rsidR="00E81C69" w:rsidRPr="007B1C6E" w:rsidRDefault="00E81C69" w:rsidP="007B1C6E">
      <w:pPr>
        <w:contextualSpacing/>
        <w:jc w:val="both"/>
        <w:rPr>
          <w:rFonts w:ascii="Arial" w:hAnsi="Arial" w:cs="Arial"/>
          <w:b/>
          <w:kern w:val="2"/>
          <w:lang w:eastAsia="en-US"/>
        </w:rPr>
      </w:pPr>
      <w:r w:rsidRPr="007B1C6E">
        <w:rPr>
          <w:rFonts w:ascii="Arial" w:hAnsi="Arial" w:cs="Arial"/>
          <w:b/>
          <w:kern w:val="2"/>
          <w:lang w:eastAsia="en-US"/>
        </w:rPr>
        <w:t>FONDO DE APORTACIONES PARA LA EDUCACIÓN  TECNOLÓGICA Y DE ADULTOS.</w:t>
      </w:r>
    </w:p>
    <w:p w:rsidR="00E81C69" w:rsidRDefault="00E81C69" w:rsidP="00E81C69">
      <w:pPr>
        <w:contextualSpacing/>
        <w:jc w:val="both"/>
        <w:rPr>
          <w:rFonts w:ascii="Arial" w:hAnsi="Arial" w:cs="Arial"/>
          <w:kern w:val="2"/>
          <w:lang w:eastAsia="en-US"/>
        </w:rPr>
      </w:pPr>
    </w:p>
    <w:p w:rsidR="00C05E2F" w:rsidRDefault="00C05E2F" w:rsidP="00C05E2F">
      <w:pPr>
        <w:contextualSpacing/>
        <w:jc w:val="both"/>
        <w:rPr>
          <w:rFonts w:ascii="Arial" w:hAnsi="Arial" w:cs="Arial"/>
          <w:kern w:val="2"/>
          <w:lang w:eastAsia="en-US"/>
        </w:rPr>
      </w:pPr>
      <w:r w:rsidRPr="00C05E2F">
        <w:rPr>
          <w:rFonts w:ascii="Arial" w:hAnsi="Arial" w:cs="Arial"/>
          <w:kern w:val="2"/>
          <w:lang w:eastAsia="en-US"/>
        </w:rPr>
        <w:t xml:space="preserve">El fondo se encuentra previsto dentro del ramo 33 y se contempla en la fracción VI del artículo 25 de la Ley de Coordinación Fiscal y en el Presupuesto de Egresos de la Federación. </w:t>
      </w:r>
    </w:p>
    <w:p w:rsidR="00C05E2F" w:rsidRPr="00C05E2F" w:rsidRDefault="00C05E2F" w:rsidP="00C05E2F">
      <w:pPr>
        <w:contextualSpacing/>
        <w:jc w:val="both"/>
        <w:rPr>
          <w:rFonts w:ascii="Arial" w:hAnsi="Arial" w:cs="Arial"/>
          <w:kern w:val="2"/>
          <w:lang w:eastAsia="en-US"/>
        </w:rPr>
      </w:pPr>
    </w:p>
    <w:p w:rsidR="00C05E2F" w:rsidRPr="00C05E2F" w:rsidRDefault="00C05E2F" w:rsidP="00C05E2F">
      <w:pPr>
        <w:contextualSpacing/>
        <w:jc w:val="both"/>
        <w:rPr>
          <w:rFonts w:ascii="Arial" w:hAnsi="Arial" w:cs="Arial"/>
          <w:kern w:val="2"/>
          <w:lang w:eastAsia="en-US"/>
        </w:rPr>
      </w:pPr>
      <w:r w:rsidRPr="00C05E2F">
        <w:rPr>
          <w:rFonts w:ascii="Arial" w:hAnsi="Arial" w:cs="Arial"/>
          <w:kern w:val="2"/>
          <w:lang w:eastAsia="en-US"/>
        </w:rPr>
        <w:t>El objetivo del fondo se enfoca en que los Estados presten los servicios de educación tecnológica y de educación para adultos para abatir el rezago educativo, en el caso del Estado de Oaxaca este es ejecutado por el Instituto Estatal de Educación para los Adultos (IEEA).</w:t>
      </w:r>
    </w:p>
    <w:p w:rsidR="00C05E2F" w:rsidRPr="00C05E2F" w:rsidRDefault="00C05E2F" w:rsidP="00C05E2F">
      <w:pPr>
        <w:contextualSpacing/>
        <w:jc w:val="both"/>
        <w:rPr>
          <w:rFonts w:ascii="Arial" w:hAnsi="Arial" w:cs="Arial"/>
          <w:kern w:val="2"/>
          <w:lang w:eastAsia="en-US"/>
        </w:rPr>
      </w:pPr>
    </w:p>
    <w:p w:rsidR="00C05E2F" w:rsidRPr="007B1C6E" w:rsidRDefault="00C05E2F" w:rsidP="00C05E2F">
      <w:pPr>
        <w:contextualSpacing/>
        <w:jc w:val="both"/>
        <w:rPr>
          <w:rFonts w:ascii="Arial" w:hAnsi="Arial" w:cs="Arial"/>
          <w:kern w:val="2"/>
          <w:lang w:eastAsia="en-US"/>
        </w:rPr>
      </w:pPr>
      <w:r w:rsidRPr="00C05E2F">
        <w:rPr>
          <w:rFonts w:ascii="Arial" w:hAnsi="Arial" w:cs="Arial"/>
          <w:kern w:val="2"/>
          <w:lang w:eastAsia="en-US"/>
        </w:rPr>
        <w:t xml:space="preserve">Para el ejercicio fiscal 2016 se aprobaron </w:t>
      </w:r>
      <w:r>
        <w:rPr>
          <w:rFonts w:ascii="Arial" w:hAnsi="Arial" w:cs="Arial"/>
          <w:kern w:val="2"/>
          <w:lang w:eastAsia="en-US"/>
        </w:rPr>
        <w:t>127</w:t>
      </w:r>
      <w:r w:rsidRPr="00C05E2F">
        <w:rPr>
          <w:rFonts w:ascii="Arial" w:hAnsi="Arial" w:cs="Arial"/>
          <w:kern w:val="2"/>
          <w:lang w:eastAsia="en-US"/>
        </w:rPr>
        <w:t xml:space="preserve"> millones </w:t>
      </w:r>
      <w:r>
        <w:rPr>
          <w:rFonts w:ascii="Arial" w:hAnsi="Arial" w:cs="Arial"/>
          <w:kern w:val="2"/>
          <w:lang w:eastAsia="en-US"/>
        </w:rPr>
        <w:t>866</w:t>
      </w:r>
      <w:r w:rsidRPr="00C05E2F">
        <w:rPr>
          <w:rFonts w:ascii="Arial" w:hAnsi="Arial" w:cs="Arial"/>
          <w:kern w:val="2"/>
          <w:lang w:eastAsia="en-US"/>
        </w:rPr>
        <w:t xml:space="preserve"> mil </w:t>
      </w:r>
      <w:r>
        <w:rPr>
          <w:rFonts w:ascii="Arial" w:hAnsi="Arial" w:cs="Arial"/>
          <w:kern w:val="2"/>
          <w:lang w:eastAsia="en-US"/>
        </w:rPr>
        <w:t>611</w:t>
      </w:r>
      <w:r w:rsidRPr="00C05E2F">
        <w:rPr>
          <w:rFonts w:ascii="Arial" w:hAnsi="Arial" w:cs="Arial"/>
          <w:kern w:val="2"/>
          <w:lang w:eastAsia="en-US"/>
        </w:rPr>
        <w:t xml:space="preserve"> pesos, de los cuales en lo que va del trimestre enero-marzo, se han </w:t>
      </w:r>
      <w:r>
        <w:rPr>
          <w:rFonts w:ascii="Arial" w:hAnsi="Arial" w:cs="Arial"/>
          <w:kern w:val="2"/>
          <w:lang w:eastAsia="en-US"/>
        </w:rPr>
        <w:t>denegado</w:t>
      </w:r>
      <w:r w:rsidRPr="00C05E2F">
        <w:rPr>
          <w:rFonts w:ascii="Arial" w:hAnsi="Arial" w:cs="Arial"/>
          <w:kern w:val="2"/>
          <w:lang w:eastAsia="en-US"/>
        </w:rPr>
        <w:t xml:space="preserve"> </w:t>
      </w:r>
      <w:r>
        <w:rPr>
          <w:rFonts w:ascii="Arial" w:hAnsi="Arial" w:cs="Arial"/>
          <w:kern w:val="2"/>
          <w:lang w:eastAsia="en-US"/>
        </w:rPr>
        <w:t>29</w:t>
      </w:r>
      <w:r w:rsidRPr="00C05E2F">
        <w:rPr>
          <w:rFonts w:ascii="Arial" w:hAnsi="Arial" w:cs="Arial"/>
          <w:kern w:val="2"/>
          <w:lang w:eastAsia="en-US"/>
        </w:rPr>
        <w:t xml:space="preserve"> millones </w:t>
      </w:r>
      <w:r>
        <w:rPr>
          <w:rFonts w:ascii="Arial" w:hAnsi="Arial" w:cs="Arial"/>
          <w:kern w:val="2"/>
          <w:lang w:eastAsia="en-US"/>
        </w:rPr>
        <w:t>416</w:t>
      </w:r>
      <w:r w:rsidRPr="00C05E2F">
        <w:rPr>
          <w:rFonts w:ascii="Arial" w:hAnsi="Arial" w:cs="Arial"/>
          <w:kern w:val="2"/>
          <w:lang w:eastAsia="en-US"/>
        </w:rPr>
        <w:t xml:space="preserve"> mil </w:t>
      </w:r>
      <w:r>
        <w:rPr>
          <w:rFonts w:ascii="Arial" w:hAnsi="Arial" w:cs="Arial"/>
          <w:kern w:val="2"/>
          <w:lang w:eastAsia="en-US"/>
        </w:rPr>
        <w:t>953 pesos</w:t>
      </w:r>
    </w:p>
    <w:p w:rsidR="00E81C69" w:rsidRPr="007B1C6E" w:rsidRDefault="00E81C69" w:rsidP="007B1C6E">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b/>
          <w:kern w:val="2"/>
          <w:lang w:eastAsia="en-US"/>
        </w:rPr>
      </w:pPr>
      <w:r w:rsidRPr="007B1C6E">
        <w:rPr>
          <w:rFonts w:ascii="Arial" w:hAnsi="Arial" w:cs="Arial"/>
          <w:b/>
          <w:kern w:val="2"/>
          <w:lang w:eastAsia="en-US"/>
        </w:rPr>
        <w:t>FONDO DE APORTACIONES PARA LA SEGURIDAD</w:t>
      </w:r>
      <w:r w:rsidR="00C05E2F">
        <w:rPr>
          <w:rFonts w:ascii="Arial" w:hAnsi="Arial" w:cs="Arial"/>
          <w:b/>
          <w:kern w:val="2"/>
          <w:lang w:eastAsia="en-US"/>
        </w:rPr>
        <w:t xml:space="preserve"> </w:t>
      </w:r>
      <w:r w:rsidRPr="007B1C6E">
        <w:rPr>
          <w:rFonts w:ascii="Arial" w:hAnsi="Arial" w:cs="Arial"/>
          <w:b/>
          <w:kern w:val="2"/>
          <w:lang w:eastAsia="en-US"/>
        </w:rPr>
        <w:t>PÚBLICA DE LOS ESTADOS Y DEL DISTRITO FEDERAL</w:t>
      </w:r>
    </w:p>
    <w:p w:rsidR="00E81C69" w:rsidRPr="007B1C6E" w:rsidRDefault="00E81C69" w:rsidP="00E81C69">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El Fondo de Aportaciones para la Seguridad Pública de los Estados y del Distrito Federal (FASP) se determina anualmente en el Presupuesto de Egresos de la Federación, utilizando para la distribución de los recursos 13 programas con prioridad nacional en materia de Seguridad Pública: Prevención Social de la Violencia y la Delincuencia con Participación Ciudadana, Fortalecimiento de las Capacidades de Evaluación en Control de Confianza, Profesionalización de las Instituciones de Seguridad Pública, Instrumentación de la Estrategia en el Combate al Secuestro (UECS), Implementación de Centros de Operación Estratégica (COE’S), Nuevo Sistema de Justicia Penal, Fortalecimiento de las Capacidades Humanas y Tecnológicas del Sistema Penitenciario Nacional, Red Nacional de Telecomunicaciones, Sistema Nacional de Información (Bases de Datos), Servicios de </w:t>
      </w:r>
      <w:r w:rsidRPr="007B1C6E">
        <w:rPr>
          <w:rFonts w:ascii="Arial" w:hAnsi="Arial" w:cs="Arial"/>
          <w:kern w:val="2"/>
          <w:lang w:eastAsia="en-US"/>
        </w:rPr>
        <w:lastRenderedPageBreak/>
        <w:t xml:space="preserve">Llamadas de Emergencia 066 y de Denuncia Anónima 089, Registro Público Vehicular, Evaluación de los Distintos Programas o Acciones, Fortalecimiento de Programas Prioritarios de las Instituciones Estatales de Seguridad Pública e Impartición de Justicia. </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La Seguridad Pública es un tema de suma importancia, dadas sus implicaciones en el desarrollo social y bienestar de la ciudadanía ha sido objeto de especial interés por parte del Ejecutivo Estatal. Por ello, a través de la Procuraduría General de Justicia del Estado y del Secretariado Ejecutivo del Sistema Estatal de Seguridad Pública, se ha trabajado conjuntamente con los sectores sociales con el fin de hacer del Estado de Oaxaca una ciudad segura y  libre de  impunidad así como mantener informada a la sociedad acerca de las metas logradas.</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El Fondo de Aportaciones para la Seguridad Publica correspondiente al Ramo 33, devengó un total de 90 millones 17 mil 10</w:t>
      </w:r>
      <w:r w:rsidR="00C05E2F">
        <w:rPr>
          <w:rFonts w:ascii="Arial" w:hAnsi="Arial" w:cs="Arial"/>
          <w:kern w:val="2"/>
          <w:lang w:eastAsia="en-US"/>
        </w:rPr>
        <w:t>4</w:t>
      </w:r>
      <w:r w:rsidRPr="007B1C6E">
        <w:rPr>
          <w:rFonts w:ascii="Arial" w:hAnsi="Arial" w:cs="Arial"/>
          <w:kern w:val="2"/>
          <w:lang w:eastAsia="en-US"/>
        </w:rPr>
        <w:t xml:space="preserve"> pesos, destinados al programa de Implementación del Sistema de  Justicia Penal Acusatorio principalmente en la capacitación básica para policía preventiva, acceso a la justicia para las mujeres, el fortalecimiento de las capacidades de evaluación en control de confianza, la red nacional de telecomunicaciones, registro </w:t>
      </w:r>
      <w:r w:rsidR="00283A27" w:rsidRPr="007B1C6E">
        <w:rPr>
          <w:rFonts w:ascii="Arial" w:hAnsi="Arial" w:cs="Arial"/>
          <w:kern w:val="2"/>
          <w:lang w:eastAsia="en-US"/>
        </w:rPr>
        <w:t>público</w:t>
      </w:r>
      <w:r w:rsidRPr="007B1C6E">
        <w:rPr>
          <w:rFonts w:ascii="Arial" w:hAnsi="Arial" w:cs="Arial"/>
          <w:kern w:val="2"/>
          <w:lang w:eastAsia="en-US"/>
        </w:rPr>
        <w:t xml:space="preserve"> vehicular, el fortalecimiento de programas prioritarios locales de las instituciones de seguridad </w:t>
      </w:r>
      <w:r w:rsidR="00283A27" w:rsidRPr="007B1C6E">
        <w:rPr>
          <w:rFonts w:ascii="Arial" w:hAnsi="Arial" w:cs="Arial"/>
          <w:kern w:val="2"/>
          <w:lang w:eastAsia="en-US"/>
        </w:rPr>
        <w:t>pública</w:t>
      </w:r>
      <w:r w:rsidRPr="007B1C6E">
        <w:rPr>
          <w:rFonts w:ascii="Arial" w:hAnsi="Arial" w:cs="Arial"/>
          <w:kern w:val="2"/>
          <w:lang w:eastAsia="en-US"/>
        </w:rPr>
        <w:t xml:space="preserve"> e impartición de justicia, instrumentación de la estrategia en el combate al secuestro y genética forense.</w:t>
      </w: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 </w:t>
      </w:r>
    </w:p>
    <w:p w:rsidR="00E81C69"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Del total de recursos devengados 67 millones 607 mil 901 pesos corresponden al Secretariado Ejecutivo del Sistema Estatal de Seguridad Pública, 22 millones 409 mil  204 pesos corresponden a la Procuraduría General de Justicia del Estado</w:t>
      </w:r>
    </w:p>
    <w:p w:rsidR="00E81C69" w:rsidRPr="007B1C6E" w:rsidRDefault="00E81C69" w:rsidP="00E81C69">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b/>
          <w:kern w:val="2"/>
          <w:lang w:eastAsia="en-US"/>
        </w:rPr>
      </w:pPr>
      <w:r w:rsidRPr="007B1C6E">
        <w:rPr>
          <w:rFonts w:ascii="Arial" w:hAnsi="Arial" w:cs="Arial"/>
          <w:b/>
          <w:kern w:val="2"/>
          <w:lang w:eastAsia="en-US"/>
        </w:rPr>
        <w:t>FONDO DE APORTACIONES PARA EL FORTALECIMIENTO DE LAS ENTIDADES FEDERATIVAS</w:t>
      </w:r>
    </w:p>
    <w:p w:rsidR="00E81C69" w:rsidRPr="007B1C6E" w:rsidRDefault="00E81C69" w:rsidP="00E81C69">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 xml:space="preserve">Los recursos del Fondo de Aportaciones para el Fortalecimiento de las Entidades Federativas (FAFEF), tienen por objeto fortalecer los presupuestos de las mismas destinándose a inversión en infraestructura física, incluyendo la construcción, reconstrucción, ampliación, mantenimiento y conservación de infraestructura; así como la adquisición de bienes para el equipamiento de obras generadas o adquiridas; infraestructura hidroagrícola, realización de estudios, elaboración y evaluación de proyectos, supervisión y control de obras de infraestructura; saneamiento financiero, saneamiento de pensiones, modernización de los registros públicos de la propiedad y del comercio locales, modernización de los catastros, modernización de los sistemas de recaudación locales para desarrollar mecanismos impositivos que permitan ampliar la base gravable de las contribuciones locales, y al fortalecimiento de los proyectos de investigación científica y desarrollo tecnológico, contribución a los fondos constituidos </w:t>
      </w:r>
      <w:r w:rsidRPr="007B1C6E">
        <w:rPr>
          <w:rFonts w:ascii="Arial" w:hAnsi="Arial" w:cs="Arial"/>
          <w:kern w:val="2"/>
          <w:lang w:eastAsia="en-US"/>
        </w:rPr>
        <w:lastRenderedPageBreak/>
        <w:t>por los Estados para apoyar proyectos de infraestructura concesionada o aquellos donde se combinen recursos públicos y privados; al pago de obras públicas de infraestructura que sean susceptibles de complementarse con inversión privada, en forma inmediata o futura, así como a estudios, proyectos, supervisión, liberación del derecho de vía, y otros bienes y servicios relacionados con las mismas, cumpliendo las condiciones establecidas en el Artículo 47 de la Ley de Coordinación Fiscal.</w:t>
      </w:r>
    </w:p>
    <w:p w:rsidR="007B1C6E" w:rsidRPr="007B1C6E" w:rsidRDefault="007B1C6E" w:rsidP="007B1C6E">
      <w:pPr>
        <w:contextualSpacing/>
        <w:jc w:val="both"/>
        <w:rPr>
          <w:rFonts w:ascii="Arial" w:hAnsi="Arial" w:cs="Arial"/>
          <w:kern w:val="2"/>
          <w:lang w:eastAsia="en-US"/>
        </w:rPr>
      </w:pPr>
    </w:p>
    <w:p w:rsidR="007B1C6E" w:rsidRPr="007B1C6E" w:rsidRDefault="007B1C6E" w:rsidP="007B1C6E">
      <w:pPr>
        <w:contextualSpacing/>
        <w:jc w:val="both"/>
        <w:rPr>
          <w:rFonts w:ascii="Arial" w:hAnsi="Arial" w:cs="Arial"/>
          <w:kern w:val="2"/>
          <w:lang w:eastAsia="en-US"/>
        </w:rPr>
      </w:pPr>
      <w:r w:rsidRPr="007B1C6E">
        <w:rPr>
          <w:rFonts w:ascii="Arial" w:hAnsi="Arial" w:cs="Arial"/>
          <w:kern w:val="2"/>
          <w:lang w:eastAsia="en-US"/>
        </w:rPr>
        <w:t>En el marco de esta disposición normativa se devengaron recursos de FAFEF para inversión  la cantidad de 11 millones 989 mil  35</w:t>
      </w:r>
      <w:r w:rsidR="00F33749">
        <w:rPr>
          <w:rFonts w:ascii="Arial" w:hAnsi="Arial" w:cs="Arial"/>
          <w:kern w:val="2"/>
          <w:lang w:eastAsia="en-US"/>
        </w:rPr>
        <w:t>1</w:t>
      </w:r>
      <w:r w:rsidRPr="007B1C6E">
        <w:rPr>
          <w:rFonts w:ascii="Arial" w:hAnsi="Arial" w:cs="Arial"/>
          <w:kern w:val="2"/>
          <w:lang w:eastAsia="en-US"/>
        </w:rPr>
        <w:t xml:space="preserve"> pesos, de los cuales  2 millones 862 mil 521 pesos ejecuto Caminos y Aeropistas de Oaxaca, por su parte  2 millones 470 mil 983 pesos se destinaron a la Comisión Estatal del Agua; la  Secretaría de las Infraestructuras y el Ordenamiento Territorial Sustentable ejecuto 3 millones 97 mil 238 pesos y el Instituto Oaxaqueño Constructor de Infraestructura Física Educativa se ejecutaron 3 millones 558 mil 609 pesos</w:t>
      </w:r>
      <w:r w:rsidR="00F33749">
        <w:rPr>
          <w:rFonts w:ascii="Arial" w:hAnsi="Arial" w:cs="Arial"/>
          <w:kern w:val="2"/>
          <w:lang w:eastAsia="en-US"/>
        </w:rPr>
        <w:t>, 232 millones 773 mil 196 pesos para deuda pública</w:t>
      </w:r>
      <w:r w:rsidRPr="007B1C6E">
        <w:rPr>
          <w:rFonts w:ascii="Arial" w:hAnsi="Arial" w:cs="Arial"/>
          <w:kern w:val="2"/>
          <w:lang w:eastAsia="en-US"/>
        </w:rPr>
        <w:t xml:space="preserve">. </w:t>
      </w:r>
    </w:p>
    <w:p w:rsidR="00E81C69" w:rsidRPr="007B1C6E" w:rsidRDefault="00E81C69" w:rsidP="00E81C69">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kern w:val="2"/>
          <w:lang w:eastAsia="en-US"/>
        </w:rPr>
      </w:pPr>
    </w:p>
    <w:p w:rsidR="00E81C69" w:rsidRPr="007B1C6E" w:rsidRDefault="00E81C69" w:rsidP="007B1C6E">
      <w:pPr>
        <w:contextualSpacing/>
        <w:jc w:val="both"/>
        <w:rPr>
          <w:rFonts w:ascii="Arial" w:hAnsi="Arial" w:cs="Arial"/>
          <w:kern w:val="2"/>
          <w:lang w:eastAsia="en-US"/>
        </w:rPr>
      </w:pPr>
    </w:p>
    <w:p w:rsidR="00E81C69" w:rsidRPr="007B1C6E" w:rsidRDefault="00E81C69" w:rsidP="00E81C69">
      <w:pPr>
        <w:contextualSpacing/>
        <w:jc w:val="both"/>
        <w:rPr>
          <w:rFonts w:ascii="Arial" w:hAnsi="Arial" w:cs="Arial"/>
          <w:kern w:val="2"/>
          <w:lang w:eastAsia="en-US"/>
        </w:rPr>
      </w:pPr>
    </w:p>
    <w:p w:rsidR="00E81C69" w:rsidRPr="00174694" w:rsidRDefault="00E81C69" w:rsidP="00E81C69">
      <w:pPr>
        <w:contextualSpacing/>
        <w:jc w:val="both"/>
        <w:rPr>
          <w:rFonts w:ascii="Arial" w:eastAsia="Calibri" w:hAnsi="Arial" w:cs="Arial"/>
          <w:bCs/>
          <w:spacing w:val="20"/>
          <w:kern w:val="2"/>
          <w:lang w:eastAsia="es-MX"/>
        </w:rPr>
      </w:pPr>
    </w:p>
    <w:p w:rsidR="00E81C69" w:rsidRDefault="00E81C69" w:rsidP="00A271FE">
      <w:pPr>
        <w:spacing w:after="240"/>
        <w:contextualSpacing/>
        <w:jc w:val="both"/>
        <w:rPr>
          <w:rFonts w:ascii="Arial" w:hAnsi="Arial" w:cs="Arial"/>
          <w:b/>
          <w:kern w:val="2"/>
          <w:lang w:eastAsia="en-US"/>
        </w:rPr>
      </w:pPr>
    </w:p>
    <w:p w:rsidR="00E81C69" w:rsidRDefault="00E81C69" w:rsidP="00A271FE">
      <w:pPr>
        <w:spacing w:after="240"/>
        <w:contextualSpacing/>
        <w:jc w:val="both"/>
        <w:rPr>
          <w:rFonts w:ascii="Arial" w:hAnsi="Arial" w:cs="Arial"/>
          <w:b/>
          <w:kern w:val="2"/>
          <w:lang w:eastAsia="en-US"/>
        </w:rPr>
      </w:pPr>
    </w:p>
    <w:p w:rsidR="00E81C69" w:rsidRDefault="00E81C69" w:rsidP="00A271FE">
      <w:pPr>
        <w:spacing w:after="240"/>
        <w:contextualSpacing/>
        <w:jc w:val="both"/>
        <w:rPr>
          <w:rFonts w:ascii="Arial" w:hAnsi="Arial" w:cs="Arial"/>
          <w:b/>
          <w:kern w:val="2"/>
          <w:lang w:eastAsia="en-US"/>
        </w:rPr>
      </w:pPr>
    </w:p>
    <w:p w:rsidR="00E81C69" w:rsidRDefault="00E81C69" w:rsidP="00A271FE">
      <w:pPr>
        <w:spacing w:after="240"/>
        <w:contextualSpacing/>
        <w:jc w:val="both"/>
        <w:rPr>
          <w:rFonts w:ascii="Arial" w:hAnsi="Arial" w:cs="Arial"/>
          <w:b/>
          <w:kern w:val="2"/>
          <w:lang w:eastAsia="en-US"/>
        </w:rPr>
      </w:pPr>
    </w:p>
    <w:p w:rsidR="00E81C69" w:rsidRDefault="00E81C69" w:rsidP="00A271FE">
      <w:pPr>
        <w:spacing w:after="240"/>
        <w:contextualSpacing/>
        <w:jc w:val="both"/>
        <w:rPr>
          <w:rFonts w:ascii="Arial" w:hAnsi="Arial" w:cs="Arial"/>
          <w:b/>
          <w:kern w:val="2"/>
          <w:lang w:eastAsia="en-US"/>
        </w:rPr>
      </w:pPr>
    </w:p>
    <w:p w:rsidR="00C66B44" w:rsidRDefault="00C66B44" w:rsidP="00A271FE">
      <w:pPr>
        <w:spacing w:after="240"/>
        <w:contextualSpacing/>
        <w:jc w:val="both"/>
        <w:rPr>
          <w:rFonts w:ascii="Arial" w:hAnsi="Arial" w:cs="Arial"/>
          <w:b/>
          <w:kern w:val="2"/>
          <w:lang w:eastAsia="en-US"/>
        </w:rPr>
      </w:pPr>
    </w:p>
    <w:p w:rsidR="00F33749" w:rsidRDefault="00F33749">
      <w:pPr>
        <w:rPr>
          <w:rFonts w:ascii="Arial" w:hAnsi="Arial" w:cs="Arial"/>
          <w:b/>
          <w:kern w:val="2"/>
          <w:lang w:eastAsia="en-US"/>
        </w:rPr>
      </w:pPr>
      <w:r>
        <w:rPr>
          <w:rFonts w:ascii="Arial" w:hAnsi="Arial" w:cs="Arial"/>
          <w:b/>
          <w:kern w:val="2"/>
          <w:lang w:eastAsia="en-US"/>
        </w:rPr>
        <w:br w:type="page"/>
      </w:r>
    </w:p>
    <w:p w:rsidR="00C66B44" w:rsidRDefault="00A269EF" w:rsidP="00A271FE">
      <w:pPr>
        <w:spacing w:after="240"/>
        <w:contextualSpacing/>
        <w:jc w:val="both"/>
        <w:rPr>
          <w:rFonts w:ascii="Arial" w:hAnsi="Arial" w:cs="Arial"/>
          <w:b/>
          <w:kern w:val="2"/>
          <w:lang w:eastAsia="en-US"/>
        </w:rPr>
      </w:pPr>
      <w:r>
        <w:rPr>
          <w:rFonts w:ascii="Arial" w:hAnsi="Arial" w:cs="Arial"/>
          <w:b/>
          <w:kern w:val="2"/>
          <w:lang w:eastAsia="en-US"/>
        </w:rPr>
        <w:lastRenderedPageBreak/>
        <w:t>5</w:t>
      </w:r>
      <w:r w:rsidR="00C66B44">
        <w:rPr>
          <w:rFonts w:ascii="Arial" w:hAnsi="Arial" w:cs="Arial"/>
          <w:b/>
          <w:kern w:val="2"/>
          <w:lang w:eastAsia="en-US"/>
        </w:rPr>
        <w:t>.-</w:t>
      </w:r>
      <w:r w:rsidR="004459C7">
        <w:rPr>
          <w:rFonts w:ascii="Arial" w:hAnsi="Arial" w:cs="Arial"/>
          <w:b/>
          <w:kern w:val="2"/>
          <w:lang w:eastAsia="en-US"/>
        </w:rPr>
        <w:t xml:space="preserve"> </w:t>
      </w:r>
      <w:r w:rsidR="004459C7" w:rsidRPr="004459C7">
        <w:rPr>
          <w:rFonts w:ascii="Arial" w:hAnsi="Arial" w:cs="Arial"/>
          <w:b/>
          <w:kern w:val="2"/>
          <w:lang w:eastAsia="en-US"/>
        </w:rPr>
        <w:t>TRANSFERENCIAS A MUNICIPIOS</w:t>
      </w:r>
      <w:r w:rsidR="00C66B44">
        <w:rPr>
          <w:rFonts w:ascii="Arial" w:hAnsi="Arial" w:cs="Arial"/>
          <w:b/>
          <w:kern w:val="2"/>
          <w:lang w:eastAsia="en-US"/>
        </w:rPr>
        <w:t xml:space="preserve"> </w:t>
      </w:r>
    </w:p>
    <w:p w:rsidR="004459C7" w:rsidRDefault="004459C7" w:rsidP="00A271FE">
      <w:pPr>
        <w:spacing w:after="240"/>
        <w:contextualSpacing/>
        <w:jc w:val="both"/>
        <w:rPr>
          <w:rFonts w:ascii="Arial" w:hAnsi="Arial" w:cs="Arial"/>
          <w:b/>
          <w:kern w:val="2"/>
          <w:lang w:eastAsia="en-US"/>
        </w:rPr>
      </w:pPr>
    </w:p>
    <w:p w:rsidR="00AF39FB" w:rsidRDefault="00A269EF" w:rsidP="00A271FE">
      <w:pPr>
        <w:spacing w:after="240"/>
        <w:contextualSpacing/>
        <w:jc w:val="both"/>
        <w:rPr>
          <w:rFonts w:ascii="Arial" w:hAnsi="Arial" w:cs="Arial"/>
          <w:b/>
          <w:kern w:val="2"/>
          <w:lang w:eastAsia="en-US"/>
        </w:rPr>
      </w:pPr>
      <w:r>
        <w:rPr>
          <w:rFonts w:ascii="Arial" w:hAnsi="Arial" w:cs="Arial"/>
          <w:b/>
          <w:kern w:val="2"/>
          <w:lang w:eastAsia="en-US"/>
        </w:rPr>
        <w:t>5.1.-</w:t>
      </w:r>
      <w:r w:rsidR="004459C7">
        <w:rPr>
          <w:rFonts w:ascii="Arial" w:hAnsi="Arial" w:cs="Arial"/>
          <w:b/>
          <w:kern w:val="2"/>
          <w:lang w:eastAsia="en-US"/>
        </w:rPr>
        <w:t xml:space="preserve"> </w:t>
      </w:r>
      <w:r w:rsidR="004459C7" w:rsidRPr="004459C7">
        <w:rPr>
          <w:rFonts w:ascii="Arial" w:hAnsi="Arial" w:cs="Arial"/>
          <w:b/>
          <w:kern w:val="2"/>
          <w:lang w:eastAsia="en-US"/>
        </w:rPr>
        <w:t>PARTICIPACIONES FEDERALES DISTRIBUIDAS A LOS 570 MUNICIPIOS DEL ESTADO</w:t>
      </w:r>
    </w:p>
    <w:p w:rsidR="00AF39FB" w:rsidRDefault="00AF39FB">
      <w:pPr>
        <w:rPr>
          <w:rFonts w:ascii="Arial" w:hAnsi="Arial" w:cs="Arial"/>
          <w:b/>
          <w:kern w:val="2"/>
          <w:lang w:eastAsia="en-US"/>
        </w:rPr>
      </w:pPr>
    </w:p>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r w:rsidR="00AF39FB" w:rsidRPr="00AF39FB" w:rsidTr="00AF39FB">
        <w:trPr>
          <w:trHeight w:val="225"/>
        </w:trPr>
        <w:tc>
          <w:tcPr>
            <w:tcW w:w="420"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 </w:t>
            </w:r>
          </w:p>
        </w:tc>
        <w:tc>
          <w:tcPr>
            <w:tcW w:w="3136"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 </w:t>
            </w:r>
          </w:p>
        </w:tc>
        <w:tc>
          <w:tcPr>
            <w:tcW w:w="1158"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r w:rsidRPr="00AF39FB">
              <w:rPr>
                <w:rFonts w:ascii="Calibri" w:hAnsi="Calibri"/>
                <w:b/>
                <w:bCs/>
                <w:color w:val="000000"/>
                <w:sz w:val="16"/>
                <w:szCs w:val="16"/>
                <w:lang w:val="es-MX" w:eastAsia="es-MX"/>
              </w:rPr>
              <w:t>732,525,006.00</w:t>
            </w:r>
          </w:p>
        </w:tc>
        <w:tc>
          <w:tcPr>
            <w:tcW w:w="1158"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r w:rsidRPr="00AF39FB">
              <w:rPr>
                <w:rFonts w:ascii="Calibri" w:hAnsi="Calibri"/>
                <w:b/>
                <w:bCs/>
                <w:color w:val="000000"/>
                <w:sz w:val="16"/>
                <w:szCs w:val="16"/>
                <w:lang w:val="es-MX" w:eastAsia="es-MX"/>
              </w:rPr>
              <w:t>296,083,422.00</w:t>
            </w:r>
          </w:p>
        </w:tc>
        <w:tc>
          <w:tcPr>
            <w:tcW w:w="1115"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r w:rsidRPr="00AF39FB">
              <w:rPr>
                <w:rFonts w:ascii="Calibri" w:hAnsi="Calibri"/>
                <w:b/>
                <w:bCs/>
                <w:color w:val="000000"/>
                <w:sz w:val="16"/>
                <w:szCs w:val="16"/>
                <w:lang w:val="es-MX" w:eastAsia="es-MX"/>
              </w:rPr>
              <w:t>26,913,806.80</w:t>
            </w:r>
          </w:p>
        </w:tc>
        <w:tc>
          <w:tcPr>
            <w:tcW w:w="1077"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r w:rsidRPr="00AF39FB">
              <w:rPr>
                <w:rFonts w:ascii="Calibri" w:hAnsi="Calibri"/>
                <w:b/>
                <w:bCs/>
                <w:color w:val="000000"/>
                <w:sz w:val="16"/>
                <w:szCs w:val="16"/>
                <w:lang w:val="es-MX" w:eastAsia="es-MX"/>
              </w:rPr>
              <w:t>22,804,161.60</w:t>
            </w:r>
          </w:p>
        </w:tc>
        <w:tc>
          <w:tcPr>
            <w:tcW w:w="1280" w:type="dxa"/>
            <w:tcBorders>
              <w:top w:val="nil"/>
              <w:left w:val="nil"/>
              <w:bottom w:val="single" w:sz="4" w:space="0" w:color="auto"/>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r w:rsidRPr="00AF39FB">
              <w:rPr>
                <w:rFonts w:ascii="Calibri" w:hAnsi="Calibri"/>
                <w:b/>
                <w:bCs/>
                <w:color w:val="000000"/>
                <w:sz w:val="16"/>
                <w:szCs w:val="16"/>
                <w:lang w:val="es-MX" w:eastAsia="es-MX"/>
              </w:rPr>
              <w:t>1,078,326,396.40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ABEJONES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364,218.00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159,420.00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8,137.80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4,530.60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536,306.40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ACATLAN DE PEREZ FIGUEROA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5,593,590.00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2,293,374.00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326,447.00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209,614.00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8,423,025.00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ASUNCION CACALOTEPEC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456,384.00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148,692.00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19,275.00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10,476.00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634,827.00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ASUNCION CUYOTEPEJI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255,804.00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115,050.00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6,986.00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382,388.00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ASUNCION IXTALTEPEC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3,072,234.00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942,186.00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97,208.00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77,300.00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4,188,928.00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ASUNCION NOCHIXTLAN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3,241,950.00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1,376,394.00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120,562.00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108,814.00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4,847,720.00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ASUNCION OCOTLAN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647,772.00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259,404.00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11,746.00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939,841.00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ASUNCION TLACOLULITA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293,568.00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153,834.00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5,994.00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3,746.00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457,142.00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009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AYOTZINTEPEC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931,902.00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501,312.00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47,993.00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30,976.00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1,512,183.00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EL BARRIO DE LA SOLEDAD</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1,769,424.00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652,242.00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87,918.00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64,728.00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2,574,312.00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CALIHUALA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309,882.00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118,716.00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9,597.00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5,121.00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443,316.00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CANDELARIA LOXICHA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1,215,222.00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283,740.00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78,557.00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41,399.00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1,618,918.00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CIENEGA DE ZIMATLAN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908,472.00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515,358.00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18,963.00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1,458,264.00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CIUDAD 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5,870,268.00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1,867,104.00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163,717.00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199,789.00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8,100,878.00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COATECAS ALTAS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774,534.00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254,388.00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40,733.00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1,089,562.00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COICOYAN DE LAS FLORES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1,104,930.00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242,724.00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75,694.00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35,844.00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1,459,192.00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LA COMPAÑIA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588,072.00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149,040.00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26,328.00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777,304.00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CONCEPCION BUENAVISTA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286,086.00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139,230.00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3,910.00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435,425.00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019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CONCEPCION PAPALO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518,484.00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142,884.00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23,361.00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12,894.00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697,623.00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CONSTANCIA DEL ROSARIO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643,014.00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486,930.00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30,502.00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17,456.00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1,177,902.00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COSOLAPA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1,854,402.00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640,464.00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100,663.00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70,800.00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2,666,329.00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COSOLTEPEC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287,700.00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130,572.00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429,242.00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CUILAPAM DE GUERRERO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1,958,958.00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983,964.00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123,705.00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91,863.00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3,158,490.00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CUYAMECALCO VILLA DE ZARAGOZA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1,083,288.00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593,664.00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31,093.00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1,724,703.00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CHAHUITES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1,563,762.00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747,246.00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77,473.00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57,959.00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2,446,440.00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CHALCATONGO DE HIDALGO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1,265,442.00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334,134.00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62,871.00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39,297.00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1,701,744.00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CHIQUIHUITLAN DE BENITO JUAREZ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495,294.00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345,480.00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19,192.00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10,691.00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870,657.00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HEROICA CIUDAD DE EJUTLA DE CRESPO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2,707,596.00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756,342.00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142,945.00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99,799.00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3,706,682.00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029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ELOXOCHITLAN DE FLORES MAGON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783,474.00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510,666.00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37,267.00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17,898.00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1,349,305.00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EL ESPINAL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3,870,696.00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400,140.00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49,750.00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48,896.00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4,369,482.00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TAMAZULAPAM DEL ESPIRITU SANTO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1,623,558.00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283,974.00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55,437.00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31,068.00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1,994,037.00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FRESNILLO DE TRUJANO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323,826.00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161,418.00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4,688.00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497,724.00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GUADALUPE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338,688.00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155,352.00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519,565.00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GUADALUPE DE RAMIREZ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340,080.00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178,608.00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534,659.00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GUELATAO DE JUAREZ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167,028.00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149,466.00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323,187.00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GUEVEA DE HUMBOLDT</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787,038.00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187,878.00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40,055.00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22,260.00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1,037,231.00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MESONES HIDALGO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670,272.00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167,604.00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891,852.00</w:t>
            </w:r>
          </w:p>
        </w:tc>
      </w:tr>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lastRenderedPageBreak/>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r w:rsidR="00AF39FB" w:rsidRPr="00AF39FB" w:rsidTr="00AF39FB">
        <w:trPr>
          <w:trHeight w:val="225"/>
        </w:trPr>
        <w:tc>
          <w:tcPr>
            <w:tcW w:w="420" w:type="dxa"/>
            <w:tcBorders>
              <w:top w:val="single" w:sz="4" w:space="0" w:color="auto"/>
              <w:left w:val="nil"/>
              <w:right w:val="nil"/>
            </w:tcBorders>
            <w:shd w:val="clear" w:color="auto" w:fill="auto"/>
            <w:noWrap/>
            <w:vAlign w:val="center"/>
            <w:hideMark/>
          </w:tcPr>
          <w:p w:rsidR="00AF39FB" w:rsidRPr="00AF39FB" w:rsidRDefault="00AF39FB" w:rsidP="00AF39FB">
            <w:pPr>
              <w:jc w:val="center"/>
              <w:rPr>
                <w:rFonts w:ascii="Calibri" w:hAnsi="Calibri"/>
                <w:b/>
                <w:bCs/>
                <w:color w:val="000000"/>
                <w:sz w:val="16"/>
                <w:szCs w:val="16"/>
                <w:lang w:val="es-MX" w:eastAsia="es-MX"/>
              </w:rPr>
            </w:pPr>
          </w:p>
        </w:tc>
        <w:tc>
          <w:tcPr>
            <w:tcW w:w="3136" w:type="dxa"/>
            <w:tcBorders>
              <w:top w:val="single" w:sz="4" w:space="0" w:color="auto"/>
              <w:left w:val="nil"/>
              <w:right w:val="nil"/>
            </w:tcBorders>
            <w:shd w:val="clear" w:color="auto" w:fill="auto"/>
            <w:noWrap/>
            <w:vAlign w:val="center"/>
            <w:hideMark/>
          </w:tcPr>
          <w:p w:rsidR="00AF39FB" w:rsidRPr="00AF39FB" w:rsidRDefault="00AF39FB" w:rsidP="00AF39FB">
            <w:pPr>
              <w:jc w:val="center"/>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p>
        </w:tc>
        <w:tc>
          <w:tcPr>
            <w:tcW w:w="1115" w:type="dxa"/>
            <w:tcBorders>
              <w:top w:val="single" w:sz="4" w:space="0" w:color="auto"/>
              <w:left w:val="nil"/>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AF39FB" w:rsidRPr="00AF39FB" w:rsidRDefault="00AF39FB" w:rsidP="00AF39FB">
            <w:pPr>
              <w:jc w:val="right"/>
              <w:rPr>
                <w:rFonts w:ascii="Calibri" w:hAnsi="Calibri"/>
                <w:b/>
                <w:bCs/>
                <w:color w:val="000000"/>
                <w:sz w:val="16"/>
                <w:szCs w:val="16"/>
                <w:lang w:val="es-MX" w:eastAsia="es-MX"/>
              </w:rPr>
            </w:pPr>
          </w:p>
        </w:tc>
      </w:tr>
      <w:tr w:rsidR="00AF39FB" w:rsidRPr="00AF39FB" w:rsidTr="00AF39FB">
        <w:trPr>
          <w:trHeight w:val="225"/>
        </w:trPr>
        <w:tc>
          <w:tcPr>
            <w:tcW w:w="420" w:type="dxa"/>
            <w:tcBorders>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038</w:t>
            </w:r>
          </w:p>
        </w:tc>
        <w:tc>
          <w:tcPr>
            <w:tcW w:w="3136" w:type="dxa"/>
            <w:tcBorders>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HIDALGO</w:t>
            </w:r>
          </w:p>
        </w:tc>
        <w:tc>
          <w:tcPr>
            <w:tcW w:w="1158" w:type="dxa"/>
            <w:tcBorders>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396,318.00</w:t>
            </w:r>
          </w:p>
        </w:tc>
        <w:tc>
          <w:tcPr>
            <w:tcW w:w="1158" w:type="dxa"/>
            <w:tcBorders>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202,944.00</w:t>
            </w:r>
          </w:p>
        </w:tc>
        <w:tc>
          <w:tcPr>
            <w:tcW w:w="1115" w:type="dxa"/>
            <w:tcBorders>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16,340.00</w:t>
            </w:r>
          </w:p>
        </w:tc>
        <w:tc>
          <w:tcPr>
            <w:tcW w:w="1077" w:type="dxa"/>
            <w:tcBorders>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8,867.00</w:t>
            </w:r>
          </w:p>
        </w:tc>
        <w:tc>
          <w:tcPr>
            <w:tcW w:w="1280" w:type="dxa"/>
            <w:tcBorders>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624,469.00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039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HEROICA CIUDAD DE HUAJUAPAN DE LEON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15,813,708.00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6,971,790.00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440,522.00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513,193.00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23,739,213.00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HUAUTEPEC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825,636.00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195,018.00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50,785.00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25,171.00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1,096,610.00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HUAUTLA DE JIMENEZ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4,351,794.00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2,009,808.00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236,582.00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125,975.00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6,724,159.00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IXTLAN DE JUAREZ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1,366,590.00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370,872.00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54,591.00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39,550.00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1,831,603.00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HEROICA CIUDAD DE JUCHITAN DE ZARAGOZA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17,083,104.00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6,062,298.00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606,722.00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550,920.00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24,303,044.00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LOMA BONITA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8,093,238.00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3,999,792.00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279,370.00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225,171.00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12,597,571.00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APASCO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872,712.00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1,834,038.00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47,017.00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36,100.00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2,789,867.00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JALTEPEC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813,732.00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330,180.00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24,516.00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22,729.00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1,191,157.00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MAGDALENA JICOTLAN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148,608.00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89,718.00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239,413.00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MIXTEPEC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366,126.00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169,830.00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5,476.00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552,045.00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049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OCOTLAN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301,296.00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137,136.00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4,903.00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451,626.00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PEÑASCO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661,674.00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241,404.00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29,539.00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949,851.00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TEITIPAC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726,030.00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282,378.00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36,256.00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19,025.00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1,063,689.00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TEQUISISTLAN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1,018,416.00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361,158.00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43,529.00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29,057.00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1,452,160.00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TLACOTEPEC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999,654.00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527,328.00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8,408.00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5,127.00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1,540,517.00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ZAHUATLAN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228,594.00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124,242.00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2,826.00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358,033.00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MARISCALA DE JUAREZ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640,680.00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304,836.00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25,223.00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19,582.00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990,321.00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MARTIRES DE TACUBAYA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315,684.00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117,966.00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10,685.00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6,092.00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450,427.00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MATIAS ROMERO AVENDAÑO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7,139,088.00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2,385,120.00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249,484.00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219,731.00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9,993,423.00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MAZATLAN VILLA DE FLORES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1,708,710.00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295,296.00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110,741.00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56,641.00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2,171,388.00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059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MIAHUATLAN DE PORFIRIO DIAZ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6,520,794.00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2,768,148.00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296,260.00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173,768.00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9,758,970.00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MIXISTLAN DE LA REFORMA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527,472.00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211,680.00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21,510.00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773,013.00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MONJAS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691,704.00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298,068.00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20,915.00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12,252.00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1,022,939.00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NATIVIDAD</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238,866.00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122,952.00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368,401.00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NAZARENO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433,218.00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101,628.00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24,820.00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16,299.00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575,965.00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NEJAPA DE MADERO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1,047,714.00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315,204.00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53,548.00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1,448,884.00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IXPANTEPEC NIEVES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379,380.00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212,286.00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9,167.00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6,125.00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606,958.00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NILTEPEC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1,167,078.00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797,502.00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38,342.00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22,475.00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2,025,397.00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OAXACA DE JUAREZ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106,874,436.00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42,509,028.00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1,550,037.00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4,000,770.00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154,934,271.00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OCOTLAN DE MORELOS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3,185,256.00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1,390,386.00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145,868.00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104,388.00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4,825,898.00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069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LA PE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465,102.00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162,798.00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18,658.00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10,421.00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656,979.00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PINOTEPA DE DON LUIS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839,736.00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369,882.00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28,850.00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1,288,611.00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PLUMA HIDALGO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921,372.00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567,798.00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24,262.00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1,527,090.00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DEL PROGRESO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829,776.00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213,312.00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49,750.00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28,116.00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1,120,954.00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PUTLA VILLA DE GUERRERO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4,213,122.00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1,554,804.00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223,247.00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153,270.00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6,144,443.00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QUIOQUITANI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306,570.00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155,388.00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3,656.00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2,121.00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467,735.00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REFORMA DE PINEDA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995,088.00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424,818.00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18,508.00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1,449,629.00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LA REFORMA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566,136.00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279,468.00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24,307.00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15,657.00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885,568.00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REYES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575,508.00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235,008.00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23,514.00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17,433.00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851,463.00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ROJAS DE CUAUHTEMOC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344,466.00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144,642.00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7,081.00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501,351.00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079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SALINA CRUZ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16,598,244.00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4,833,264.00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496,101.00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587,954.00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22,515,563.00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AMATENGO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341,088.00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148,176.00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9,944.00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5,509.00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504,717.00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ATENANGO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371,652.00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146,886.00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8,168.00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541,137.00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CHAYUCO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634,134.00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167,244.00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29,413.00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847,384.00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DE LAS JUNTAS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874,932.00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384,408.00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51,031.00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39,419.00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1,349,790.00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634,092.00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228,216.00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22,309.00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908,499.00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LOXICHA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2,386,230.00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364,650.00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191,402.00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94,741.00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3,037,023.00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TLACOTEPEC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290,172.00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150,252.00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6,357.00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451,388.00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AGUSTIN YATARENI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539,892.00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356,238.00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28,875.00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18,557.00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943,562.00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CABECERA NUEVA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559,296.00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223,992.00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21,809.00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12,273.00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817,370.00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089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DINICUITI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385,320.00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115,236.00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15,156.00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525,002.00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HUAXPALTEPEC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882,252.00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338,430.00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43,484.00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1,291,014.00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HUAYAPAM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751,170.00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609,336.00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29,877.00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32,365.00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1,422,748.00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375,204.00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172,302.00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7,166.00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564,555.00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LAGUNAS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209,964.00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93,738.00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3,494.00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309,608.00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NUXIÑO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398,304.00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141,072.00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13,918.00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561,479.00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PAXTLAN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685,410.00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312,324.00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33,302.00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17,512.00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1,048,548.00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SINAXTLA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253,572.00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86,136.00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347,967.00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SOLAGA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350,862.00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154,104.00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12,606.00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7,616.00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525,188.00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TEOTILALPAM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687,372.00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167,928.00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35,066.00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19,687.00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910,053.00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099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TEPETLAPA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344,658.00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179,964.00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530,320.00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YAA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297,240.00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149,484.00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452,520.00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ZABACHE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329,220.00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160,032.00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5,659.00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498,006.00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ANDRES ZAUTLA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549,582.00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192,414.00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29,899.00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18,910.00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790,805.00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ANTONINO CASTILLO VELASCO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1,078,758.00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514,932.00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41,647.00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44,402.00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1,679,739.00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ANTONINO EL ALTO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653,328.00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706,080.00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11,880.00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1,390,380.00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ANTONINO MONTE VERDE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874,734.00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183,834.00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49,175.00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28,476.00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1,136,219.00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ANTONIO ACUTLA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193,866.00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91,656.00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2,138.00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289,213.00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ANTONIO DE LA CAL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2,275,296.00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1,119,402.00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136,483.00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94,272.00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3,625,453.00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ANTONIO HUITEPEC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655,584.00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163,302.00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33,013.00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18,008.00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869,907.00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109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ANTONIO NANAHUATIPAM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261,738.00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112,572.00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5,310.00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387,936.00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ANTONIO SINICAHUA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430,446.00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158,604.00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13,366.00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6,940.00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609,356.00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ANTONIO TEPETLAPA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769,332.00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264,246.00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34,454.00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18,490.00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1,086,522.00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BALTAZAR CHICHICAPAM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1,023,738.00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527,322.00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1,580,260.00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BALTAZAR LOXICHA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627,552.00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463,182.00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1,125,668.00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BALTAZAR YATZACHI EL BAJO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257,136.00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109,326.00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4,951.00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2,984.00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374,397.00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 COYOTEPEC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1,011,108.00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548,022.00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54,337.00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47,626.00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1,661,093.00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BARTOLOME AYAUTLA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642,168.00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181,146.00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33,120.00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17,080.00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873,514.00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BARTOLOME LOXICHA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458,928.00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187,188.00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675,185.00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BARTOLOME QUIALANA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1,050,462.00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373,722.00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1,460,341.00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119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BARTOLOME YUCUAÑE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257,616.00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134,664.00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396,931.00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BARTOLOME ZOOGOCHO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280,878.00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150,774.00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2,150.00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436,375.00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 SOYALTEPEC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281,196.00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118,326.00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3,135.00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407,374.00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BARTOLO YAUTEPEC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241,266.00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138,756.00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387,495.00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BERNARDO MIXTEPEC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448,014.00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240,972.00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11,357.00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720,174.00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BLAS ATEMPA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2,227,950.00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734,496.00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138,611.00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85,946.00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3,187,003.00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CARLOS YAUTEPEC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1,582,278.00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697,788.00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90,404.00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2,420,666.00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CRISTOBAL AMATLAN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709,452.00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340,134.00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39,977.00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1,111,325.00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CRISTOBAL AMOLTEPEC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402,120.00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148,878.00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10,615.00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5,524.00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567,137.00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CRISTOBAL LACHIRIOAG</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334,068.00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188,706.00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8,715.00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536,654.00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129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CRISTOBAL SUCHIXTLAHUACA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387,858.00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242,958.00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5,072.00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638,087.00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DIONISIO DEL MAR</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943,746.00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382,698.00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39,388.00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21,404.00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1,387,236.00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DIONISIO OCOTEPEC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1,775,274.00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701,340.00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79,154.00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44,883.00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2,600,651.00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DIONISIO OCOTLAN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404,430.00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176,952.00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6,394.00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596,380.00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ESTEBAN ATATLAHUCA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648,414.00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203,670.00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32,140.00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900,909.00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FELIPE JALAPA DE DIAZ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2,835,810.00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893,004.00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210,796.00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112,682.00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4,052,292.00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FELIPE TEJALAPAM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792,060.00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575,652.00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50,798.00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31,956.00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1,450,466.00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FELIPE USILA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1,497,276.00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894,348.00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84,858.00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49,080.00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2,525,562.00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CAHUACUA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679,686.00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281,400.00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26,855.00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15,392.00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1,003,333.00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CAJONOS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214,452.00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112,428.00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332,191.00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139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CHAPULAPA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476,286.00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165,498.00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17,254.00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668,024.00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CHINDUA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215,916.00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90,888.00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5,762.00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316,105.00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DEL MAR</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1,116,108.00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869,988.00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53,422.00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48,428.00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2,087,946.00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HUEHUETLAN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303,504.00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120,144.00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8,986.00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437,505.00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IXHUATAN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1,590,564.00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618,936.00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61,944.00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45,528.00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2,316,972.00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JALTEPETONGO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249,060.00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126,750.00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7,967.00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4,781.00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388,558.00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LACHIGOLO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688,464.00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235,128.00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23,217.00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20,021.00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966,830.00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LOGUECHE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540,546.00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256,494.00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21,212.00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829,903.00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NUXAÑO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338,994.00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193,302.00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1,830.00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536,757.00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OZOLOTEPEC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525,900.00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224,850.00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15,203.00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774,195.00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149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SOLA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369,576.00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181,542.00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12,006.00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6,735.00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569,859.00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TELIXTLAHUACA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1,302,846.00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316,266.00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76,275.00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57,518.00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1,752,905.00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TEOPAN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202,974.00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90,222.00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297,820.00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FRANCISCO TLAPANCINGO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406,986.00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144,720.00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17,403.00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9,044.00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578,153.00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GABRIEL MIXTEPEC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619,536.00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141,528.00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34,641.00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19,872.00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815,577.00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ILDEFONSO AMATLAN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541,044.00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242,616.00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18,228.00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10,940.00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812,828.00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ILDEFONSO SOLA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339,072.00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174,138.00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7,700.00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525,210.00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ILDEFONSO VILLA ALTA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595,470.00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213,972.00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17,174.00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851,499.00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JACINTO AMILPAS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2,727,846.00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692,010.00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79,526.00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105,322.00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3,604,704.00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JACINTO TLACOTEPEC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497,976.00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201,048.00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17,942.00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727,359.00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159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JERONIMO COATLAN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743,514.00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220,164.00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43,652.00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23,259.00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1,030,589.00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JERONIMO SILACAYOAPILLA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406,266.00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162,150.00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7,592.00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586,204.00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JERONIMO SOSOLA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483,618.00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146,118.00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659,477.00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JERONIMO TAVICHE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373,686.00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128,118.00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7,777.00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523,534.00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JERONIMO TECOATL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351,954.00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272,070.00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12,737.00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6,743.00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643,504.00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JORGE NUCHITA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497,778.00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149,502.00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24,305.00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685,185.00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AYUQUILA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373,050.00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226,212.00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11,303.00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6,926.00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617,491.00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CHILTEPEC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1,408,266.00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396,006.00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77,849.00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46,264.00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1,928,385.00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DEL PEÑASCO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395,892.00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169,164.00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16,013.00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9,066.00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590,135.00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ESTANCIA GRANDE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275,874.00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114,414.00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7,228.00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4,102.00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401,618.00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169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INDEPENDENCIA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676,488.00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286,074.00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30,830.00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16,337.00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1,009,729.00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LACHIGUIRI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826,884.00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292,086.00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32,191.00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16,799.00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1,167,960.00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JOSE TENANGO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2,212,476.00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712,770.00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166,950.00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77,582.00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3,169,778.00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ACHIUTLA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138,756.00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60,600.00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2,936.00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204,452.00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338,784.00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145,212.00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501,926.00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ANIMAS TRUJANO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516,870.00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251,886.00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22,798.00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807,337.00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ATATLAHUCA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373,896.00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180,144.00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12,915.00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574,555.00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COIXTLAHUACA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650,766.00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250,908.00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21,185.00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935,254.00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CUICATLAN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1,264,194.00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283,638.00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67,057.00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46,039.00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1,660,928.00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GUELACHE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693,894.00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147,984.00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40,252.00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27,225.00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909,355.00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179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JAYACATLAN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381,840.00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189,144.00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10,772.00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588,670.00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LO DE SOTO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415,956.00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153,366.00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596,386.00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SUCHITEPEC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242,580.00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120,480.00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2,304.00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368,359.00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TLACOATZINTEPEC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464,544.00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153,750.00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652,686.00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TLACHICHILCO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368,382.00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175,422.00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6,361.00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560,925.00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TUXTEPEC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37,516,494.00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18,409,812.00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1,005,341.00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1,127,985.00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58,059,632.00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CACAHUATEPEC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1,036,734.00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300,516.00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61,030.00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36,444.00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1,434,724.00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CIENEGUILLA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296,718.00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159,102.00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462,903.00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COATZOSPAM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455,490.00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188,706.00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675,427.00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COLORADO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1,091,640.00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232,038.00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72,031.00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40,374.00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1,436,083.00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189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COMALTEPEC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450,744.00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130,824.00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613,332.00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COTZOCON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2,575,566.00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499,746.00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164,376.00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100,232.00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3,339,920.00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CHICOMEZUCHIL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141,462.00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67,464.00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1,435.00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212,535.00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CHILATECA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339,060.00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158,670.00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7,411.00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514,318.00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DEL ESTADO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418,272.00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133,542.00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16,822.00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586,055.00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DEL RIO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442,086.00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178,338.00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8,695.00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6,663.00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635,782.00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DIUXI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467,070.00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203,844.00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9,881.00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5,819.00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686,614.00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EVANGELISTA ANALCO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218,790.00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108,984.00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2,701.00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332,426.00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GUELAVIA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751,098.00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334,446.00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16,821.00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1,124,095.00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GUICHICOVI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3,388,446.00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1,996,806.00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215,799.00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127,939.00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5,728,990.00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199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IHUALTEPEC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278,574.00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130,638.00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418,059.00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JUQUILA MIXES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621,516.00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172,986.00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16,475.00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840,893.00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JUQUILA VIJANOS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366,744.00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113,928.00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14,078.00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7,691.00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502,441.00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LACHAO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697,050.00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239,886.00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34,775.00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20,458.00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992,169.00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LACHIGALLA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593,790.00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189,024.00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26,910.00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823,688.00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LAJARCIA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217,764.00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114,396.00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4,951.00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3,003.00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340,114.00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LALANA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2,144,376.00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860,898.00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137,246.00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74,262.00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3,216,782.00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DE LOS CUES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381,318.00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119,274.00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16,787.00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527,275.00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MAZATLAN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2,217,792.00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640,140.00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149,465.00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81,576.00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3,088,973.00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MIXTEPEC - DTO. 08 -</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1,097,202.00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268,146.00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59,218.00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33,011.00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1,457,577.00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209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MIXTEPEC - DTO. 26 -</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354,486.00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184,140.00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5,534.00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547,694.00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ÑUMI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920,718.00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185,640.00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50,003.00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27,988.00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1,184,349.00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OZOLOTEPEC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529,410.00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201,240.00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25,135.00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13,302.00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769,087.00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PETLAPA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554,214.00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163,056.00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12,303.00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756,456.00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QUIAHIJE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695,166.00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267,708.00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27,750.00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15,232.00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1,005,856.00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QUIOTEPEC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457,812.00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131,832.00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18,120.00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617,538.00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SAYULTEPEC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236,676.00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138,198.00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5,132.00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3,973.00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383,979.00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TABAA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379,686.00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190,554.00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586,408.00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TAMAZOLA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653,046.00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177,066.00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27,887.00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14,469.00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872,468.00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TEITA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286,686.00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153,228.00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447,606.00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219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TEITIPAC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548,640.00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228,132.00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19,482.00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11,733.00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807,987.00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TEPEUXILA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555,696.00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222,492.00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810,782.00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TEPOSCOLULA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294,918.00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153,012.00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9,696.00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463,271.00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YAEE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341,478.00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143,322.00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6,467.00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502,680.00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YATZONA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253,146.00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208,794.00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467,375.00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YUCUITA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198,246.00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115,722.00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4,629.00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3,405.00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322,002.00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LORENZO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822,042.00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186,750.00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47,820.00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25,390.00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1,082,002.00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LORENZO ALBARRADAS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447,612.00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305,100.00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20,085.00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12,220.00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785,017.00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LORENZO CACAOTEPEC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1,791,546.00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720,882.00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84,298.00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75,077.00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2,671,803.00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LORENZO CUAUNECUILTITLA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355,848.00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167,850.00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6,065.00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533,048.00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229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LORENZO TEXMELUCAN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949,152.00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224,460.00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57,977.00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1,261,551.00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LORENZO VICTORIA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270,684.00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125,784.00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408,656.00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LUCAS CAMOTLAN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508,206.00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165,114.00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25,064.00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12,705.00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711,089.00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LUCAS OJITLAN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3,092,022.00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924,636.00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172,330.00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96,282.00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4,285,270.00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LUCAS QUIAVINI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503,520.00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382,308.00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13,756.00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907,329.00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LUCAS ZOQUIAPAM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997,614.00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205,278.00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62,357.00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31,716.00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1,296,965.00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LUIS AMATLAN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697,458.00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285,084.00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28,892.00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1,026,649.00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MARCIAL OZOLOTEPEC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444,906.00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243,816.00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12,781.00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6,403.00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707,906.00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MARCOS ARTEAGA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380,046.00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164,958.00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6,537.00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562,240.00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DE LOS CANSECOS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338,070.00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174,666.00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522,065.00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239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HUAMELULPAM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263,082.00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115,542.00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7,646.00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5,140.00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391,410.00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ITUNYOSO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499,548.00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165,888.00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20,933.00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696,829.00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LACHILA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319,422.00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162,102.00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5,343.00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494,846.00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PERAS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1,495,776.00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240,726.00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97,202.00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48,689.00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1,882,393.00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TILCAJETE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489,540.00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258,198.00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8,624.00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768,141.00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TOXPALAN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517,548.00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152,802.00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25,934.00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15,828.00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712,112.00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MARTIN ZACATEPEC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297,150.00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105,504.00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9,450.00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5,361.00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417,465.00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CAJONOS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257,256.00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121,800.00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4,633.00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386,342.00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CAPULALPAM DE MENDEZ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471,582.00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170,712.00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9,078.00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658,225.00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DEL MAR</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1,549,044.00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505,170.00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122,698.00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59,838.00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2,236,750.00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249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YOLOXOCHITLAN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528,372.00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248,412.00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26,778.00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818,152.00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ETLATONGO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487,818.00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187,536.00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8,189.00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689,536.00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NEJAPAM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393,732.00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185,754.00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9,185.00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5,425.00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594,096.00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PEÑASCO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422,202.00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149,538.00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16,130.00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596,753.00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PIÑAS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547,146.00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217,866.00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9,806.00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793,094.00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RIO HONDO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602,082.00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253,260.00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26,010.00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895,241.00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SINDIHUI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441,132.00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140,832.00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16,926.00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607,649.00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TLAPILTEPEC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230,664.00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115,854.00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349,327.00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MELCHOR BETAZA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345,186.00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158,262.00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8,472.00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516,580.00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ACHIUTLA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271,902.00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142,266.00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423,132.00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259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AHUEHUETITLAN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538,572.00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303,492.00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19,921.00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872,580.00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ALOAPAM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431,940.00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141,714.00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10,652.00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603,249.00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AMATITLAN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925,338.00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881,466.00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56,553.00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30,812.00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1,894,169.00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AMATLAN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240,174.00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87,690.00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7,172.00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4,508.00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339,544.00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COATLAN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639,192.00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257,058.00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29,427.00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15,158.00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940,835.00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CHICAHUA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463,200.00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268,554.00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9,816.00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759,323.00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CHIMALAPA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922,944.00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181,512.00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50,874.00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27,745.00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1,183,075.00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DEL PUERTO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1,133,418.00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1,716,996.00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65,311.00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35,608.00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2,951,333.00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DEL RIO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199,056.00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104,670.00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1,962.00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307,112.00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EJUTLA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298,074.00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137,940.00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6,565.00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447,264.00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269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EL GRANDE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928,170.00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682,338.00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28,958.00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17,327.00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1,656,793.00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HUAUTLA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360,732.00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168,354.00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7,047.00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547,608.00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MIXTEPEC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501,240.00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145,746.00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26,463.00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13,625.00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687,074.00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PANIXTLAHUACA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797,688.00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218,490.00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44,876.00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27,637.00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1,088,691.00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PERAS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575,838.00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229,506.00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28,753.00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14,924.00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849,021.00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PIEDRAS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368,442.00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150,090.00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5,441.00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534,647.00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QUETZALTEPEC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886,986.00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195,888.00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56,183.00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30,620.00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1,169,677.00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SANTA FLOR</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387,798.00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219,972.00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6,494.00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617,750.00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SOLA DE VEGA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2,003,154.00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774,180.00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101,413.00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57,717.00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2,936,464.00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SOYALTEPEC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4,218,540.00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1,764,024.00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279,411.00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163,356.00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6,425,331.00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279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SUCHIXTEPEC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509,772.00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222,558.00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766,691.00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TALEA DE CASTRO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550,314.00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226,434.00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16,686.00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15,826.00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809,260.00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TECOMATLAN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220,812.00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93,912.00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318,569.00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TENANGO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276,762.00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104,172.00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390,290.00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TEQUIXTEPEC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308,898.00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167,370.00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7,487.00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488,924.00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TILQUIAPAM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1,007,226.00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444,690.00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26,074.00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13,267.00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1,491,257.00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TLACAMAMA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545,736.00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252,246.00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25,453.00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14,216.00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837,651.00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TLACOTEPEC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667,992.00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296,898.00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23,992.00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1,003,053.00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TULANCINGO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218,706.00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97,470.00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320,895.00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MIGUEL YOTAO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272,640.00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188,424.00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468,180.00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289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NICOLAS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340,086.00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148,272.00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4,799.00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501,476.00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NICOLAS HIDALGO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269,670.00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120,384.00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401,838.00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COATLAN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624,558.00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171,804.00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31,648.00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845,506.00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CUATRO VENADOS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364,908.00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149,166.00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11,170.00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531,239.00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2,328,180.00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996,594.00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90,617.00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115,996.00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3,531,387.00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HUITZO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824,352.00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443,520.00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39,711.00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1,337,501.00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HUIXTEPEC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1,624,500.00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806,214.00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58,259.00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49,773.00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2,538,746.00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MACUILTIANGUIS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275,598.00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132,618.00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6,678.00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4,529.00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419,423.00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TIJALTEPEC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431,442.00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680,790.00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1,139,475.00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VILLA DE MITLA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1,700,982.00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630,762.00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83,045.00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61,586.00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2,476,375.00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299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PABLO YAGANIZA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334,692.00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146,484.00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8,101.00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4,666.00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493,943.00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AMUZGOS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794,262.00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302,796.00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48,864.00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27,389.00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1,173,311.00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APOSTOL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716,958.00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380,502.00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11,794.00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9,281.00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1,118,535.00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ATOYAC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744,450.00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196,998.00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31,969.00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17,365.00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990,782.00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CAJONOS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279,324.00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105,102.00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6,349.00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399,294.00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COXCALTEPEC CANTAROS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277,806.00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124,842.00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3,777.00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412,956.00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COMITANCILLO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572,508.00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290,526.00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24,825.00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904,418.00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EL ALTO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636,780.00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273,792.00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16,512.00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958,195.00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HUAMELULA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1,114,320.00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193,452.00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68,382.00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40,282.00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1,416,436.00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HUILOTEPEC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570,864.00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413,568.00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20,180.00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11,920.00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1,016,532.00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309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IXCATLAN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1,428,528.00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478,650.00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81,411.00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45,245.00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2,033,834.00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845,358.00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332,940.00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48,175.00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1,259,756.00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JALTEPETONGO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313,704.00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156,846.00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3,429.00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475,949.00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JICAYAN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1,324,110.00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292,566.00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93,309.00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49,608.00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1,759,593.00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JOCOTIPAC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341,862.00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158,100.00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3,502.00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509,935.00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JUCHATENGO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413,106.00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203,508.00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9,055.00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637,512.00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MARTIR</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438,372.00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217,716.00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7,836.00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678,159.00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MARTIR QUIECHAPA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181,998.00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5,463.00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3,354.00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545,187.00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MARTIR YUCUXACO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383,340.00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184,938.00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10,189.00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6,555.00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585,022.00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MIXTEPEC - DTO. 22 -</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7,992,084.00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2,620,218.00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278,679.00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299,839.00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11,190,820.00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319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MIXTEPEC - DTO. 26 -</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217,506.00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74,388.00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8,359.00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4,646.00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304,899.00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MOLINOS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207,768.00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80,634.00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296,679.00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NOPALA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287,514.00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140,466.00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6,589.00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4,091.00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438,660.00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OCOPETATILLO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354,360.00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170,286.00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3,923.00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535,651.00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OCOTEPEC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450,186.00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134,808.00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610,793.00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POCHUTLA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5,244,444.00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1,478,292.00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317,875.00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203,885.00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7,244,496.00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QUIATONI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1,342,986.00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585,954.00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84,166.00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44,047.00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2,057,153.00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SOCHIAPAM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867,786.00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482,706.00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38,330.00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21,520.00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1,410,342.00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TAPANATEPEC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3,882,474.00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1,763,106.00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98,047.00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76,813.00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5,820,440.00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TAVICHE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307,578.00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125,892.00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9,228.00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5,054.00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447,752.00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329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TEOZACOALCO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354,426.00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142,074.00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10,189.00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512,672.00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TEUTILA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630,702.00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167,538.00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32,960.00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18,017.00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849,217.00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TIDAA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396,048.00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178,326.00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6,751.00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585,189.00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TOPILTEPEC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173,112.00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76,500.00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2,839.00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254,155.00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TOTOLAPAM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461,520.00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108,834.00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11,282.00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599,312.00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DE TUTUTEPEC DE MELCHOR OCAMPO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4,799,772.00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1,230,816.00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318,280.00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196,096.00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6,544,964.00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YANERI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348,138.00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151,572.00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4,243.00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511,849.00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YOLOX</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577,182.00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272,274.00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17,729.00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10,903.00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878,088.00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Y SAN PABLO AYUTLA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914,286.00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305,532.00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46,484.00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27,790.00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1,294,092.00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DE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1,361,646.00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807,852.00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56,977.00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65,828.00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2,292,303.00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339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Y SAN PABLO TEPOSCOLULA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1,015,332.00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380,166.00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26,704.00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19,494.00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1,441,696.00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Y SAN PABLO TEQUIXTEPEC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392,496.00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113,868.00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13,607.00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528,168.00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PEDRO YUCUNAMA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244,320.00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105,642.00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1,568.00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352,504.00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RAYMUNDO JALPAN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1,121,250.00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354,036.00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13,825.00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1,511,906.00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ABASOLO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452,628.00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212,586.00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12,770.00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9,456.00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687,440.00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COATLAN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530,214.00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270,114.00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19,561.00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10,972.00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830,861.00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IXCAPA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615,402.00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162,348.00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29,197.00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823,621.00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NICANANDUTA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423,504.00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142,776.00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6,556.00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583,396.00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RIO HONDO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555,858.00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162,510.00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29,102.00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15,461.00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762,931.00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TECOMAXTLAHUACA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1,303,920.00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616,350.00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61,871.00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34,870.00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2,017,011.00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349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TEITIPAC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384,570.00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130,692.00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537,850.00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SEBASTIAN TUTLA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2,788,698.00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1,056,192.00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91,706.00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107,407.00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4,044,003.00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SIMON ALMOLONGAS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485,010.00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226,362.00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11,534.00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742,728.00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SIMON ZAHUATLAN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574,800.00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178,074.00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32,255.00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16,151.00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801,280.00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426,546.00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335,862.00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14,737.00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785,779.00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ATEIXTLAHUACA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287,682.00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137,688.00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4,345.00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432,095.00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CUAUHTEMOC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281,514.00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138,126.00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428,630.00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DEL VALLE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566,694.00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193,038.00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10,229.00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784,404.00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TAVELA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371,232.00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160,026.00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6,532.00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4,009.00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541,799.00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TLAPACOYAN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566,772.00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245,574.00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835,253.00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359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YARENI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344,628.00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161,256.00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3,819.00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515,580.00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ANA ZEGACHE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713,508.00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355,062.00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26,993.00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1,112,202.00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CATALINA QUIERI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352,914.00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182,706.00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7,014.00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3,988.00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546,622.00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CUIXTLA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408,810.00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176,610.00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603,218.00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IXTEPEJI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483,372.00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199,560.00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11,845.00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713,026.00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JUQUILA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2,059,662.00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1,168,932.00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108,948.00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73,086.00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3,410,628.00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LACHATAO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297,990.00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114,954.00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9,215.00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5,487.00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427,646.00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LOXICHA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859,248.00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485,556.00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32,467.00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18,408.00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1,395,679.00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MECHOACAN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665,874.00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219,294.00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36,148.00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19,074.00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940,390.00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MINAS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867,678.00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474,276.00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8,187.00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1,363,240.00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369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QUIANE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336,540.00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233,352.00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590,762.00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370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TAYATA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303,054.00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155,778.00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466,873.00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371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TICUA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378,126.00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175,566.00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7,224.00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5,506.00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566,422.00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372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YOSONOTU</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446,166.00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205,902.00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14,589.00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674,950.00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373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CATARINA ZAPOQUILA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238,800.00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111,258.00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355,333.00</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AF39FB" w:rsidRPr="00AF39FB" w:rsidRDefault="00AF39FB" w:rsidP="00AF39FB">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AF39FB" w:rsidRDefault="00AF39FB"/>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374</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ACATEPEC</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332,784.00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128,298.00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12,180.00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6,181.00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479,443.00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375</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AMILPAS</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1,583,946.00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695,058.00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61,410.00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70,594.00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2,411,008.00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376</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DE BRAVO</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199,674.00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101,496.00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2,663.00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1,643.00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305,476.00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377</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ITUNDUJIA</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1,376,286.00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473,142.00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88,188.00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47,028.00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1,984,644.00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378</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MIXTEPEC</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524,388.00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327,744.00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26,210.00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15,577.00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893,919.00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379</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NUNDACO</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484,392.00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141,546.00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23,183.00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12,424.00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661,545.00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380</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PAPALUTLA</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357,834.00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121,212.00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13,990.00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9,910.00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502,946.00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381</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TACACHE DE MINA</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426,060.00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328,218.00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17,882.00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10,944.00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783,104.00</w:t>
            </w:r>
          </w:p>
        </w:tc>
      </w:tr>
      <w:tr w:rsidR="00335A28" w:rsidRPr="00AF39FB" w:rsidTr="003E7B23">
        <w:trPr>
          <w:trHeight w:val="225"/>
        </w:trPr>
        <w:tc>
          <w:tcPr>
            <w:tcW w:w="420"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382</w:t>
            </w:r>
          </w:p>
        </w:tc>
        <w:tc>
          <w:tcPr>
            <w:tcW w:w="3136" w:type="dxa"/>
            <w:tcBorders>
              <w:top w:val="nil"/>
              <w:left w:val="nil"/>
              <w:bottom w:val="nil"/>
              <w:right w:val="nil"/>
            </w:tcBorders>
            <w:shd w:val="clear" w:color="auto" w:fill="auto"/>
            <w:noWrap/>
            <w:vAlign w:val="center"/>
            <w:hideMark/>
          </w:tcPr>
          <w:p w:rsidR="00335A28" w:rsidRPr="00AF39FB" w:rsidRDefault="00335A28" w:rsidP="003E7B23">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TACAHUA</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340,722.00</w:t>
            </w:r>
          </w:p>
        </w:tc>
        <w:tc>
          <w:tcPr>
            <w:tcW w:w="1158"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157,146.00</w:t>
            </w:r>
          </w:p>
        </w:tc>
        <w:tc>
          <w:tcPr>
            <w:tcW w:w="1115"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9,458.00</w:t>
            </w:r>
          </w:p>
        </w:tc>
        <w:tc>
          <w:tcPr>
            <w:tcW w:w="1077"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5,043.00</w:t>
            </w:r>
          </w:p>
        </w:tc>
        <w:tc>
          <w:tcPr>
            <w:tcW w:w="1280" w:type="dxa"/>
            <w:tcBorders>
              <w:top w:val="nil"/>
              <w:left w:val="nil"/>
              <w:bottom w:val="nil"/>
              <w:right w:val="nil"/>
            </w:tcBorders>
            <w:shd w:val="clear" w:color="auto" w:fill="auto"/>
            <w:noWrap/>
            <w:vAlign w:val="center"/>
            <w:hideMark/>
          </w:tcPr>
          <w:p w:rsidR="00335A28" w:rsidRPr="00AF39FB" w:rsidRDefault="00335A28" w:rsidP="003E7B23">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512,369.00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TAYATA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245,580.00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100,824.00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353,399.00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XITLA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652,350.00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192,168.00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34,761.00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19,330.00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898,609.00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XOXOCOTLAN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13,670,244.00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2,992,692.00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480,622.00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585,426.00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17,728,984.00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CRUZ ZENZONTEPEC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3,118,374.00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401,328.00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148,721.00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82,270.00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3,750,693.00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GERTRUDIS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496,206.00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218,592.00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20,254.00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13,189.00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748,241.00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INES DEL MONTE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503,370.00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539,370.00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20,436.00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10,643.00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1,073,819.00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389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INES YATZECHE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429,570.00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208,116.00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7,205.00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649,298.00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LUCIA DEL CAMINO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5,749,608.00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1,432,218.00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276,186.00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299,864.00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7,757,876.00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LUCIA MIAHUATLAN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597,270.00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248,550.00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29,213.00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14,478.00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889,511.00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LUCIA MONTEVERDE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989,190.00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375,594.00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54,830.00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29,698.00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1,449,312.00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LUCIA OCOTLAN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617,010.00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197,364.00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26,821.00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15,931.00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857,126.00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ALOTEPEC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420,066.00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116,886.00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20,229.00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568,845.00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APAZCO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467,070.00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174,624.00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15,723.00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665,556.00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LA ASUNCION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596,766.00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188,622.00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27,611.00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13,824.00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826,823.00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HEROICA CIUDAD DE TLAXIACO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5,922,258.00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2,368,308.00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261,269.00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210,575.00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8,762,410.00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AYOQUEZCO DE ALDAMA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836,448.00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375,456.00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32,468.00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22,051.00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1,266,423.00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399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ATZOMPA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3,322,224.00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1,055,940.00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174,476.00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122,439.00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4,675,079.00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CAMOTLAN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483,492.00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158,118.00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11,418.00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6,852.00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659,880.00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3,008,688.00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1,209,726.00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154,274.00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131,112.00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4,503,800.00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CORTIJO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293,700.00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122,010.00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4,547.00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428,104.00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COYOTEPEC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515,310.00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256,728.00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17,752.00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806,175.00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CHACHOAPAM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296,844.00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173,346.00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5,138.00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480,025.00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DE CHILAPA DE DIAZ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479,790.00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193,584.00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12,433.00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699,598.00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CHILCHOTLA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2,710,218.00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759,876.00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179,033.00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87,997.00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3,737,124.00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CHIMALAPA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1,101,756.00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216,222.00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66,971.00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35,714.00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1,420,663.00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DEL ROSARIO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236,454.00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147,642.00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3,472.00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389,802.00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409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DEL TULE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1,469,832.00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488,064.00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47,035.00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62,364.00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2,067,295.00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ECATEPEC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590,226.00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188,304.00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24,796.00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14,602.00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817,928.00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GUELACE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278,022.00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142,944.00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429,930.00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GUIENAGATI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759,204.00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168,060.00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24,069.00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964,651.00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HUATULCO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20,134,224.00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7,165,650.00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251,649.00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733,759.00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28,285,282.00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HUAZOLOTITLAN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1,358,508.00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473,094.00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79,860.00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47,034.00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1,958,496.00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IPALAPA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661,788.00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161,856.00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35,673.00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20,855.00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880,172.00</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335A28" w:rsidRPr="00AF39FB" w:rsidTr="003E7B23">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IXCATLAN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297,168.00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159,720.00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2,847.00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463,678.00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JACATEPEC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1,357,740.00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668,088.00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67,635.00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41,598.00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2,135,061.00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JALAPA DEL MARQUES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1,278,684.00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393,012.00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80,590.00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1,804,825.00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419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JALTIANGUIS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269,364.00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146,316.00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422,315.00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LACHIXIO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429,918.00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147,516.00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12,880.00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7,236.00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597,550.00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MIXTEQUILLA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1,181,190.00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500,124.00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30,887.00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18,650.00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1,730,851.00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NATIVITAS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309,090.00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129,150.00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4,923.00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3,301.00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446,464.00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NDUAYACO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246,168.00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100,230.00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4,152.00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352,921.00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OZOLOTEPEC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684,666.00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527,448.00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31,545.00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17,323.00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1,260,982.00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PAPALO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516,030.00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221,094.00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9,940.00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764,341.00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PEÑOLES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1,120,578.00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245,742.00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64,360.00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33,180.00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1,463,860.00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PETAPA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1,607,232.00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498,432.00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108,697.00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69,830.00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2,284,191.00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QUIEGOLANI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418,530.00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164,712.00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13,937.00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7,517.00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604,696.00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429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SOLA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386,910.00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153,546.00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6,399.00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558,726.00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TATALTEPEC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234,438.00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139,236.00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1,878.00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377,100.00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TECOMAVACA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314,898.00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134,880.00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12,382.00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469,899.00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TEMAXCALAPA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341,880.00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168,636.00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6,887.00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4,330.00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521,733.00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TEMAXCALTEPEC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478,722.00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144,390.00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11,063.00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655,351.00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TEOPOXCO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731,238.00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202,350.00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36,358.00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19,827.00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989,773.00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TEPANTLALI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568,734.00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294,324.00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28,110.00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15,433.00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906,601.00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TEXCATITLAN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311,316.00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130,848.00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8,270.00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4,673.00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455,107.00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TLAHUITOLTEPEC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2,012,088.00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216,426.00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76,174.00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41,790.00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2,346,478.00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TLALIXTAC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425,502.00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157,914.00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13,763.00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7,365.00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604,544.00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439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TONAMECA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2,796,636.00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6,819,132.00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191,816.00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103,732.00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9,911,316.00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TOTOLAPILLA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342,906.00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237,504.00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6,447.00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591,754.00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XADANI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892,692.00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480,168.00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55,054.00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34,865.00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1,462,779.00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YALINA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190,482.00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101,388.00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2,557.00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296,147.00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YAVESIA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199,434.00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87,288.00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2,951.00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1,881.00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291,554.00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YOLOTEPEC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246,780.00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116,706.00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3,684.00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369,140.00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YOSOYUA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400,530.00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155,214.00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12,020.00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7,015.00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574,779.00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YUCUHITI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867,276.00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275,400.00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46,325.00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27,505.00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1,216,506.00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ZACATEPEC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1,725,852.00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846,750.00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112,658.00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64,943.00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2,750,203.00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ZANIZA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397,710.00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127,914.00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16,390.00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8,598.00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550,612.00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449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MARIA ZOQUITLAN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525,774.00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168,348.00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25,264.00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14,437.00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733,823.00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AMOLTEPEC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1,551,510.00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255,450.00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107,815.00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52,000.00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1,966,775.00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APOALA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362,178.00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139,818.00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8,439.00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4,422.00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514,857.00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APOSTOL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843,360.00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327,846.00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33,248.00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19,912.00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1,224,366.00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ASTATA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483,948.00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102,288.00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27,602.00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631,591.00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ATITLAN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506,358.00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139,458.00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13,352.00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683,287.00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AYUQUILILLA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511,662.00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238,314.00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20,727.00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783,645.00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CACALOXTEPEC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346,536.00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213,228.00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12,151.00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7,727.00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579,642.00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CAMOTLAN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591,648.00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170,250.00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27,449.00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14,254.00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803,601.00</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335A28" w:rsidRPr="00AF39FB" w:rsidTr="003E7B23">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COMALTEPEC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445,698.00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168,906.00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7,836.00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627,811.00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459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CHAZUMBA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779,004.00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339,594.00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30,790.00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1,172,102.00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CHOAPAM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814,698.00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202,398.00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42,094.00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22,727.00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1,081,917.00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DEL RIO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286,392.00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143,586.00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4,841.00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2,852.00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437,671.00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HUAJOLOTITLAN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742,260.00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324,942.00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29,496.00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1,114,962.00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HUAUCLILLA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246,426.00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109,836.00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4,948.00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3,069.00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364,279.00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IHUITLAN PLUMAS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231,966.00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105,186.00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3,524.00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343,614.00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IXCUINTEPEC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336,492.00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133,842.00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488,707.00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IXTAYUTLA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1,479,090.00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248,106.00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98,243.00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50,035.00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1,875,474.00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JAMILTEPEC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2,153,298.00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4,557,816.00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129,171.00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80,130.00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6,920,415.00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JOCOTEPEC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1,667,826.00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755,928.00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104,901.00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56,967.00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2,585,622.00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469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JUXTLAHUACA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4,289,436.00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1,448,844.00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260,653.00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138,247.00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6,137,180.00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LACHIGUIRI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688,794.00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159,750.00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35,649.00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904,263.00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LALOPA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286,488.00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157,374.00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3,684.00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449,799.00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LAOLLAGA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1,184,052.00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548,034.00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21,859.00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14,232.00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1,768,177.00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LAXOPA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349,050.00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149,748.00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10,013.00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6,326.00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515,137.00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LLANO GRANDE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493,302.00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145,644.00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23,530.00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676,618.00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MATATLAN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1,660,014.00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1,045,752.00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73,844.00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45,534.00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2,825,144.00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MILTEPEC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214,350.00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104,688.00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2,871.00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324,251.00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MINAS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399,846.00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201,834.00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11,405.00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619,385.00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NACALTEPEC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397,254.00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114,720.00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13,892.00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8,079.00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533,945.00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479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NEJAPILLA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185,430.00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93,396.00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281,365.00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NUNDICHE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356,172.00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148,260.00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7,581.00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4,766.00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516,779.00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NUYOO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441,684.00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174,438.00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14,439.00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9,179.00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639,740.00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PINOTEPA NACIONAL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9,419,448.00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2,256,234.00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360,876.00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311,796.00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12,348,354.00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SUCHILQUITONGO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1,182,378.00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536,094.00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61,796.00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47,863.00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1,828,131.00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TAMAZOLA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768,666.00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296,694.00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31,630.00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18,946.00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1,115,936.00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TAPEXTLA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548,508.00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239,226.00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13,844.00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825,797.00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TEJUPAM DE LA UNION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452,898.00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619,950.00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17,387.00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10,707.00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1,100,942.00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TENANGO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589,080.00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219,666.00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13,603.00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831,835.00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TEPETLAPA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204,372.00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119,082.00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912.00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802.00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325,168.00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489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TETEPEC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787,722.00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208,872.00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20,795.00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1,056,166.00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TEXCALCINGO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504,978.00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179,700.00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24,631.00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14,808.00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724,117.00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TEXTITLAN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596,184.00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170,868.00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17,933.00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816,107.00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TILANTONGO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750,708.00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274,026.00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25,449.00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13,995.00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1,064,178.00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TILLO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205,518.00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102,066.00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3,768.00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2,670.00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314,022.00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TLAZOYALTEPEC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743,226.00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299,016.00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39,388.00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20,559.00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1,102,189.00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XANICA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551,718.00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180,942.00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22,865.00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12,388.00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767,913.00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XIACUI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341,142.00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139,614.00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14,004.00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9,331.00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504,091.00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YAITEPEC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664,914.00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265,968.00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33,695.00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17,433.00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982,010.00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YAVEO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1,028,790.00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331,278.00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52,022.00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27,983.00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1,440,073.00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499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YOLOMECATL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481,362.00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201,630.00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13,286.00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17,269.00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713,547.00</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335A28" w:rsidRPr="00AF39FB" w:rsidTr="003E7B23">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YOSONDUA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1,079,202.00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278,574.00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57,801.00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33,097.00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1,448,674.00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YUCUYACHI</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283,230.00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133,224.00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6,981.00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4,029.00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427,464.00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ZACATEPEC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791,730.00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186,156.00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44,583.00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24,157.00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1,046,626.00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SANTIAGO ZOOCHILA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390,168.00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138,738.00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2,676.00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533,773.00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NUEVO ZOQUIAPAM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442,134.00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193,818.00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11,838.00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8,198.00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655,988.00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INGENIO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857,478.00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224,856.00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49,740.00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32,663.00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1,164,737.00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ALBARRADAS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262,956.00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117,138.00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5,808.00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3,461.00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389,363.00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ARMENTA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525,192.00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227,742.00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25,119.00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14,141.00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792,194.00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CHIHUITAN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294,384.00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99,870.00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10,167.00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7,524.00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411,945.00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509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DE MORELOS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1,258,818.00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388,998.00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87,077.00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44,283.00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1,779,176.00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IXCATLAN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307,320.00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106,344.00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6,943.00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3,781.00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424,388.00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NUXAA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564,408.00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256,440.00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29,598.00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865,704.00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OZOLOTEPEC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309,846.00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133,800.00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7,055.00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3,862.00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454,563.00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PETAPA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1,061,310.00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241,560.00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58,833.00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35,244.00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1,396,947.00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ROAYAGA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353,070.00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168,804.00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8,265.00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4,214.00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534,353.00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TEHUANTEPEC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9,469,764.00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3,572,826.00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414,475.00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367,640.00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13,824,705.00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TEOJOMULCO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744,882.00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199,296.00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34,899.00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19,943.00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999,020.00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TEPUXTEPEC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712,350.00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172,674.00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42,360.00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21,961.00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949,345.00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TLATAYAPAM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180,048.00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103,710.00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826.00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285,619.00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519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TOMALTEPEC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488,196.00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234,834.00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19,453.00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13,638.00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756,121.00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TONALA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1,163,820.00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571,794.00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51,845.00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33,148.00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1,820,607.00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TONALTEPEC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237,786.00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113,676.00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2,126.00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1,464.00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355,052.00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XAGACIA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301,488.00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123,234.00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9,522.00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439,337.00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YANHUITLAN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515,976.00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180,552.00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11,190.00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6,755.00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714,473.00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YODOHINO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220,920.00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99,492.00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2,634.00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1,685.00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324,731.00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DOMINGO ZANATEPEC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2,005,884.00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574,236.00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77,522.00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59,197.00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2,716,839.00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SANTOS REYES NOPALA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1,793,640.00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493,392.00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121,416.00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72,758.00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2,481,206.00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SANTOS REYES PAPALO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539,976.00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281,610.00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21,142.00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12,266.00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854,994.00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SANTOS REYES TEPEJILLO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339,780.00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291,498.00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9,214.00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6,573.00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647,065.00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529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SANTOS REYES YUCUNA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369,420.00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147,432.00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11,035.00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5,684.00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533,571.00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TOMAS JALIEZA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663,840.00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276,420.00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25,459.00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16,036.00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981,755.00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TOMAS MAZALTEPEC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420,300.00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145,368.00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9,910.00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591,295.00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TOMAS OCOTEPEC</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608,034.00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347,154.00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31,004.00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17,778.00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1,003,970.00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SANTO TOMAS TAMAZULAPAN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494,964.00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226,296.00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15,756.00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10,271.00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747,287.00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VICENTE COATLAN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623,400.00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214,356.00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31,161.00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17,709.00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886,626.00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VICENTE LACHIXIO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612,222.00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165,726.00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22,836.00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12,822.00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813,606.00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VICENTE NUÑU</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237,186.00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114,408.00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2,400.00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357,485.00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SILACAYOAPAM</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1,311,048.00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510,060.00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49,743.00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30,818.00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1,901,669.00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SITIO DE XITLAPEHUA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297,426.00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155,718.00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5,244.00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3,060.00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461,448.00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539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SOLEDAD ETLA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620,586.00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385,620.00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31,906.00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24,637.00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1,062,749.00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DE TAMAZULAPAM DEL PROGRESO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1,183,872.00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547,926.00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45,649.00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41,639.00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1,819,086.00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TANETZE DE ZARAGOZA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371,784.00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176,742.00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12,296.00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7,167.00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567,989.00</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335A28" w:rsidRPr="00AF39FB" w:rsidTr="003E7B23">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N.</w:t>
            </w:r>
          </w:p>
        </w:tc>
        <w:tc>
          <w:tcPr>
            <w:tcW w:w="3136" w:type="dxa"/>
            <w:tcBorders>
              <w:top w:val="single" w:sz="4" w:space="0" w:color="auto"/>
              <w:left w:val="nil"/>
              <w:bottom w:val="single" w:sz="4" w:space="0" w:color="auto"/>
              <w:right w:val="nil"/>
            </w:tcBorders>
            <w:shd w:val="clear" w:color="000000" w:fill="D8D8D8"/>
            <w:noWrap/>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MUNICIPIO</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de Participaciones</w:t>
            </w:r>
          </w:p>
        </w:tc>
        <w:tc>
          <w:tcPr>
            <w:tcW w:w="1158"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Fomento Municipal</w:t>
            </w:r>
          </w:p>
        </w:tc>
        <w:tc>
          <w:tcPr>
            <w:tcW w:w="1115"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335A28" w:rsidRPr="00AF39FB" w:rsidRDefault="00335A28" w:rsidP="003E7B23">
            <w:pPr>
              <w:jc w:val="center"/>
              <w:rPr>
                <w:rFonts w:ascii="Calibri" w:hAnsi="Calibri"/>
                <w:b/>
                <w:bCs/>
                <w:color w:val="000000"/>
                <w:sz w:val="16"/>
                <w:szCs w:val="16"/>
                <w:lang w:val="es-MX" w:eastAsia="es-MX"/>
              </w:rPr>
            </w:pPr>
            <w:r w:rsidRPr="00AF39FB">
              <w:rPr>
                <w:rFonts w:ascii="Calibri" w:hAnsi="Calibri"/>
                <w:b/>
                <w:bCs/>
                <w:color w:val="000000"/>
                <w:sz w:val="16"/>
                <w:szCs w:val="16"/>
                <w:lang w:val="es-MX" w:eastAsia="es-MX"/>
              </w:rPr>
              <w:t>Suma</w:t>
            </w:r>
          </w:p>
        </w:tc>
      </w:tr>
    </w:tbl>
    <w:p w:rsidR="00335A28" w:rsidRDefault="00335A28"/>
    <w:tbl>
      <w:tblPr>
        <w:tblW w:w="9344" w:type="dxa"/>
        <w:tblInd w:w="58" w:type="dxa"/>
        <w:tblCellMar>
          <w:left w:w="70" w:type="dxa"/>
          <w:right w:w="70" w:type="dxa"/>
        </w:tblCellMar>
        <w:tblLook w:val="04A0"/>
      </w:tblPr>
      <w:tblGrid>
        <w:gridCol w:w="420"/>
        <w:gridCol w:w="3136"/>
        <w:gridCol w:w="1158"/>
        <w:gridCol w:w="1158"/>
        <w:gridCol w:w="1115"/>
        <w:gridCol w:w="1077"/>
        <w:gridCol w:w="1280"/>
      </w:tblGrid>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TANICHE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313,098.00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169,008.00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3,692.00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491,289.00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TATALTEPEC DE VALDES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749,220.00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186,450.00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42,917.00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23,787.00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1,002,374.00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TEOCOCUILCO DE MARCOS PEREZ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333,288.00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147,024.00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7,755.00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5,659.00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493,726.00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TEOTITLAN DE FLORES MAGON</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2,177,088.00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1,086,186.00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58,270.00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43,741.00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3,365,285.00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TEOTITLAN DEL VALLE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797,988.00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328,524.00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40,939.00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24,656.00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1,192,107.00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TEOTONGO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338,616.00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157,914.00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6,714.00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4,540.00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507,784.00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TEPELMEME VILLA DE MORELOS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583,554.00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260,262.00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12,988.00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12,031.00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868,835.00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549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HEROICA VILLA TEZOATLAN DE SEGURA Y LUNA, CUNA DE LA INDEPENDENCIA DE OAXACA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1,905,792.00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830,616.00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85,604.00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53,142.00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2,875,154.00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JERONIMO TLACOCHAHUAYA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1,038,948.00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241,596.00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34,629.00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21,313.00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1,336,486.00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TLACOLULA DE MATAMOROS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4,264,314.00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1,729,128.00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128,179.00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162,253.00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6,283,874.00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TLACOTEPEC PLUMAS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206,742.00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162,234.00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3,588.00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2,769.00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375,333.00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TLALIXTAC DE CABRERA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2,063,010.00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681,960.00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61,639.00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53,839.00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2,860,448.00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TOTONTEPEC VILLA DE MORELOS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929,268.00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349,806.00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42,201.00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23,503.00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1,344,778.00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TRINIDAD ZAACHILA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469,398.00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235,668.00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19,393.00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11,909.00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736,368.00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LA TRINIDAD VISTA HERMOSA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211,188.00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119,364.00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1,750.00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1,625.00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333,927.00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UNION HIDALGO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2,497,968.00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1,191,066.00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88,824.00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93,453.00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3,871,311.00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VALERIO TRUJANO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290,196.00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96,000.00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10,760.00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403,442.00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559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JUAN BAUTISTA VALLE NACIONAL</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2,557,512.00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511,698.00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162,125.00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94,242.00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3,325,577.00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DIAZ ORDAZ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1,006,188.00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432,018.00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45,483.00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28,963.00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1,512,652.00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561</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YAXE</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1,014,072.00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524,148.00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19,727.00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11,967.00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1,569,914.00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562</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MAGDALENA YODOCONO DE PORFIRIO DIAZ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348,834.00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167,328.00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10,021.00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6,729.00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532,912.00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563</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YOGANA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338,994.00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135,732.00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10,691.00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5,492.00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490,909.00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564</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YUTANDUCHI DE GUERRERO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452,628.00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178,176.00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9,996.00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5,716.00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646,516.00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565</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VILLA DE ZAACHILA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5,390,898.00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2,098,686.00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233,021.00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200,289.00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7,922,894.00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566</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 MATEO YACUTINDO</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583,842.00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210,492.00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24,265.00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13,386.00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831,985.00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567</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ZAPOTITLAN LAGUNAS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562,068.00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177,252.00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24,921.00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15,293.00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779,534.00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568</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ZAPOTITLAN PALMAS</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322,830.00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181,962.00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11,388.00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7,460.00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523,640.00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569</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SANTA INES DE ZARAGOZA</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407,022.00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176,382.00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12,700.00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7,758.00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603,862.00</w:t>
            </w:r>
          </w:p>
        </w:tc>
      </w:tr>
      <w:tr w:rsidR="00AF39FB" w:rsidRPr="00AF39FB" w:rsidTr="00AF39FB">
        <w:trPr>
          <w:trHeight w:val="225"/>
        </w:trPr>
        <w:tc>
          <w:tcPr>
            <w:tcW w:w="420"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570</w:t>
            </w:r>
          </w:p>
        </w:tc>
        <w:tc>
          <w:tcPr>
            <w:tcW w:w="3136" w:type="dxa"/>
            <w:tcBorders>
              <w:top w:val="nil"/>
              <w:left w:val="nil"/>
              <w:bottom w:val="nil"/>
              <w:right w:val="nil"/>
            </w:tcBorders>
            <w:shd w:val="clear" w:color="auto" w:fill="auto"/>
            <w:noWrap/>
            <w:vAlign w:val="center"/>
            <w:hideMark/>
          </w:tcPr>
          <w:p w:rsidR="00AF39FB" w:rsidRPr="00AF39FB" w:rsidRDefault="00AF39FB" w:rsidP="00AF39FB">
            <w:pPr>
              <w:rPr>
                <w:rFonts w:ascii="Calibri" w:hAnsi="Calibri"/>
                <w:color w:val="000000"/>
                <w:sz w:val="16"/>
                <w:szCs w:val="16"/>
                <w:lang w:val="es-MX" w:eastAsia="es-MX"/>
              </w:rPr>
            </w:pPr>
            <w:r w:rsidRPr="00AF39FB">
              <w:rPr>
                <w:rFonts w:ascii="Calibri" w:hAnsi="Calibri"/>
                <w:color w:val="000000"/>
                <w:sz w:val="16"/>
                <w:szCs w:val="16"/>
                <w:lang w:val="es-MX" w:eastAsia="es-MX"/>
              </w:rPr>
              <w:t xml:space="preserve"> ZIMATLAN DE ALVAREZ</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2,863,608.00</w:t>
            </w:r>
          </w:p>
        </w:tc>
        <w:tc>
          <w:tcPr>
            <w:tcW w:w="1158"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1,065,612.00</w:t>
            </w:r>
          </w:p>
        </w:tc>
        <w:tc>
          <w:tcPr>
            <w:tcW w:w="1115"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133,157.00</w:t>
            </w:r>
          </w:p>
        </w:tc>
        <w:tc>
          <w:tcPr>
            <w:tcW w:w="1077"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101,442.00</w:t>
            </w:r>
          </w:p>
        </w:tc>
        <w:tc>
          <w:tcPr>
            <w:tcW w:w="1280" w:type="dxa"/>
            <w:tcBorders>
              <w:top w:val="nil"/>
              <w:left w:val="nil"/>
              <w:bottom w:val="nil"/>
              <w:right w:val="nil"/>
            </w:tcBorders>
            <w:shd w:val="clear" w:color="auto" w:fill="auto"/>
            <w:noWrap/>
            <w:vAlign w:val="center"/>
            <w:hideMark/>
          </w:tcPr>
          <w:p w:rsidR="00AF39FB" w:rsidRPr="00AF39FB" w:rsidRDefault="00AF39FB" w:rsidP="00AF39FB">
            <w:pPr>
              <w:jc w:val="right"/>
              <w:rPr>
                <w:rFonts w:ascii="Calibri" w:hAnsi="Calibri"/>
                <w:color w:val="000000"/>
                <w:sz w:val="16"/>
                <w:szCs w:val="16"/>
                <w:lang w:val="es-MX" w:eastAsia="es-MX"/>
              </w:rPr>
            </w:pPr>
            <w:r w:rsidRPr="00AF39FB">
              <w:rPr>
                <w:rFonts w:ascii="Calibri" w:hAnsi="Calibri"/>
                <w:color w:val="000000"/>
                <w:sz w:val="16"/>
                <w:szCs w:val="16"/>
                <w:lang w:val="es-MX" w:eastAsia="es-MX"/>
              </w:rPr>
              <w:t>4,163,819.00</w:t>
            </w:r>
          </w:p>
        </w:tc>
      </w:tr>
    </w:tbl>
    <w:p w:rsidR="00AF39FB" w:rsidRDefault="00AF39FB">
      <w:pPr>
        <w:rPr>
          <w:rFonts w:ascii="Arial" w:hAnsi="Arial" w:cs="Arial"/>
          <w:b/>
          <w:kern w:val="2"/>
          <w:lang w:eastAsia="en-US"/>
        </w:rPr>
      </w:pPr>
      <w:r>
        <w:rPr>
          <w:rFonts w:ascii="Arial" w:hAnsi="Arial" w:cs="Arial"/>
          <w:b/>
          <w:kern w:val="2"/>
          <w:lang w:eastAsia="en-US"/>
        </w:rPr>
        <w:br w:type="page"/>
      </w:r>
    </w:p>
    <w:p w:rsidR="00AF39FB" w:rsidRDefault="00A269EF" w:rsidP="00AF39FB">
      <w:pPr>
        <w:spacing w:after="240"/>
        <w:contextualSpacing/>
        <w:jc w:val="both"/>
        <w:rPr>
          <w:rFonts w:ascii="Arial" w:hAnsi="Arial" w:cs="Arial"/>
          <w:b/>
          <w:spacing w:val="20"/>
        </w:rPr>
      </w:pPr>
      <w:r>
        <w:rPr>
          <w:rFonts w:ascii="Arial" w:hAnsi="Arial" w:cs="Arial"/>
          <w:b/>
          <w:spacing w:val="20"/>
        </w:rPr>
        <w:t>5.2.-</w:t>
      </w:r>
      <w:r w:rsidR="00AF39FB">
        <w:rPr>
          <w:rFonts w:ascii="Arial" w:hAnsi="Arial" w:cs="Arial"/>
          <w:b/>
          <w:spacing w:val="20"/>
        </w:rPr>
        <w:t xml:space="preserve"> </w:t>
      </w:r>
      <w:r w:rsidR="00AF39FB" w:rsidRPr="004459C7">
        <w:rPr>
          <w:rFonts w:ascii="Arial" w:hAnsi="Arial" w:cs="Arial"/>
          <w:b/>
          <w:spacing w:val="20"/>
        </w:rPr>
        <w:t>FONDOS DE APORTACIONES PARA LA INFRAESTRUCTURA SOCIAL MUNICIPAL (FISM) Y PARA EL FORTALECIMIENTO DE LOS MUNICIPIOS Y DE LAS DEMARCACIONES TERRITORIALES DEL DISTRITO FEDERAL (FORTAMUN).</w:t>
      </w:r>
    </w:p>
    <w:p w:rsidR="004459C7" w:rsidRDefault="004459C7" w:rsidP="00A271FE">
      <w:pPr>
        <w:spacing w:after="240"/>
        <w:contextualSpacing/>
        <w:jc w:val="both"/>
        <w:rPr>
          <w:rFonts w:ascii="Arial" w:hAnsi="Arial" w:cs="Arial"/>
          <w:b/>
          <w:kern w:val="2"/>
          <w:lang w:eastAsia="en-US"/>
        </w:rPr>
      </w:pPr>
    </w:p>
    <w:tbl>
      <w:tblPr>
        <w:tblW w:w="8460" w:type="dxa"/>
        <w:tblInd w:w="55" w:type="dxa"/>
        <w:tblCellMar>
          <w:left w:w="70" w:type="dxa"/>
          <w:right w:w="70" w:type="dxa"/>
        </w:tblCellMar>
        <w:tblLook w:val="04A0"/>
      </w:tblPr>
      <w:tblGrid>
        <w:gridCol w:w="420"/>
        <w:gridCol w:w="3156"/>
        <w:gridCol w:w="1821"/>
        <w:gridCol w:w="1616"/>
        <w:gridCol w:w="1447"/>
      </w:tblGrid>
      <w:tr w:rsidR="004459C7" w:rsidRPr="004459C7" w:rsidTr="004459C7">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4459C7" w:rsidRPr="004459C7" w:rsidTr="004459C7">
        <w:trPr>
          <w:trHeight w:val="225"/>
        </w:trPr>
        <w:tc>
          <w:tcPr>
            <w:tcW w:w="420" w:type="dxa"/>
            <w:tcBorders>
              <w:top w:val="nil"/>
              <w:left w:val="nil"/>
              <w:bottom w:val="single" w:sz="4" w:space="0" w:color="auto"/>
              <w:right w:val="nil"/>
            </w:tcBorders>
            <w:shd w:val="clear" w:color="auto" w:fill="auto"/>
            <w:noWrap/>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w:t>
            </w:r>
          </w:p>
        </w:tc>
        <w:tc>
          <w:tcPr>
            <w:tcW w:w="3156" w:type="dxa"/>
            <w:tcBorders>
              <w:top w:val="nil"/>
              <w:left w:val="nil"/>
              <w:bottom w:val="single" w:sz="4" w:space="0" w:color="auto"/>
              <w:right w:val="nil"/>
            </w:tcBorders>
            <w:shd w:val="clear" w:color="auto" w:fill="auto"/>
            <w:noWrap/>
            <w:vAlign w:val="center"/>
            <w:hideMark/>
          </w:tcPr>
          <w:p w:rsidR="004459C7" w:rsidRPr="004459C7" w:rsidRDefault="004459C7" w:rsidP="004459C7">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w:t>
            </w:r>
          </w:p>
        </w:tc>
        <w:tc>
          <w:tcPr>
            <w:tcW w:w="1821" w:type="dxa"/>
            <w:tcBorders>
              <w:top w:val="nil"/>
              <w:left w:val="nil"/>
              <w:bottom w:val="single" w:sz="4" w:space="0" w:color="auto"/>
              <w:right w:val="nil"/>
            </w:tcBorders>
            <w:shd w:val="clear" w:color="auto" w:fill="auto"/>
            <w:noWrap/>
            <w:vAlign w:val="center"/>
            <w:hideMark/>
          </w:tcPr>
          <w:p w:rsidR="004459C7" w:rsidRPr="004459C7" w:rsidRDefault="004459C7" w:rsidP="004459C7">
            <w:pPr>
              <w:jc w:val="right"/>
              <w:rPr>
                <w:rFonts w:ascii="Calibri" w:hAnsi="Calibri"/>
                <w:b/>
                <w:bCs/>
                <w:color w:val="000000"/>
                <w:sz w:val="16"/>
                <w:szCs w:val="16"/>
                <w:lang w:val="es-MX" w:eastAsia="es-MX"/>
              </w:rPr>
            </w:pPr>
            <w:r w:rsidRPr="004459C7">
              <w:rPr>
                <w:rFonts w:ascii="Calibri" w:hAnsi="Calibri"/>
                <w:b/>
                <w:bCs/>
                <w:color w:val="000000"/>
                <w:sz w:val="16"/>
                <w:szCs w:val="16"/>
                <w:lang w:val="es-MX" w:eastAsia="es-MX"/>
              </w:rPr>
              <w:t>1,584,860,304.00</w:t>
            </w:r>
          </w:p>
        </w:tc>
        <w:tc>
          <w:tcPr>
            <w:tcW w:w="1616" w:type="dxa"/>
            <w:tcBorders>
              <w:top w:val="nil"/>
              <w:left w:val="nil"/>
              <w:bottom w:val="single" w:sz="4" w:space="0" w:color="auto"/>
              <w:right w:val="nil"/>
            </w:tcBorders>
            <w:shd w:val="clear" w:color="auto" w:fill="auto"/>
            <w:noWrap/>
            <w:vAlign w:val="center"/>
            <w:hideMark/>
          </w:tcPr>
          <w:p w:rsidR="004459C7" w:rsidRPr="004459C7" w:rsidRDefault="004459C7" w:rsidP="004459C7">
            <w:pPr>
              <w:jc w:val="right"/>
              <w:rPr>
                <w:rFonts w:ascii="Calibri" w:hAnsi="Calibri"/>
                <w:b/>
                <w:bCs/>
                <w:color w:val="000000"/>
                <w:sz w:val="16"/>
                <w:szCs w:val="16"/>
                <w:lang w:val="es-MX" w:eastAsia="es-MX"/>
              </w:rPr>
            </w:pPr>
            <w:r w:rsidRPr="004459C7">
              <w:rPr>
                <w:rFonts w:ascii="Calibri" w:hAnsi="Calibri"/>
                <w:b/>
                <w:bCs/>
                <w:color w:val="000000"/>
                <w:sz w:val="16"/>
                <w:szCs w:val="16"/>
                <w:lang w:val="es-MX" w:eastAsia="es-MX"/>
              </w:rPr>
              <w:t>510,032,547.00</w:t>
            </w:r>
          </w:p>
        </w:tc>
        <w:tc>
          <w:tcPr>
            <w:tcW w:w="1447" w:type="dxa"/>
            <w:tcBorders>
              <w:top w:val="nil"/>
              <w:left w:val="nil"/>
              <w:bottom w:val="single" w:sz="4" w:space="0" w:color="auto"/>
              <w:right w:val="nil"/>
            </w:tcBorders>
            <w:shd w:val="clear" w:color="auto" w:fill="auto"/>
            <w:noWrap/>
            <w:vAlign w:val="center"/>
            <w:hideMark/>
          </w:tcPr>
          <w:p w:rsidR="004459C7" w:rsidRPr="004459C7" w:rsidRDefault="004459C7" w:rsidP="004459C7">
            <w:pPr>
              <w:jc w:val="right"/>
              <w:rPr>
                <w:rFonts w:ascii="Calibri" w:hAnsi="Calibri"/>
                <w:b/>
                <w:bCs/>
                <w:color w:val="000000"/>
                <w:sz w:val="16"/>
                <w:szCs w:val="16"/>
                <w:lang w:val="es-MX" w:eastAsia="es-MX"/>
              </w:rPr>
            </w:pPr>
            <w:r w:rsidRPr="004459C7">
              <w:rPr>
                <w:rFonts w:ascii="Calibri" w:hAnsi="Calibri"/>
                <w:b/>
                <w:bCs/>
                <w:color w:val="000000"/>
                <w:sz w:val="16"/>
                <w:szCs w:val="16"/>
                <w:lang w:val="es-MX" w:eastAsia="es-MX"/>
              </w:rPr>
              <w:t>2,094,892,851.00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ABEJONES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544,464.00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145,416.00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689,880.00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ACATLAN DE PEREZ FIGUEROA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16,588,026.00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6,021,324.00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22,609,350.00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ASUNCION CACALOTEPEC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1,876,482.00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334,704.00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2,211,186.00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ASUNCION CUYOTEPEJI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370,104.00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135,759.00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505,863.00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ASUNCION IXTALTEPEC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3,778,575.00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1,978,845.00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5,757,420.00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ASUNCION NOCHIXTLAN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5,957,829.00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2,390,553.00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8,348,382.00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ASUNCION OCOTLAN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1,940,853.00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350,397.00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2,291,250.00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ASUNCION TLACOLULITA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335,757.00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112,953.00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448,710.00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009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AYOTZINTEPEC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2,991,768.00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901,488.00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3,893,256.00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EL BARRIO DE LA SOLEDAD</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2,697,483.00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1,825,512.00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4,522,995.00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CALIHUALA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472,002.00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163,662.00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635,664.00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CANDELARIA LOXICHA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6,750,081.00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1,322,718.00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8,072,799.00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CIENEGA DE ZIMATLAN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675,348.00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373,605.00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1,048,953.00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CIUDAD 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4,754,997.00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3,548,268.00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8,303,265.00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COATECAS ALTAS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3,444,840.00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632,115.00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4,076,955.00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COICOYAN DE LAS FLORES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7,591,263.00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1,144,434.00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8,735,697.00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LA COMPAÑIA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1,961,859.00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442,962.00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2,404,821.00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CONCEPCION BUENAVISTA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374,658.00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111,879.00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486,537.00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019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CONCEPCION PAPALO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1,446,390.00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411,972.00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1,858,362.00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CONSTANCIA DEL ROSARIO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2,439,333.00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517,818.00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2,957,151.00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COSOLAPA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4,854,213.00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1,967,577.00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6,821,790.00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COSOLTEPEC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450,231.00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116,172.00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566,403.00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CUILAPAM DE GUERRERO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8,186,883.00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2,472,117.00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10,659,000.00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CUYAMECALCO VILLA DE ZARAGOZA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2,607,438.00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515,940.00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3,123,378.00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CHAHUITES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3,521,973.00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1,489,734.00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5,011,707.00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CHALCATONGO DE HIDALGO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3,959,628.00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1,137,726.00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5,097,354.00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CHIQUIHUITLAN DE BENITO JUAREZ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1,721,568.00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329,739.00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2,051,307.00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HEROICA CIUDAD DE EJUTLA DE CRESPO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6,605,223.00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2,639,937.00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9,245,160.00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029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ELOXOCHITLAN DE FLORES MAGON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4,492,524.00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571,881.00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5,064,405.00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EL ESPINAL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1,415,271.00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1,114,785.00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2,530,056.00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TAMAZULAPAM DEL ESPIRITU SANTO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4,903,272.00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987,612.00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5,890,884.00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FRESNILLO DE TRUJANO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393,564.00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138,576.00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532,140.00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GUADALUPE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592,455.00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326,385.00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918,840.00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GUADALUPE DE RAMIREZ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380,553.00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191,163.00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571,716.00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GUELATAO DE JUAREZ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61,659.00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72,975.00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134,634.00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GUEVEA DE HUMBOLDT</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2,322,447.00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708,981.00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3,031,428.00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MESONES HIDALGO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3,004,914.00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590,526.00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3,595,440.00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HIDALGO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1,345,953.00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283,323.00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1,629,276.00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039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HEROICA CIUDAD DE HUAJUAPAN DE LEON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13,290,924.00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9,368,904.00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22,659,828.00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HUAUTEPEC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5,143,371.00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804,228.00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5,947,599.00</w:t>
            </w:r>
          </w:p>
        </w:tc>
      </w:tr>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AF39FB">
        <w:trPr>
          <w:trHeight w:val="225"/>
        </w:trPr>
        <w:tc>
          <w:tcPr>
            <w:tcW w:w="420" w:type="dxa"/>
            <w:tcBorders>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041</w:t>
            </w:r>
          </w:p>
        </w:tc>
        <w:tc>
          <w:tcPr>
            <w:tcW w:w="3156" w:type="dxa"/>
            <w:tcBorders>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HUAUTLA DE JIMENEZ</w:t>
            </w:r>
          </w:p>
        </w:tc>
        <w:tc>
          <w:tcPr>
            <w:tcW w:w="1821" w:type="dxa"/>
            <w:tcBorders>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19,241,166.00</w:t>
            </w:r>
          </w:p>
        </w:tc>
        <w:tc>
          <w:tcPr>
            <w:tcW w:w="1616" w:type="dxa"/>
            <w:tcBorders>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4,025,037.00</w:t>
            </w:r>
          </w:p>
        </w:tc>
        <w:tc>
          <w:tcPr>
            <w:tcW w:w="1447" w:type="dxa"/>
            <w:tcBorders>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23,266,203.00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IXTLAN DE JUAREZ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2,718,177.00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1,029,465.00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3,747,642.00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HEROICA CIUDAD DE JUCHITAN DE ZARAGOZA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19,885,809.00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12,481,053.00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32,366,862.00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LOMA BONITA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11,096,478.00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5,571,921.00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16,668,399.00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APASCO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1,237,485.00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1,009,074.00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2,246,559.00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JALTEPEC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1,884,723.00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444,438.00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2,329,161.00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MAGDALENA JICOTLAN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25,650.00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12,474.00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38,124.00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MIXTEPEC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869,262.00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174,930.00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1,044,192.00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049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OCOTLAN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528,618.00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153,063.00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681,681.00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PEÑASCO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2,876,451.00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506,817.00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3,383,268.00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TEITIPAC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3,329,046.00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585,966.00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3,915,012.00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TEQUISISTLAN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2,335,245.00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829,314.00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3,164,559.00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TLACOTEPEC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331,155.00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163,797.00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494,952.00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ZAHUATLAN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119,643.00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54,867.00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174,510.00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MARISCALA DE JUAREZ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1,046,583.00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473,547.00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1,520,130.00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MARTIRES DE TACUBAYA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471,333.00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194,649.00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665,982.00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MATIAS ROMERO AVENDAÑO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10,108,305.00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4,948,659.00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15,056,964.00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MAZATLAN VILLA DE FLORES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7,948,890.00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1,802,304.00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9,751,194.00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059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MIAHUATLAN DE PORFIRIO DIAZ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15,193,269.00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5,552,067.00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20,745,336.00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MIXISTLAN DE LA REFORMA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1,847,817.00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371,595.00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2,219,412.00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MONJAS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1,740,813.00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344,496.00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2,085,309.00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NATIVIDAD</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100,023.00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78,609.00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178,632.00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NAZARENO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613,989.00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520,770.00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1,134,759.00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NEJAPA DE MADERO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4,240,407.00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991,368.00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5,231,775.00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IXPANTEPEC NIEVES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539,316.00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158,565.00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697,881.00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NILTEPEC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2,190,951.00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718,104.00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2,909,055.00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OAXACA DE JUAREZ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34,198,140.00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35,329,356.00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69,527,496.00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OCOTLAN DE MORELOS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7,275,507.00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2,862,894.00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10,138,401.00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069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LA PE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1,140,870.00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328,131.00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1,469,001.00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PINOTEPA DE DON LUIS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3,938,475.00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889,278.00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4,827,753.00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PLUMA HIDALGO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2,263,941.00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410,499.00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2,674,440.00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DEL PROGRESO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3,279,525.00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882,573.00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4,162,098.00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PUTLA VILLA DE GUERRERO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11,953,233.00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4,278,984.00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16,232,217.00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QUIOQUITANI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233,988.00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67,743.00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301,731.00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REFORMA DE PINEDA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782,856.00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358,314.00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1,141,170.00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LA REFORMA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1,160,913.00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446,853.00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1,607,766.00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REYES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828,885.00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478,647.00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1,307,532.00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ROJAS DE CUAUHTEMOC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341,244.00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146,490.00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487,734.00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079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SALINA CRUZ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11,010,906.00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11,050,074.00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22,060,980.00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AMATENGO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581,577.00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176,004.00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757,581.00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ATENANGO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1,015,929.00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256,761.00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1,272,690.00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CHAYUCO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1,697,718.00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530,160.00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2,227,878.00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DE LAS JUNTAS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1,863,249.00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1,085,139.00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2,948,388.00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598,833.00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522,246.00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1,121,079.00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LOXICHA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20,672,361.00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3,027,096.00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23,699,457.00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TLACOTEPEC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596,304.00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117,246.00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713,550.00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AGUSTIN YATARENI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1,193,646.00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546,660.00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1,740,306.00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CABECERA NUEVA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2,049,609.00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382,461.00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2,432,070.00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089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DINICUITI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584,298.00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288,690.00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872,988.00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HUAXPALTEPEC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2,288,772.00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787,056.00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3,075,828.00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HUAYAPAM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713,994.00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654,516.00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1,368,510.00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621,000.00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193,041.00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814,041.00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LAGUNAS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204,621.00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67,743.00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272,364.00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NUXIÑO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1,075,893.00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254,616.00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1,330,509.00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PAXTLAN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3,101,400.00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535,257.00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3,636,657.00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SINAXTLA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181,971.00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103,563.00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285,534.00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SOLAGA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635,466.00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233,421.00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868,887.00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TEOTILALPAM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3,265,176.00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593,880.00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3,859,056.00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099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TEPETLAPA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263,280.00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63,720.00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327,000.00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YAA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263,901.00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66,672.00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330,573.00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ZABACHE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445,128.00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97,392.00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542,520.00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ANDRES ZAUTLA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1,938,303.00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590,931.00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2,529,234.00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ANTONINO CASTILLO VELASCO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1,914,669.00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758,079.00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2,672,748.00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ANTONINO EL ALTO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1,777,977.00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336,447.00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2,114,424.00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ANTONINO MONTE VERDE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3,282,120.00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892,095.00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4,174,215.00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ANTONIO ACUTLA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112,872.00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39,840.00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152,712.00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ANTONIO DE LA CAL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4,100,256.00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2,878,323.00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6,978,579.00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ANTONIO HUITEPEC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2,686,047.00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575,367.00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3,261,414.00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109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ANTONIO NANAHUATIPAM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290,847.00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165,405.00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456,252.00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ANTONIO SINICAHUA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1,635,375.00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215,040.00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1,850,415.00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ANTONIO TEPETLAPA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2,352,654.00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589,455.00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2,942,109.00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BALTAZAR CHICHICAPAM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1,097,697.00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327,189.00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1,424,886.00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BALTAZAR LOXICHA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1,292,859.00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379,911.00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1,672,770.00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BALTAZAR YATZACHI EL BAJO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290,559.00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90,819.00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381,378.00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 COYOTEPEC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1,296,807.00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1,164,957.00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2,461,764.00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BARTOLOME AYAUTLA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2,943,402.00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543,576.00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3,486,978.00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BARTOLOME LOXICHA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1,895,751.00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324,909.00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2,220,660.00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BARTOLOME QUIALANA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1,433,697.00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331,350.00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1,765,047.00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119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BARTOLOME YUCUAÑE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259,311.00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312,834.00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BARTOLOME ZOOGOCHO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102,816.00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49,365.00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152,181.00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 SOYALTEPEC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300,486.00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87,867.00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388,353.00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BARTOLO YAUTEPEC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376,803.00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90,819.00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467,622.00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BERNARDO MIXTEPEC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1,409,964.00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362,874.00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1,772,838.00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BLAS ATEMPA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9,808,020.00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2,293,161.00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12,101,181.00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CARLOS YAUTEPEC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7,319,661.00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1,584,714.00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8,904,375.00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CRISTOBAL AMATLAN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4,046,787.00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673,968.00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4,720,755.00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CRISTOBAL AMOLTEPEC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1,370,361.00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172,113.00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1,542,474.00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CRISTOBAL LACHIRIOAG</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400,464.00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165,003.00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565,467.00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129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CRISTOBAL SUCHIXTLAHUACA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90,996.00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44,805.00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135,801.00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DIONISIO DEL MAR</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3,115,119.00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683,895.00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3,799,014.00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DIONISIO OCOTEPEC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5,737,365.00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1,408,575.00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7,145,940.00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DIONISIO OCOTLAN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437,139.00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167,016.00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604,155.00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ESTEBAN ATATLAHUCA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4,600,845.00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533,112.00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5,133,957.00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FELIPE JALAPA DE DIAZ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14,396,514.00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3,600,318.00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17,996,832.00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FELIPE TEJALAPAM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3,659,262.00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964,134.00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4,623,396.00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FELIPE USILA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7,306,632.00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1,552,785.00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8,859,417.00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CAHUACUA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3,058,050.00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459,732.00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3,517,782.00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CAJONOS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148,458.00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61,707.00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210,165.00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139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CHAPULAPA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1,562,556.00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286,542.00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1,849,098.00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CHINDUA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324,753.00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110,940.00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435,693.00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DEL MAR</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3,292,524.00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970,173.00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4,262,697.00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HUEHUETLAN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615,465.00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155,613.00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771,078.00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IXHUATAN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2,990,472.00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1,201,848.00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4,192,320.00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JALTEPETONGO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626,250.00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148,905.00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775,155.00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LACHIGOLO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1,080,159.00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466,035.00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1,546,194.00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LOGUECHE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1,996,878.00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357,642.00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2,354,520.00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NUXAÑO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210,777.00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50,706.00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261,483.00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OZOLOTEPEC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1,163,934.00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260,919.00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1,424,853.00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149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SOLA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804,828.00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202,431.00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1,007,259.00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TELIXTLAHUACA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2,917,071.00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1,595,445.00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4,512,516.00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TEOPAN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203,130.00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52,854.00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255,984.00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FRANCISCO TLAPANCINGO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1,086,417.00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288,690.00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1,375,107.00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GABRIEL MIXTEPEC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2,444,970.00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634,932.00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3,079,902.00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ILDEFONSO AMATLAN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1,463,958.00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321,021.00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1,784,979.00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ILDEFONSO SOLA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556,626.00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126,099.00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682,725.00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ILDEFONSO VILLA ALTA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1,148,160.00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466,572.00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1,614,732.00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JACINTO AMILPAS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1,312,575.00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1,859,319.00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3,171,894.00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JACINTO TLACOTEPEC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1,453,716.00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299,286.00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1,753,002.00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159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JERONIMO COATLAN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3,678,723.00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730,983.00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4,409,706.00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JERONIMO SILACAYOAPILLA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602,376.00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194,382.00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796,758.00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JERONIMO SOSOLA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1,612,086.00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343,290.00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1,955,376.00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JERONIMO TAVICHE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1,232,592.00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247,908.00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1,480,500.00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JERONIMO TECOATL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1,053,792.00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215,442.00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1,269,234.00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JORGE NUCHITA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1,112,538.00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431,292.00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1,543,830.00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AYUQUILA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681,369.00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202,698.00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884,067.00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CHILTEPEC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4,951,548.00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1,478,199.00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6,429,747.00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DEL PEÑASCO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1,433,445.00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280,908.00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1,714,353.00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ESTANCIA GRANDE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451,221.00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131,064.00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582,285.00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169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INDEPENDENCIA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2,106,744.00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494,208.00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2,600,952.00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LACHIGUIRI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3,405,660.00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516,342.00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3,922,002.00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JOSE TENANGO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21,262,449.00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2,478,822.00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23,741,271.00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ACHIUTLA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142,743.00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57,684.00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200,427.00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358,818.00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203,505.00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562,323.00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ANIMAS TRUJANO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322,380.00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504,270.00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826,650.00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ATATLAHUCA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646,146.00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231,273.00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877,419.00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COIXTLAHUACA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1,869,936.00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376,692.00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2,246,628.00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CUICATLAN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3,286,365.00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1,266,510.00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4,552,875.00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GUELACHE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1,160,895.00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843,399.00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2,004,294.00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179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JAYACATLAN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686,169.00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196,125.00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882,294.00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LO DE SOTO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945,945.00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311,898.00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1,257,843.00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SUCHITEPEC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230,136.00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55,938.00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286,074.00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TLACOATZINTEPEC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1,502,622.00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307,470.00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1,810,092.00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TLACHICHILCO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721,887.00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194,115.00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916,002.00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TUXTEPEC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36,552,387.00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20,896,017.00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57,448,404.00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CACAHUATEPEC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2,533,344.00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1,164,420.00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3,697,764.00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CIENEGUILLA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249,552.00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81,159.00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330,711.00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COATZOSPAM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2,277,111.00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340,068.00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2,617,179.00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COLORADO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5,413,767.00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1,273,620.00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6,687,387.00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189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COMALTEPEC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3,355,170.00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337,653.00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3,692,823.00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COTZOCON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10,780,575.00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2,999,058.00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13,779,633.00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CHICOMEZUCHIL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61,392.00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42,927.00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104,319.00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CHILATECA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243,246.00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193,443.00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436,689.00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DEL ESTADO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827,682.00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341,544.00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1,169,226.00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DEL RIO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496,356.00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165,138.00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661,494.00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DIUXI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828,273.00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168,492.00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996,765.00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EVANGELISTA ANALCO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58,359.00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54,195.00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112,554.00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GUELAVIA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1,378,368.00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408,753.00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1,787,121.00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GUICHICOVI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14,826,822.00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3,775,251.00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18,602,073.00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199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IHUALTEPEC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450,159.00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95,646.00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545,805.00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JUQUILA MIXES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2,700,450.00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526,404.00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3,226,854.00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JUQUILA VIJANOS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760,914.00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245,760.00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1,006,674.00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LACHAO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2,424,507.00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607,833.00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3,032,340.00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LACHIGALLA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2,127,174.00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440,682.00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2,567,856.00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LAJARCIA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472,326.00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95,916.00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568,242.00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LALANA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13,716,174.00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2,333,940.00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16,050,114.00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DE LOS CUES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793,881.00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316,191.00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1,110,072.00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MAZATLAN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15,318,588.00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2,480,568.00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17,799,156.00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MIXTEPEC - DTO. 08 -</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5,642,904.00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1,021,014.00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6,663,918.00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209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MIXTEPEC - DTO. 26 -</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486,984.00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95,379.00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582,363.00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ÑUMI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4,677,108.00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894,243.00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5,571,351.00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OZOLOTEPEC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2,090,340.00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424,986.00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2,515,326.00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PETLAPA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5,545,719.00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376,557.00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5,922,276.00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QUIAHIJE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2,145,336.00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486,696.00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2,632,032.00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QUIOTEPEC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1,183,179.00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310,287.00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1,493,466.00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SAYULTEPEC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302,010.00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102,489.00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404,499.00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TABAA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355,782.00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178,551.00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534,333.00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TAMAZOLA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3,654,099.00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462,279.00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4,116,378.00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TEITA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434,412.00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81,429.00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515,841.00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219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TEITIPAC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1,291,512.00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344,094.00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1,635,606.00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TEPEUXILA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1,505,166.00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371,997.00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1,877,163.00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TEPOSCOLULA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572,775.00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179,760.00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752,535.00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YAEE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463,080.00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205,248.00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668,328.00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YATZONA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118,812.00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60,633.00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179,445.00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YUCUITA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258,075.00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91,758.00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349,833.00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LORENZO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4,347,819.00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798,861.00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5,146,680.00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LORENZO ALBARRADAS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1,564,347.00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363,276.00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1,927,623.00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LORENZO CACAOTEPEC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2,522,049.00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1,838,391.00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4,360,440.00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LORENZO CUAUNECUILTITLA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516,708.00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103,428.00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620,136.00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229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LORENZO TEXMELUCAN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4,980,954.00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945,489.00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5,926,443.00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LORENZO VICTORIA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317,715.00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135,087.00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452,802.00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LUCAS CAMOTLAN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2,745,849.00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405,936.00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3,151,785.00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LUCAS OJITLAN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14,160,081.00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2,886,102.00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17,046,183.00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LUCAS QUIAVINI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776,532.00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234,090.00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1,010,622.00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LUCAS ZOQUIAPAM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6,092,655.00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1,013,367.00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7,106,022.00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LUIS AMATLAN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2,442,717.00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486,159.00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2,928,876.00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MARCIAL OZOLOTEPEC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1,683,414.00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204,576.00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1,887,990.00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MARCOS ARTEAGA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504,333.00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208,869.00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713,202.00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DE LOS CANSECOS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397,320.00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109,464.00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506,784.00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239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HUAMELULPAM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652,551.00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144,477.00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797,028.00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ITUNYOSO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1,873,425.00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330,009.00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2,203,434.00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LACHILA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486,825.00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145,416.00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632,241.00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PERAS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7,008,885.00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1,524,078.00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8,532,963.00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TILCAJETE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591,597.00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233,688.00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825,285.00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TOXPALAN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1,238,841.00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492,195.00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1,731,036.00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MARTIN ZACATEPEC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535,119.00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171,309.00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706,428.00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CAJONOS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242,658.00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83,172.00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325,830.00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CAPULALPAM DE MENDEZ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145,572.00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196,797.00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342,369.00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DEL MAR</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12,232,491.00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1,911,906.00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14,144,397.00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249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YOLOXOCHITLAN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1,744,035.00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466,170.00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2,210,205.00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ETLATONGO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556,479.00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158,430.00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714,909.00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NEJAPAM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558,651.00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158,295.00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716,946.00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PEÑASCO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1,557,888.00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283,860.00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1,841,748.00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PIÑAS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2,521,368.00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298,617.00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2,819,985.00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RIO HONDO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3,070,581.00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443,766.00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3,514,347.00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SINDIHUI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1,267,506.00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279,837.00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1,547,343.00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TLAPILTEPEC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68,184.00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31,389.00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99,573.00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MELCHOR BETAZA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749,688.00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146,355.00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896,043.00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ACHIUTLA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349,875.00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99,807.00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449,682.00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259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AHUEHUETITLAN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1,563,591.00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330,678.00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1,894,269.00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ALOAPAM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1,417,242.00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333,765.00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1,751,007.00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AMATITLAN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4,772,697.00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971,781.00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5,744,478.00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AMATLAN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327,537.00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139,917.00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467,454.00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COATLAN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4,230,546.00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467,244.00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4,697,790.00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CHICAHUA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1,637,493.00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305,055.00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1,942,548.00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CHIMALAPA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4,018,467.00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886,461.00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4,904,928.00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DEL PUERTO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5,001,780.00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1,137,726.00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6,139,506.00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DEL RIO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43,485.00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39,438.00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82,923.00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EJUTLA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274,644.00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122,880.00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397,524.00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269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EL GRANDE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2,178,801.00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553,635.00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2,732,436.00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HUAUTLA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1,498,671.00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187,674.00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1,686,345.00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MIXTEPEC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2,589,219.00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435,315.00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3,024,534.00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PANIXTLAHUACA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3,164,952.00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826,497.00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3,991,449.00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PERAS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2,918,772.00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469,122.00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3,387,894.00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PIEDRAS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955,803.00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173,856.00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1,129,659.00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QUETZALTEPEC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4,323,444.00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978,354.00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5,301,798.00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SANTA FLOR</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577,110.00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107,454.00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684,564.00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SOLA DE VEGA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8,831,919.00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1,680,228.00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10,512,147.00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SOYALTEPEC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16,843,170.00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4,905,060.00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21,748,230.00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279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SUCHIXTEPEC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2,052,669.00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390,510.00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2,443,179.00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TALEA DE CASTRO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593,013.00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321,153.00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914,166.00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TECOMATLAN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73,629.00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41,316.00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114,945.00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TENANGO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551,358.00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106,515.00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657,873.00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TEQUIXTEPEC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349,344.00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139,782.00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489,126.00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TILQUIAPAM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2,013,933.00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423,912.00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2,437,845.00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TLACAMAMA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1,384,104.00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454,230.00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1,838,334.00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TLACOTEPEC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1,418,124.00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431,961.00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1,850,085.00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TULANCINGO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123,915.00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46,413.00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170,328.00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MIGUEL YOTAO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222,957.00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81,963.00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304,920.00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289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NICOLAS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449,586.00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153,333.00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602,919.00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NICOLAS HIDALGO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354,297.00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135,759.00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490,056.00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COATLAN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2,483,865.00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559,002.00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3,042,867.00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CUATRO VENADOS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1,270,308.00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186,198.00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1,456,506.00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1,907,724.00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2,084,019.00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3,991,743.00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HUITZO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1,695,594.00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846,084.00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2,541,678.00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HUIXTEPEC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2,379,600.00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1,210,704.00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3,590,304.00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MACUILTIANGUIS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268,074.00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124,623.00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392,697.00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TIJALTEPEC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1,786,596.00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288,420.00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2,075,016.00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VILLA DE MITLA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5,152,635.00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1,586,322.00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6,738,957.00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299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PABLO YAGANIZA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487,044.00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148,638.00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635,682.00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AMUZGOS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3,424,698.00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867,681.00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4,292,379.00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APOSTOL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458,718.00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207,126.00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665,844.00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ATOYAC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2,395,890.00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554,844.00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2,950,734.00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CAJONOS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336,060.00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157,221.00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493,281.00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COXCALTEPEC CANTAROS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510,459.00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114,159.00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624,618.00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COMITANCILLO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604,749.00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529,086.00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1,133,835.00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EL ALTO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2,326,155.00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523,587.00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2,849,742.00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HUAMELULA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3,477,435.00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1,287,033.00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4,764,468.00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HUILOTEPEC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772,152.00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380,850.00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1,153,002.00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309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IXCATLAN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5,701,866.00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1,391,268.00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7,093,134.00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3,124,371.00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915,171.00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4,039,542.00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JALTEPETONGO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178,209.00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61,440.00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239,649.00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JICAYAN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5,564,988.00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1,550,103.00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7,115,091.00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JOCOTIPAC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594,204.00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111,879.00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706,083.00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JUCHATENGO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500,265.00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227,115.00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727,380.00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MARTIR</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1,062,366.00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229,530.00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1,291,896.00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MARTIR QUIECHAPA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391,542.00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101,013.00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492,555.00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MARTIR YUCUXACO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806,745.00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188,478.00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995,223.00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MIXTEPEC - DTO. 22 -</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10,146,432.00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5,749,671.00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15,896,103.00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319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MIXTEPEC - DTO. 26 -</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635,346.00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147,429.00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782,775.00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MOLINOS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376,947.00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96,990.00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473,937.00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NOPALA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416,607.00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112,686.00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529,293.00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OCOPETATILLO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579,810.00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118,587.00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698,397.00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OCOTEPEC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1,527,675.00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286,410.00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1,814,085.00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POCHUTLA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17,910,279.00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5,883,819.00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23,794,098.00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QUIATONI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10,319,277.00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1,407,366.00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11,726,643.00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SOCHIAPAM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3,311,358.00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664,980.00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3,976,338.00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TAPANATEPEC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5,122,683.00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1,877,025.00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6,999,708.00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TAVICHE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843,957.00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157,356.00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1,001,313.00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329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TEOZACOALCO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750,771.00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177,078.00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927,849.00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TEUTILA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2,702,190.00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573,759.00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3,275,949.00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TIDAA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723,747.00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119,928.00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843,675.00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TOPILTEPEC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110,943.00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54,462.00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165,405.00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TOTOLAPAM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772,932.00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349,191.00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1,122,123.00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DE TUTUTEPEC DE MELCHOR OCAMPO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17,474,313.00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5,890,929.00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23,365,242.00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YANERI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411,117.00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134,418.00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545,535.00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YOLOX</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1,349,586.00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304,116.00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1,653,702.00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Y SAN PABLO AYUTLA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5,758,755.00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751,506.00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6,510,261.00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DE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1,630,890.00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1,244,910.00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2,875,800.00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339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Y SAN PABLO TEPOSCOLULA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1,053,486.00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535,122.00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1,588,608.00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Y SAN PABLO TEQUIXTEPEC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879,945.00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251,931.00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1,131,876.00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PEDRO YUCUNAMA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65,109.00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31,122.00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96,231.00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RAYMUNDO JALPAN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658,470.00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278,895.00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937,365.00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ABASOLO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818,205.00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248,043.00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1,066,248.00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COATLAN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1,386,987.00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350,532.00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1,737,519.00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IXCAPA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1,462,350.00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532,305.00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1,994,655.00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NICANANDUTA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323,865.00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194,382.00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518,247.00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RIO HONDO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2,882,271.00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491,523.00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3,373,794.00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TECOMAXTLAHUACA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4,361,016.00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1,106,199.00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5,467,215.00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349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TEITIPAC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949,731.00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265,080.00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1,214,811.00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SEBASTIAN TUTLA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1,317,465.00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2,178,729.00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3,496,194.00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SIMON ALMOLONGAS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1,480,065.00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351,873.00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1,831,938.00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SIMON ZAHUATLAN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2,397,846.00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514,197.00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2,912,043.00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991,773.00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265,347.00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1,257,120.00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ATEIXTLAHUACA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634,956.00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68,415.00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703,371.00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CUAUHTEMOC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572,811.00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99,000.00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671,811.00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DEL VALLE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596,232.00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267,360.00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863,592.00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TAVELA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591,012.00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121,806.00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712,818.00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TLAPACOYAN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1,039,527.00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248,712.00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1,288,239.00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359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YARENI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306,954.00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108,525.00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415,479.00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ANA ZEGACHE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1,942,530.00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481,866.00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2,424,396.00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CATALINA QUIERI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529,794.00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123,684.00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653,478.00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CUIXTLA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493,479.00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200,688.00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694,167.00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IXTEPEJI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875,223.00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353,217.00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1,228,440.00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JUQUILA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6,588,591.00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1,973,346.00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8,561,937.00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LACHATAO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620,979.00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175,332.00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796,311.00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LOXICHA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3,388,002.00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534,720.00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3,922,722.00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MECHOACAN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2,656,512.00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609,441.00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3,265,953.00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MINAS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906,006.00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243,615.00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1,149,621.00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369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QUIANE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448,185.00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247,773.00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695,958.00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TAYATA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337,254.00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91,086.00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428,340.00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TICUA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772,941.00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127,977.00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900,918.00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YOSONOTU</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1,488,246.00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253,005.00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1,741,251.00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CATARINA ZAPOQUILA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273,933.00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60,099.00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334,032.00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ACATEPEC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1,225,398.00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197,199.00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1,422,597.00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AMILPAS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1,449,609.00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1,357,596.00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2,807,205.00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DE BRAVO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139,785.00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48,828.00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188,613.00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ITUNDUJIA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10,325,214.00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1,472,295.00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11,797,509.00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MIXTEPEC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1,809,405.00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484,950.00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2,294,355.00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379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NUNDACO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1,803,717.00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396,813.00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2,200,530.00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PAPALUTLA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955,353.00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264,543.00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1,219,896.00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TACACHE DE MINA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628,323.00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349,593.00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977,916.00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TACAHUA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1,230,630.00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156,954.00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1,387,584.00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TAYATA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305,259.00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81,561.00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386,820.00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XITLA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2,703,636.00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605,553.00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3,309,189.00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XOXOCOTLAN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14,697,351.00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10,441,299.00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25,138,650.00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CRUZ ZENZONTEPEC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13,313,445.00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2,400,882.00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15,714,327.00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GERTRUDIS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1,001,475.00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383,400.00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1,384,875.00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INES DEL MONTE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1,971,684.00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340,068.00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2,311,752.00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389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INES YATZECHE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648,870.00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123,552.00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772,422.00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LUCIA DEL CAMINO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4,253,541.00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6,352,809.00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10,606,350.00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LUCIA MIAHUATLAN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3,465,801.00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450,207.00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3,916,008.00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LUCIA MONTEVERDE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6,027,723.00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895,854.00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6,923,577.00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LUCIA OCOTLAN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1,897,050.00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483,474.00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2,380,524.00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ALOTEPEC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1,296,933.00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372,666.00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1,669,599.00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APAZCO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1,947,405.00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254,616.00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2,202,021.00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LA ASUNCION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2,771,025.00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436,254.00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3,207,279.00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HEROICA CIUDAD DE TLAXIACO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14,783,385.00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5,158,470.00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19,941,855.00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AYOQUEZCO DE ALDAMA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2,476,116.00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591,063.00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3,067,179.00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399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ATZOMPA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6,644,316.00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3,684,429.00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10,328,745.00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CAMOTLAN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662,934.00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218,931.00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881,865.00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7,623,513.00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3,026,691.00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10,650,204.00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CORTIJO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446,772.00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145,284.00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592,056.00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COYOTEPEC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557,244.00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371,862.00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929,106.00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CHACHOAPAM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295,146.00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102,756.00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397,902.00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DE CHILAPA DE DIAZ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636,585.00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259,176.00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895,761.00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CHILCHOTLA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18,043,386.00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2,761,344.00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20,804,730.00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CHIMALAPA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4,877,988.00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1,141,080.00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6,019,068.00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DEL ROSARIO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268,593.00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64,392.00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332,985.00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409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DEL TULE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1,024,986.00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1,095,333.00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2,120,319.00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ECATEPEC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1,088,907.00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464,292.00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1,553,199.00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GUELACE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213,891.00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109,464.00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323,355.00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GUIENAGATI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2,660,250.00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405,801.00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3,066,051.00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HUATULCO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9,042,150.00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5,182,080.00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14,224,230.00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HUAZOLOTITLAN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4,604,934.00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1,448,013.00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6,052,947.00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IPALAPA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1,798,887.00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655,725.00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2,454,612.00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IXCATLAN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375,975.00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69,219.00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445,194.00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JACATEPEC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4,784,571.00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1,239,546.00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6,024,117.00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JALAPA DEL MARQUES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3,801,588.00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1,594,773.00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5,396,361.00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419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JALTIANGUIS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110,016.00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77,136.00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187,152.00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LACHIXIO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1,296,858.00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225,372.00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1,522,230.00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MIXTEQUILLA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1,132,563.00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595,893.00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1,728,456.00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NATIVITAS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301,518.00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91,356.00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392,874.00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NDUAYACO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336,678.00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73,782.00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410,460.00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OZOLOTEPEC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2,720,919.00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535,527.00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3,256,446.00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PAPALO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1,428,876.00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296,337.00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1,725,213.00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PEÑOLES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6,655,272.00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1,055,088.00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7,710,360.00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PETAPA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4,793,919.00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2,064,165.00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6,858,084.00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QUIEGOLANI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973,443.00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237,444.00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1,210,887.00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429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SOLA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804,672.00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204,444.00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1,009,116.00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TATALTEPEC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174,732.00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33,939.00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208,671.00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TECOMAVACA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436,695.00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237,981.00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674,676.00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TEMAXCALAPA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309,174.00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129,855.00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439,029.00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TEMAXCALTEPEC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1,777,704.00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348,117.00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2,125,821.00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TEOPOXCO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2,638,101.00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623,931.00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3,262,032.00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TEPANTLALI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3,448,581.00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470,193.00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3,918,774.00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TEXCATITLAN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653,508.00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149,307.00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802,815.00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TLAHUITOLTEPEC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9,106,506.00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1,296,291.00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10,402,797.00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TLALIXTAC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1,089,912.00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235,299.00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1,325,211.00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439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TONAMECA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13,964,556.00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3,262,260.00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17,226,816.00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TOTOLAPILLA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397,353.00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120,198.00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517,551.00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XADANI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3,048,480.00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1,043,820.00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4,092,300.00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YALINA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104,277.00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47,487.00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151,764.00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YAVESIA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173,739.00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60,099.00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233,838.00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YOLOTEPEC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484,710.00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61,842.00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546,552.00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YOSOYUA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928,002.00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220,272.00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1,148,274.00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YUCUHITI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3,320,991.00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878,817.00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4,199,808.00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ZACATEPEC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5,772,603.00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2,022,444.00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7,795,047.00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ZANIZA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1,091,610.00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269,505.00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1,361,115.00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449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MARIA ZOQUITLAN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1,418,481.00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450,609.00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1,869,090.00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AMOLTEPEC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13,151,394.00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1,651,788.00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14,803,182.00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APOALA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818,028.00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141,258.00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959,286.00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APOSTOL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2,151,504.00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566,112.00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2,717,616.00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ASTATA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1,264,641.00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525,195.00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1,789,836.00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ATITLAN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2,913,966.00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426,597.00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3,340,563.00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AYUQUILILLA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1,297,359.00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368,643.00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1,666,002.00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CACALOXTEPEC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711,960.00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226,176.00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938,136.00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CAMOTLAN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4,285,368.00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455,439.00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4,740,807.00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COMALTEPEC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334,944.00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149,577.00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484,521.00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459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CHAZUMBA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1,597,716.00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600,858.00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2,198,574.00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CHOAPAM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3,973,644.00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726,153.00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4,699,797.00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DEL RIO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452,028.00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82,368.00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534,396.00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HUAJOLOTITLAN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1,339,899.00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583,551.00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1,923,450.00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HUAUCLILLA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321,516.00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88,941.00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410,457.00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IHUITLAN PLUMAS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209,808.00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64,392.00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274,200.00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IXCUINTEPEC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855,591.00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210,345.00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1,065,936.00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IXTAYUTLA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10,067,484.00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1,598,664.00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11,666,148.00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JAMILTEPEC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6,902,394.00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2,466,078.00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9,368,472.00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JOCOTEPEC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7,291,722.00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1,820,148.00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9,111,870.00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469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JUXTLAHUACA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18,751,476.00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4,417,158.00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23,168,634.00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LACHIGUIRI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3,201,978.00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629,565.00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3,831,543.00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LALOPA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116,664.00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66,537.00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183,201.00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LAOLLAGA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1,032,543.00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429,009.00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1,461,552.00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LAXOPA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619,623.00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187,005.00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806,628.00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LLANO GRANDE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1,393,605.00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437,328.00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1,830,933.00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MATATLAN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4,265,184.00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1,294,950.00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5,560,134.00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MILTEPEC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182,670.00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54,867.00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237,537.00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MINAS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1,035,834.00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191,832.00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1,227,666.00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NACALTEPEC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840,330.00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256,629.00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1,096,959.00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479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NEJAPILLA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139,656.00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29,376.00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169,032.00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NUNDICHE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839,796.00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129,723.00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969,519.00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NUYOO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1,220,562.00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263,739.00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1,484,301.00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PINOTEPA NACIONAL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17,966,775.00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6,748,953.00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24,715,728.00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SUCHILQUITONGO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3,842,994.00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1,280,058.00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5,123,052.00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TAMAZOLA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1,627,584.00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564,369.00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2,191,953.00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TAPEXTLA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1,664,073.00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406,608.00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2,070,681.00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TEJUPAM DE LA UNION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705,684.00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331,215.00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1,036,899.00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TENANGO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925,389.00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260,919.00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1,186,308.00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TEPETLAPA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32,070.00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17,571.00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49,641.00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489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TETEPEC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2,837,391.00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664,443.00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3,501,834.00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TEXCALCINGO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1,474,449.00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412,644.00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1,887,093.00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TEXTITLAN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1,949,805.00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559,404.00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2,509,209.00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TILANTONGO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2,700,000.00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430,620.00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3,130,620.00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TILLO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219,408.00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74,184.00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293,592.00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TLAZOYALTEPEC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4,427,043.00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656,529.00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5,083,572.00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XANICA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1,930,488.00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386,886.00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2,317,374.00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XIACUI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587,571.00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291,237.00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878,808.00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YAITEPEC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2,820,012.00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552,966.00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3,372,978.00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YAVEO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3,543,468.00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894,108.00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4,437,576.00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499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YOLOMECATL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535,437.00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271,116.00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806,553.00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YOSONDUA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4,746,444.00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1,057,503.00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5,803,947.00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YUCUYACHI</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399,645.00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126,099.00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525,744.00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ZACATEPEC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5,167,170.00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739,836.00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5,907,006.00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SANTIAGO ZOOCHILA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83,688.00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50,172.00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133,860.00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NUEVO ZOQUIAPAM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436,596.00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221,613.00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658,209.00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INGENIO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2,053,461.00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1,013,367.00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3,066,828.00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ALBARRADAS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242,058.00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104,904.00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346,962.00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ARMENTA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1,523,466.00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432,498.00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1,955,964.00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CHIHUITAN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401,415.00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204,042.00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605,457.00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509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DE MORELOS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7,318,716.00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1,414,878.00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8,733,594.00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IXCATLAN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870,960.00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117,648.00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988,608.00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NUXAA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3,667,599.00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484,281.00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4,151,880.00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OZOLOTEPEC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549,168.00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122,478.00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671,646.00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PETAPA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3,037,722.00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1,126,053.00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4,163,775.00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ROAYAGA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1,291,200.00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133,746.00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1,424,946.00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TEHUANTEPEC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15,675,312.00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8,300,130.00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23,975,442.00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TEOJOMULCO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2,262,144.00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613,197.00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2,875,341.00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TEPUXTEPEC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4,682,451.00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696,774.00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5,379,225.00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TLATAYAPAM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67,041.00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20,523.00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87,564.00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519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TOMALTEPEC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779,091.00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374,277.00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1,153,368.00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TONALA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2,802,432.00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959,574.00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3,762,006.00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TONALTEPEC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193,584.00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37,023.00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230,607.00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XAGACIA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638,493.00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162,723.00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801,216.00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YANHUITLAN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701,808.00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215,847.00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917,655.00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YODOHINO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149,922.00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49,500.00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199,422.00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DOMINGO ZANATEPEC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3,199,479.00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1,504,893.00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4,704,372.00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SANTOS REYES NOPALA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8,804,163.00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2,144,520.00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10,948,683.00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SANTOS REYES PAPALO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1,699,200.00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379,509.00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2,078,709.00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SANTOS REYES TEPEJILLO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551,289.00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162,723.00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714,012.00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529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SANTOS REYES YUCUNA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878,283.00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178,686.00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1,056,969.00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TOMAS JALIEZA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1,989,846.00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454,095.00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2,443,941.00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TOMAS MAZALTEPEC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643,194.00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312,972.00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956,166.00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TOMAS OCOTEPEC</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2,853,873.00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546,795.00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3,400,668.00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SANTO TOMAS TAMAZULAPAN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869,310.00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293,922.00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1,163,232.00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VICENTE COATLAN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2,556,873.00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531,768.00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3,088,641.00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VICENTE LACHIXIO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2,142,666.00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399,228.00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2,541,894.00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VICENTE NUÑU</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203,328.00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66,135.00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269,463.00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SILACAYOAPAM</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3,407,118.00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905,109.00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4,312,227.00</w:t>
            </w:r>
          </w:p>
        </w:tc>
      </w:tr>
    </w:tbl>
    <w:p w:rsidR="00AF39FB" w:rsidRDefault="00AF39FB"/>
    <w:tbl>
      <w:tblPr>
        <w:tblW w:w="8460" w:type="dxa"/>
        <w:tblInd w:w="55" w:type="dxa"/>
        <w:tblCellMar>
          <w:left w:w="70" w:type="dxa"/>
          <w:right w:w="70" w:type="dxa"/>
        </w:tblCellMar>
        <w:tblLook w:val="04A0"/>
      </w:tblPr>
      <w:tblGrid>
        <w:gridCol w:w="420"/>
        <w:gridCol w:w="3156"/>
        <w:gridCol w:w="1821"/>
        <w:gridCol w:w="1616"/>
        <w:gridCol w:w="1447"/>
      </w:tblGrid>
      <w:tr w:rsidR="00AF39FB" w:rsidRPr="004459C7" w:rsidTr="00AF39F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N.</w:t>
            </w:r>
          </w:p>
        </w:tc>
        <w:tc>
          <w:tcPr>
            <w:tcW w:w="3156" w:type="dxa"/>
            <w:tcBorders>
              <w:top w:val="single" w:sz="4" w:space="0" w:color="auto"/>
              <w:left w:val="nil"/>
              <w:bottom w:val="single" w:sz="4" w:space="0" w:color="auto"/>
              <w:right w:val="nil"/>
            </w:tcBorders>
            <w:shd w:val="clear" w:color="000000" w:fill="D8D8D8"/>
            <w:noWrap/>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MUNICIPIO</w:t>
            </w:r>
          </w:p>
        </w:tc>
        <w:tc>
          <w:tcPr>
            <w:tcW w:w="1821"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Fondo de Aportaciones para la Infraestructura Social</w:t>
            </w:r>
          </w:p>
        </w:tc>
        <w:tc>
          <w:tcPr>
            <w:tcW w:w="1616"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 xml:space="preserve">Fondo de Aportaciones para el Fortalecimiento de los Municipios </w:t>
            </w:r>
          </w:p>
        </w:tc>
        <w:tc>
          <w:tcPr>
            <w:tcW w:w="1447" w:type="dxa"/>
            <w:tcBorders>
              <w:top w:val="single" w:sz="4" w:space="0" w:color="auto"/>
              <w:left w:val="nil"/>
              <w:bottom w:val="single" w:sz="4" w:space="0" w:color="auto"/>
              <w:right w:val="nil"/>
            </w:tcBorders>
            <w:shd w:val="clear" w:color="000000" w:fill="D8D8D8"/>
            <w:vAlign w:val="center"/>
            <w:hideMark/>
          </w:tcPr>
          <w:p w:rsidR="00AF39FB" w:rsidRPr="004459C7" w:rsidRDefault="00AF39FB" w:rsidP="00AF39FB">
            <w:pPr>
              <w:jc w:val="center"/>
              <w:rPr>
                <w:rFonts w:ascii="Calibri" w:hAnsi="Calibri"/>
                <w:b/>
                <w:bCs/>
                <w:color w:val="000000"/>
                <w:sz w:val="16"/>
                <w:szCs w:val="16"/>
                <w:lang w:val="es-MX" w:eastAsia="es-MX"/>
              </w:rPr>
            </w:pPr>
            <w:r w:rsidRPr="004459C7">
              <w:rPr>
                <w:rFonts w:ascii="Calibri" w:hAnsi="Calibri"/>
                <w:b/>
                <w:bCs/>
                <w:color w:val="000000"/>
                <w:sz w:val="16"/>
                <w:szCs w:val="16"/>
                <w:lang w:val="es-MX" w:eastAsia="es-MX"/>
              </w:rPr>
              <w:t>Suma</w:t>
            </w:r>
          </w:p>
        </w:tc>
      </w:tr>
      <w:tr w:rsidR="00AF39FB" w:rsidRPr="004459C7" w:rsidTr="00AF39FB">
        <w:trPr>
          <w:trHeight w:val="225"/>
        </w:trPr>
        <w:tc>
          <w:tcPr>
            <w:tcW w:w="420"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3156" w:type="dxa"/>
            <w:tcBorders>
              <w:top w:val="single" w:sz="4" w:space="0" w:color="auto"/>
              <w:left w:val="nil"/>
              <w:right w:val="nil"/>
            </w:tcBorders>
            <w:shd w:val="clear" w:color="auto" w:fill="auto"/>
            <w:noWrap/>
            <w:vAlign w:val="center"/>
            <w:hideMark/>
          </w:tcPr>
          <w:p w:rsidR="00AF39FB" w:rsidRPr="004459C7" w:rsidRDefault="00AF39FB" w:rsidP="00AF39FB">
            <w:pPr>
              <w:jc w:val="center"/>
              <w:rPr>
                <w:rFonts w:ascii="Calibri" w:hAnsi="Calibri"/>
                <w:b/>
                <w:bCs/>
                <w:color w:val="000000"/>
                <w:sz w:val="16"/>
                <w:szCs w:val="16"/>
                <w:lang w:val="es-MX" w:eastAsia="es-MX"/>
              </w:rPr>
            </w:pPr>
          </w:p>
        </w:tc>
        <w:tc>
          <w:tcPr>
            <w:tcW w:w="1821"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616"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c>
          <w:tcPr>
            <w:tcW w:w="1447" w:type="dxa"/>
            <w:tcBorders>
              <w:top w:val="single" w:sz="4" w:space="0" w:color="auto"/>
              <w:left w:val="nil"/>
              <w:right w:val="nil"/>
            </w:tcBorders>
            <w:shd w:val="clear" w:color="auto" w:fill="auto"/>
            <w:noWrap/>
            <w:vAlign w:val="center"/>
            <w:hideMark/>
          </w:tcPr>
          <w:p w:rsidR="00AF39FB" w:rsidRPr="004459C7" w:rsidRDefault="00AF39FB" w:rsidP="00AF39FB">
            <w:pPr>
              <w:jc w:val="right"/>
              <w:rPr>
                <w:rFonts w:ascii="Calibri" w:hAnsi="Calibri"/>
                <w:b/>
                <w:bCs/>
                <w:color w:val="000000"/>
                <w:sz w:val="16"/>
                <w:szCs w:val="16"/>
                <w:lang w:val="es-MX" w:eastAsia="es-MX"/>
              </w:rPr>
            </w:pP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SITIO DE XITLAPEHUA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222,654.00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94,575.00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317,229.00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539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SOLEDAD ETLA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1,049,664.00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674,103.00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1,723,767.00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DE TAMAZULAPAM DEL PROGRESO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1,671,258.00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946,965.00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2,618,223.00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TANETZE DE ZARAGOZA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851,247.00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228,993.00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1,080,240.00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TANICHE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273,768.00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100,074.00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373,842.00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TATALTEPEC DE VALDES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4,049,034.00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746,007.00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4,795,041.00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TEOCOCUILCO DE MARCOS PEREZ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509,379.00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148,368.00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657,747.00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TEOTITLAN DE FLORES MAGON</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2,019,669.00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1,202,787.00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3,222,456.00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TEOTITLAN DEL VALLE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2,370,864.00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756,336.00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3,127,200.00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TEOTONGO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407,985.00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127,575.00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535,560.00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TEPELMEME VILLA DE MORELOS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975,318.00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232,614.00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1,207,932.00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549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HEROICA VILLA TEZOATLAN DE SEGURA Y LUNA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5,904,780.00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1,518,444.00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7,423,224.00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JERONIMO TLACOCHAHUAYA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1,607,793.00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680,943.00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2,288,736.00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TLACOLULA DE MATAMOROS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5,248,692.00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2,632,692.00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7,881,384.00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TLACOTEPEC PLUMAS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174,072.00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68,415.00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242,487.00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TLALIXTAC DE CABRERA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1,878,894.00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1,263,291.00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3,142,185.00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TOTONTEPEC VILLA DE MORELOS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3,298,188.00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750,972.00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4,049,160.00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TRINIDAD ZAACHILA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1,105,227.00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355,899.00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1,461,126.00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LA TRINIDAD VISTA HERMOSA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111,408.00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33,402.00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144,810.00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UNION HIDALGO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2,561,829.00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1,874,076.00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4,435,905.00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VALERIO TRUJANO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497,949.00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206,991.00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704,940.00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559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JUAN BAUTISTA VALLE NACIONAL</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10,355,136.00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3,011,130.00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13,366,266.00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DIAZ ORDAZ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3,238,524.00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828,240.00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4,066,764.00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561</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YAXE</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1,910,397.00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359,922.00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2,270,319.00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562</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MAGDALENA YODOCONO DE PORFIRIO DIAZ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556,614.00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195,588.00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752,202.00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563</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YOGANA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841,683.00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175,467.00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1,017,150.00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564</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YUTANDUCHI DE GUERRERO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813,918.00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173,319.00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987,237.00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565</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VILLA DE ZAACHILA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14,397,975.00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4,574,649.00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18,972,624.00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566</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 MATEO YACUTINDO</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2,023,590.00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407,010.00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2,430,600.00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567</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ZAPOTITLAN LAGUNAS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1,906,839.00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420,291.00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2,327,130.00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568</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ZAPOTITLAN PALMAS</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952,059.00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203,103.00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1,155,162.00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569</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SANTA INES DE ZARAGOZA</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1,142,364.00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228,993.00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1,371,357.00</w:t>
            </w:r>
          </w:p>
        </w:tc>
      </w:tr>
      <w:tr w:rsidR="004459C7" w:rsidRPr="004459C7" w:rsidTr="004459C7">
        <w:trPr>
          <w:trHeight w:val="225"/>
        </w:trPr>
        <w:tc>
          <w:tcPr>
            <w:tcW w:w="420"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570</w:t>
            </w:r>
          </w:p>
        </w:tc>
        <w:tc>
          <w:tcPr>
            <w:tcW w:w="3156" w:type="dxa"/>
            <w:tcBorders>
              <w:top w:val="nil"/>
              <w:left w:val="nil"/>
              <w:bottom w:val="nil"/>
              <w:right w:val="nil"/>
            </w:tcBorders>
            <w:shd w:val="clear" w:color="auto" w:fill="auto"/>
            <w:noWrap/>
            <w:vAlign w:val="center"/>
            <w:hideMark/>
          </w:tcPr>
          <w:p w:rsidR="004459C7" w:rsidRPr="004459C7" w:rsidRDefault="004459C7" w:rsidP="004459C7">
            <w:pPr>
              <w:rPr>
                <w:rFonts w:ascii="Calibri" w:hAnsi="Calibri"/>
                <w:color w:val="000000"/>
                <w:sz w:val="16"/>
                <w:szCs w:val="16"/>
                <w:lang w:val="es-MX" w:eastAsia="es-MX"/>
              </w:rPr>
            </w:pPr>
            <w:r w:rsidRPr="004459C7">
              <w:rPr>
                <w:rFonts w:ascii="Calibri" w:hAnsi="Calibri"/>
                <w:color w:val="000000"/>
                <w:sz w:val="16"/>
                <w:szCs w:val="16"/>
                <w:lang w:val="es-MX" w:eastAsia="es-MX"/>
              </w:rPr>
              <w:t xml:space="preserve"> ZIMATLAN DE ALVAREZ</w:t>
            </w:r>
          </w:p>
        </w:tc>
        <w:tc>
          <w:tcPr>
            <w:tcW w:w="1821"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6,190,929.00</w:t>
            </w:r>
          </w:p>
        </w:tc>
        <w:tc>
          <w:tcPr>
            <w:tcW w:w="1616"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2,577,693.00</w:t>
            </w:r>
          </w:p>
        </w:tc>
        <w:tc>
          <w:tcPr>
            <w:tcW w:w="1447" w:type="dxa"/>
            <w:tcBorders>
              <w:top w:val="nil"/>
              <w:left w:val="nil"/>
              <w:bottom w:val="nil"/>
              <w:right w:val="nil"/>
            </w:tcBorders>
            <w:shd w:val="clear" w:color="auto" w:fill="auto"/>
            <w:noWrap/>
            <w:vAlign w:val="center"/>
            <w:hideMark/>
          </w:tcPr>
          <w:p w:rsidR="004459C7" w:rsidRPr="004459C7" w:rsidRDefault="004459C7" w:rsidP="004459C7">
            <w:pPr>
              <w:jc w:val="right"/>
              <w:rPr>
                <w:rFonts w:ascii="Calibri" w:hAnsi="Calibri"/>
                <w:color w:val="000000"/>
                <w:sz w:val="16"/>
                <w:szCs w:val="16"/>
                <w:lang w:val="es-MX" w:eastAsia="es-MX"/>
              </w:rPr>
            </w:pPr>
            <w:r w:rsidRPr="004459C7">
              <w:rPr>
                <w:rFonts w:ascii="Calibri" w:hAnsi="Calibri"/>
                <w:color w:val="000000"/>
                <w:sz w:val="16"/>
                <w:szCs w:val="16"/>
                <w:lang w:val="es-MX" w:eastAsia="es-MX"/>
              </w:rPr>
              <w:t>8,768,622.00</w:t>
            </w:r>
          </w:p>
        </w:tc>
      </w:tr>
    </w:tbl>
    <w:p w:rsidR="004459C7" w:rsidRDefault="004459C7" w:rsidP="00A271FE">
      <w:pPr>
        <w:spacing w:after="240"/>
        <w:contextualSpacing/>
        <w:jc w:val="both"/>
        <w:rPr>
          <w:rFonts w:ascii="Arial" w:hAnsi="Arial" w:cs="Arial"/>
          <w:b/>
          <w:kern w:val="2"/>
          <w:lang w:eastAsia="en-US"/>
        </w:rPr>
      </w:pPr>
    </w:p>
    <w:p w:rsidR="004459C7" w:rsidRDefault="004459C7" w:rsidP="00A271FE">
      <w:pPr>
        <w:spacing w:after="240"/>
        <w:contextualSpacing/>
        <w:jc w:val="both"/>
        <w:rPr>
          <w:rFonts w:ascii="Arial" w:hAnsi="Arial" w:cs="Arial"/>
          <w:b/>
          <w:kern w:val="2"/>
          <w:lang w:eastAsia="en-US"/>
        </w:rPr>
      </w:pPr>
    </w:p>
    <w:p w:rsidR="004459C7" w:rsidRDefault="004459C7" w:rsidP="00A271FE">
      <w:pPr>
        <w:spacing w:after="240"/>
        <w:contextualSpacing/>
        <w:jc w:val="both"/>
        <w:rPr>
          <w:rFonts w:ascii="Arial" w:hAnsi="Arial" w:cs="Arial"/>
          <w:b/>
          <w:kern w:val="2"/>
          <w:lang w:eastAsia="en-US"/>
        </w:rPr>
      </w:pPr>
    </w:p>
    <w:p w:rsidR="00AF39FB" w:rsidRDefault="00AF39FB">
      <w:pPr>
        <w:rPr>
          <w:rFonts w:ascii="Arial" w:hAnsi="Arial" w:cs="Arial"/>
          <w:b/>
          <w:spacing w:val="20"/>
        </w:rPr>
      </w:pPr>
      <w:r>
        <w:rPr>
          <w:rFonts w:ascii="Arial" w:hAnsi="Arial" w:cs="Arial"/>
          <w:b/>
          <w:spacing w:val="20"/>
        </w:rPr>
        <w:br w:type="page"/>
      </w:r>
    </w:p>
    <w:p w:rsidR="00AF39FB" w:rsidRDefault="00A269EF" w:rsidP="00A271FE">
      <w:pPr>
        <w:spacing w:after="240"/>
        <w:contextualSpacing/>
        <w:jc w:val="both"/>
        <w:rPr>
          <w:rFonts w:ascii="Arial" w:hAnsi="Arial" w:cs="Arial"/>
          <w:b/>
          <w:kern w:val="2"/>
          <w:lang w:eastAsia="en-US"/>
        </w:rPr>
      </w:pPr>
      <w:r>
        <w:rPr>
          <w:rFonts w:ascii="Arial" w:hAnsi="Arial" w:cs="Arial"/>
          <w:b/>
          <w:kern w:val="2"/>
          <w:lang w:eastAsia="en-US"/>
        </w:rPr>
        <w:t xml:space="preserve">6.- </w:t>
      </w:r>
      <w:r w:rsidR="007C62DE">
        <w:rPr>
          <w:rFonts w:ascii="Arial" w:hAnsi="Arial" w:cs="Arial"/>
          <w:b/>
          <w:kern w:val="2"/>
          <w:lang w:eastAsia="en-US"/>
        </w:rPr>
        <w:t>RESULTADO DE LAS OPERACIONES DERIVADAS DE LA DEUDA PUBLICA Y OTRAS OBLIGACIONES DE PAGO.</w:t>
      </w:r>
    </w:p>
    <w:p w:rsidR="007C62DE" w:rsidRDefault="007C62DE" w:rsidP="00A271FE">
      <w:pPr>
        <w:spacing w:after="240"/>
        <w:contextualSpacing/>
        <w:jc w:val="both"/>
        <w:rPr>
          <w:rFonts w:ascii="Arial" w:hAnsi="Arial" w:cs="Arial"/>
          <w:kern w:val="2"/>
          <w:lang w:eastAsia="en-US"/>
        </w:rPr>
      </w:pPr>
    </w:p>
    <w:p w:rsidR="00A269EF" w:rsidRPr="004C1D27" w:rsidRDefault="00A269EF" w:rsidP="00A271FE">
      <w:pPr>
        <w:spacing w:after="240"/>
        <w:contextualSpacing/>
        <w:jc w:val="both"/>
        <w:rPr>
          <w:rFonts w:ascii="Arial" w:hAnsi="Arial" w:cs="Arial"/>
          <w:kern w:val="2"/>
          <w:lang w:eastAsia="en-US"/>
        </w:rPr>
      </w:pPr>
      <w:r>
        <w:rPr>
          <w:rFonts w:ascii="Arial" w:hAnsi="Arial" w:cs="Arial"/>
          <w:b/>
          <w:kern w:val="2"/>
          <w:lang w:eastAsia="en-US"/>
        </w:rPr>
        <w:t xml:space="preserve">6.1.- POLITICA DE DEUDA PUBLICA </w:t>
      </w:r>
    </w:p>
    <w:p w:rsidR="00A269EF" w:rsidRDefault="00A269EF" w:rsidP="004C1D27">
      <w:pPr>
        <w:spacing w:after="240"/>
        <w:contextualSpacing/>
        <w:jc w:val="both"/>
        <w:rPr>
          <w:rFonts w:ascii="Arial" w:hAnsi="Arial" w:cs="Arial"/>
          <w:b/>
          <w:kern w:val="2"/>
          <w:lang w:eastAsia="en-US"/>
        </w:rPr>
      </w:pPr>
    </w:p>
    <w:p w:rsidR="004C1D27" w:rsidRPr="004C1D27" w:rsidRDefault="004C1D27" w:rsidP="004C1D27">
      <w:pPr>
        <w:spacing w:after="240"/>
        <w:contextualSpacing/>
        <w:jc w:val="both"/>
        <w:rPr>
          <w:rFonts w:ascii="Arial" w:hAnsi="Arial" w:cs="Arial"/>
          <w:b/>
          <w:kern w:val="2"/>
          <w:lang w:eastAsia="en-US"/>
        </w:rPr>
      </w:pPr>
      <w:r w:rsidRPr="004C1D27">
        <w:rPr>
          <w:rFonts w:ascii="Arial" w:hAnsi="Arial" w:cs="Arial"/>
          <w:b/>
          <w:kern w:val="2"/>
          <w:lang w:eastAsia="en-US"/>
        </w:rPr>
        <w:t>Objetivo</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 xml:space="preserve">Mantener una política responsable de la deuda pública a través de medidas de disciplina y responsabilidad fiscal que garanticen la estabilidad financiera del gobierno. </w:t>
      </w:r>
    </w:p>
    <w:p w:rsid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b/>
          <w:kern w:val="2"/>
          <w:lang w:eastAsia="en-US"/>
        </w:rPr>
      </w:pPr>
      <w:r w:rsidRPr="004C1D27">
        <w:rPr>
          <w:rFonts w:ascii="Arial" w:hAnsi="Arial" w:cs="Arial"/>
          <w:b/>
          <w:kern w:val="2"/>
          <w:lang w:eastAsia="en-US"/>
        </w:rPr>
        <w:t>Estrategia</w:t>
      </w:r>
    </w:p>
    <w:p w:rsidR="004C1D27" w:rsidRP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Aplicar los criterios de disciplina y responsabilidad fiscal en la política de  deuda pública, considerando:  i)  Un monto de endeudamiento manejable;  congruentes con la situación de ingresos y gastos, de tal forma que el pago oportuno de los financiamientos sean viables, aún ante posibles entornos adversos futuros; ii) Manejar perfiles de vencimiento de los  financiamientos en  función  de la naturaleza de los proyectos a desarrollar, así como de la situación financiera del Estado; iii) Que el monto de endeudamiento y las características de los financiamientos, no limiten la capacidad y flexibilidad financiera de la administración y generaciones futuras, así como la capacidad para adquirir deuda.</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b/>
          <w:kern w:val="2"/>
          <w:lang w:eastAsia="en-US"/>
        </w:rPr>
      </w:pPr>
      <w:r w:rsidRPr="004C1D27">
        <w:rPr>
          <w:rFonts w:ascii="Arial" w:hAnsi="Arial" w:cs="Arial"/>
          <w:b/>
          <w:kern w:val="2"/>
          <w:lang w:eastAsia="en-US"/>
        </w:rPr>
        <w:t>Limites de endeudamiento autorizados por el H. Congreso del Estado</w:t>
      </w:r>
    </w:p>
    <w:p w:rsid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Para el presente ejercicio no existe autorización para nuevos endeudamientos.</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Sigue vigente  la autorización de las contrataciones de financiamientos a corto plazo, este se  sustenta en el artículo 9 de la Ley de Deuda Pública.</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Default="004C1D27">
      <w:pPr>
        <w:rPr>
          <w:rFonts w:ascii="Arial" w:hAnsi="Arial" w:cs="Arial"/>
          <w:b/>
          <w:kern w:val="2"/>
          <w:lang w:eastAsia="en-US"/>
        </w:rPr>
      </w:pPr>
      <w:r>
        <w:rPr>
          <w:rFonts w:ascii="Arial" w:hAnsi="Arial" w:cs="Arial"/>
          <w:b/>
          <w:kern w:val="2"/>
          <w:lang w:eastAsia="en-US"/>
        </w:rPr>
        <w:br w:type="page"/>
      </w:r>
    </w:p>
    <w:p w:rsidR="004C1D27" w:rsidRPr="004C1D27" w:rsidRDefault="00A269EF" w:rsidP="004C1D27">
      <w:pPr>
        <w:spacing w:after="240"/>
        <w:contextualSpacing/>
        <w:jc w:val="both"/>
        <w:rPr>
          <w:rFonts w:ascii="Arial" w:hAnsi="Arial" w:cs="Arial"/>
          <w:b/>
          <w:kern w:val="2"/>
          <w:lang w:eastAsia="en-US"/>
        </w:rPr>
      </w:pPr>
      <w:r>
        <w:rPr>
          <w:rFonts w:ascii="Arial" w:hAnsi="Arial" w:cs="Arial"/>
          <w:b/>
          <w:kern w:val="2"/>
          <w:lang w:eastAsia="en-US"/>
        </w:rPr>
        <w:t>6.2.-</w:t>
      </w:r>
      <w:r w:rsidR="004C1D27" w:rsidRPr="004C1D27">
        <w:rPr>
          <w:rFonts w:ascii="Arial" w:hAnsi="Arial" w:cs="Arial"/>
          <w:b/>
          <w:kern w:val="2"/>
          <w:lang w:eastAsia="en-US"/>
        </w:rPr>
        <w:t xml:space="preserve"> DEUDA PÚBLICA ESTATAL Y OBLIGACIONES DE PAGO</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La Ley de Deuda Pública del Estado, contempla dos tipos de obligaciones: Deuda Pública que representa endeudamiento  y Obligaciones de Pago que no representan endeudamiento al Estado.</w:t>
      </w:r>
    </w:p>
    <w:p w:rsidR="004C1D27" w:rsidRP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Existen 9 financiamientos a largo plazo considerados como deuda pública; 5 créditos bono cupón cero a largo plazo  y  3 créditos bancarios a corto plazo considerados como obligaciones de pago:</w:t>
      </w:r>
    </w:p>
    <w:p w:rsid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p>
    <w:p w:rsidR="004C1D27" w:rsidRPr="004C1D27" w:rsidRDefault="008300EC" w:rsidP="004C1D27">
      <w:pPr>
        <w:spacing w:after="240"/>
        <w:contextualSpacing/>
        <w:jc w:val="both"/>
        <w:rPr>
          <w:rFonts w:ascii="Arial" w:hAnsi="Arial" w:cs="Arial"/>
          <w:kern w:val="2"/>
          <w:lang w:eastAsia="en-US"/>
        </w:rPr>
      </w:pPr>
      <w:r w:rsidRPr="008300EC">
        <w:rPr>
          <w:noProof/>
          <w:lang w:val="es-MX" w:eastAsia="es-MX"/>
        </w:rPr>
        <w:drawing>
          <wp:inline distT="0" distB="0" distL="0" distR="0">
            <wp:extent cx="5882005" cy="4994508"/>
            <wp:effectExtent l="19050" t="0" r="444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srcRect/>
                    <a:stretch>
                      <a:fillRect/>
                    </a:stretch>
                  </pic:blipFill>
                  <pic:spPr bwMode="auto">
                    <a:xfrm>
                      <a:off x="0" y="0"/>
                      <a:ext cx="5882005" cy="4994508"/>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A269EF" w:rsidP="004C1D27">
      <w:pPr>
        <w:spacing w:after="240"/>
        <w:contextualSpacing/>
        <w:jc w:val="both"/>
        <w:rPr>
          <w:rFonts w:ascii="Arial" w:hAnsi="Arial" w:cs="Arial"/>
          <w:b/>
          <w:kern w:val="2"/>
          <w:lang w:eastAsia="en-US"/>
        </w:rPr>
      </w:pPr>
      <w:r>
        <w:rPr>
          <w:rFonts w:ascii="Arial" w:hAnsi="Arial" w:cs="Arial"/>
          <w:b/>
          <w:kern w:val="2"/>
          <w:lang w:eastAsia="en-US"/>
        </w:rPr>
        <w:t>6.2.1.-</w:t>
      </w:r>
      <w:r w:rsidR="004C1D27" w:rsidRPr="004C1D27">
        <w:rPr>
          <w:rFonts w:ascii="Arial" w:hAnsi="Arial" w:cs="Arial"/>
          <w:b/>
          <w:kern w:val="2"/>
          <w:lang w:eastAsia="en-US"/>
        </w:rPr>
        <w:t xml:space="preserve">  DEUDA PÚBLICA ESTATAL</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 xml:space="preserve">Son los financiamientos contratados por el Estado, que representan un endeudamiento y que afectan la situación patrimonial del Estado. El saldo de la deuda pública bruta al cierre del trimestre asciende a </w:t>
      </w:r>
      <w:r>
        <w:rPr>
          <w:rFonts w:ascii="Arial" w:hAnsi="Arial" w:cs="Arial"/>
          <w:kern w:val="2"/>
          <w:lang w:eastAsia="en-US"/>
        </w:rPr>
        <w:t xml:space="preserve">7 mil </w:t>
      </w:r>
      <w:r w:rsidRPr="004C1D27">
        <w:rPr>
          <w:rFonts w:ascii="Arial" w:hAnsi="Arial" w:cs="Arial"/>
          <w:kern w:val="2"/>
          <w:lang w:eastAsia="en-US"/>
        </w:rPr>
        <w:t>564 millones 366 mil 755 pesos.</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El valor de las acciones de Bono Cupón Cero, que fueron adquiridas en diciembre de 2013, para el fondo de reserva 2 de la Emisión Bursátiles Oaxaca 13, al cierre del trimestre asciende a 156 millones 881 mil 833 pesos. Las cantidades abonadas en el Fondo de Reserva 2 se destinarán al pago de la amortización anticipada voluntaria total de los Certificados Bursátiles. Por ello aplicando  el valor de los bonos cupón cero a la deuda pública bruta, el saldo de la deuda pública neta se reduce a 7</w:t>
      </w:r>
      <w:r>
        <w:rPr>
          <w:rFonts w:ascii="Arial" w:hAnsi="Arial" w:cs="Arial"/>
          <w:kern w:val="2"/>
          <w:lang w:eastAsia="en-US"/>
        </w:rPr>
        <w:t xml:space="preserve"> mil </w:t>
      </w:r>
      <w:r w:rsidRPr="004C1D27">
        <w:rPr>
          <w:rFonts w:ascii="Arial" w:hAnsi="Arial" w:cs="Arial"/>
          <w:kern w:val="2"/>
          <w:lang w:eastAsia="en-US"/>
        </w:rPr>
        <w:t>407 millones 484 mil 922 pesos.</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center"/>
        <w:rPr>
          <w:rFonts w:ascii="Arial" w:hAnsi="Arial" w:cs="Arial"/>
          <w:kern w:val="2"/>
          <w:lang w:eastAsia="en-US"/>
        </w:rPr>
      </w:pPr>
      <w:r w:rsidRPr="004C1D27">
        <w:rPr>
          <w:rFonts w:ascii="Arial" w:hAnsi="Arial" w:cs="Arial"/>
          <w:noProof/>
          <w:kern w:val="2"/>
          <w:lang w:val="es-MX" w:eastAsia="es-MX"/>
        </w:rPr>
        <w:drawing>
          <wp:inline distT="0" distB="0" distL="0" distR="0">
            <wp:extent cx="2952750" cy="3113380"/>
            <wp:effectExtent l="19050" t="0" r="0" b="0"/>
            <wp:docPr id="3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2958263" cy="3119193"/>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Default="004C1D27">
      <w:pPr>
        <w:rPr>
          <w:rFonts w:ascii="Arial" w:hAnsi="Arial" w:cs="Arial"/>
          <w:b/>
          <w:kern w:val="2"/>
          <w:sz w:val="28"/>
          <w:lang w:eastAsia="en-US"/>
        </w:rPr>
      </w:pPr>
      <w:r>
        <w:rPr>
          <w:rFonts w:ascii="Arial" w:hAnsi="Arial" w:cs="Arial"/>
          <w:b/>
          <w:kern w:val="2"/>
          <w:sz w:val="28"/>
          <w:lang w:eastAsia="en-US"/>
        </w:rPr>
        <w:br w:type="page"/>
      </w:r>
    </w:p>
    <w:p w:rsidR="004C1D27" w:rsidRPr="004C1D27" w:rsidRDefault="00A269EF" w:rsidP="004C1D27">
      <w:pPr>
        <w:spacing w:after="240"/>
        <w:contextualSpacing/>
        <w:jc w:val="both"/>
        <w:rPr>
          <w:rFonts w:ascii="Arial" w:hAnsi="Arial" w:cs="Arial"/>
          <w:b/>
          <w:kern w:val="2"/>
          <w:sz w:val="28"/>
          <w:lang w:eastAsia="en-US"/>
        </w:rPr>
      </w:pPr>
      <w:r>
        <w:rPr>
          <w:rFonts w:ascii="Arial" w:hAnsi="Arial" w:cs="Arial"/>
          <w:b/>
          <w:kern w:val="2"/>
          <w:sz w:val="28"/>
          <w:lang w:eastAsia="en-US"/>
        </w:rPr>
        <w:t xml:space="preserve">6.2.1.1.- </w:t>
      </w:r>
      <w:r w:rsidRPr="004C1D27">
        <w:rPr>
          <w:rFonts w:ascii="Arial" w:hAnsi="Arial" w:cs="Arial"/>
          <w:b/>
          <w:kern w:val="2"/>
          <w:sz w:val="28"/>
          <w:lang w:eastAsia="en-US"/>
        </w:rPr>
        <w:t>ENDEUDAMIENTO NETO DE LA DEUDA PÚBLICA</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Existe un desendeudamiento neto de 80 millones 566 mil 601 pesos, los cuales se pagaron con los recursos del Fondo de Aportaciones para el Fortalecimiento de las Entidades Federativas (FAFEF) y Fondo de Aportaciones para la Infraestructura Social Estatal (FISE).</w:t>
      </w:r>
    </w:p>
    <w:p w:rsid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center"/>
        <w:rPr>
          <w:rFonts w:ascii="Arial" w:hAnsi="Arial" w:cs="Arial"/>
          <w:kern w:val="2"/>
          <w:lang w:eastAsia="en-US"/>
        </w:rPr>
      </w:pPr>
      <w:r w:rsidRPr="004C1D27">
        <w:rPr>
          <w:rFonts w:ascii="Arial" w:hAnsi="Arial" w:cs="Arial"/>
          <w:noProof/>
          <w:kern w:val="2"/>
          <w:lang w:val="es-MX" w:eastAsia="es-MX"/>
        </w:rPr>
        <w:drawing>
          <wp:inline distT="0" distB="0" distL="0" distR="0">
            <wp:extent cx="2901950" cy="3629591"/>
            <wp:effectExtent l="19050" t="0" r="0" b="0"/>
            <wp:docPr id="3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2907401" cy="3636409"/>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Default="004C1D27">
      <w:pPr>
        <w:rPr>
          <w:rFonts w:ascii="Arial" w:hAnsi="Arial" w:cs="Arial"/>
          <w:b/>
          <w:kern w:val="2"/>
          <w:lang w:eastAsia="en-US"/>
        </w:rPr>
      </w:pPr>
      <w:r>
        <w:rPr>
          <w:rFonts w:ascii="Arial" w:hAnsi="Arial" w:cs="Arial"/>
          <w:b/>
          <w:kern w:val="2"/>
          <w:lang w:eastAsia="en-US"/>
        </w:rPr>
        <w:br w:type="page"/>
      </w:r>
    </w:p>
    <w:p w:rsidR="004C1D27" w:rsidRPr="004C1D27" w:rsidRDefault="00A269EF" w:rsidP="004C1D27">
      <w:pPr>
        <w:spacing w:after="240"/>
        <w:contextualSpacing/>
        <w:jc w:val="both"/>
        <w:rPr>
          <w:rFonts w:ascii="Arial" w:hAnsi="Arial" w:cs="Arial"/>
          <w:b/>
          <w:kern w:val="2"/>
          <w:lang w:eastAsia="en-US"/>
        </w:rPr>
      </w:pPr>
      <w:r>
        <w:rPr>
          <w:rFonts w:ascii="Arial" w:hAnsi="Arial" w:cs="Arial"/>
          <w:b/>
          <w:kern w:val="2"/>
          <w:lang w:eastAsia="en-US"/>
        </w:rPr>
        <w:t xml:space="preserve">6.2.1.2.- </w:t>
      </w:r>
      <w:r w:rsidRPr="004C1D27">
        <w:rPr>
          <w:rFonts w:ascii="Arial" w:hAnsi="Arial" w:cs="Arial"/>
          <w:b/>
          <w:kern w:val="2"/>
          <w:lang w:eastAsia="en-US"/>
        </w:rPr>
        <w:t>COSTO FINANCIERO DE LA DEUDA PÚBLICA ESTATAL</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El costo financiero asciende a 130 millones 656 mil 497 pesos integrado por el pago de intereses, comisiones, gastos y costo por coberturas  de la deuda pública, los cuales se aplicaron con recursos de  FAFEF Saneamiento Financiero, FISE y Participaciones.</w:t>
      </w:r>
    </w:p>
    <w:p w:rsidR="004C1D27" w:rsidRP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center"/>
        <w:rPr>
          <w:rFonts w:ascii="Arial" w:hAnsi="Arial" w:cs="Arial"/>
          <w:kern w:val="2"/>
          <w:lang w:eastAsia="en-US"/>
        </w:rPr>
      </w:pPr>
      <w:r w:rsidRPr="004C1D27">
        <w:rPr>
          <w:rFonts w:ascii="Arial" w:hAnsi="Arial" w:cs="Arial"/>
          <w:noProof/>
          <w:kern w:val="2"/>
          <w:lang w:val="es-MX" w:eastAsia="es-MX"/>
        </w:rPr>
        <w:drawing>
          <wp:inline distT="0" distB="0" distL="0" distR="0">
            <wp:extent cx="2808816" cy="3113350"/>
            <wp:effectExtent l="19050" t="0" r="0" b="0"/>
            <wp:docPr id="3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2810824" cy="3115576"/>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Default="004C1D27">
      <w:pPr>
        <w:rPr>
          <w:rFonts w:ascii="Arial" w:hAnsi="Arial" w:cs="Arial"/>
          <w:b/>
          <w:kern w:val="2"/>
          <w:lang w:eastAsia="en-US"/>
        </w:rPr>
      </w:pPr>
      <w:r>
        <w:rPr>
          <w:rFonts w:ascii="Arial" w:hAnsi="Arial" w:cs="Arial"/>
          <w:b/>
          <w:kern w:val="2"/>
          <w:lang w:eastAsia="en-US"/>
        </w:rPr>
        <w:br w:type="page"/>
      </w:r>
    </w:p>
    <w:p w:rsidR="004C1D27" w:rsidRPr="004C1D27" w:rsidRDefault="00A269EF" w:rsidP="004C1D27">
      <w:pPr>
        <w:spacing w:after="240"/>
        <w:contextualSpacing/>
        <w:jc w:val="both"/>
        <w:rPr>
          <w:rFonts w:ascii="Arial" w:hAnsi="Arial" w:cs="Arial"/>
          <w:b/>
          <w:kern w:val="2"/>
          <w:lang w:eastAsia="en-US"/>
        </w:rPr>
      </w:pPr>
      <w:r>
        <w:rPr>
          <w:rFonts w:ascii="Arial" w:hAnsi="Arial" w:cs="Arial"/>
          <w:b/>
          <w:kern w:val="2"/>
          <w:lang w:eastAsia="en-US"/>
        </w:rPr>
        <w:t>6.2.2.-</w:t>
      </w:r>
      <w:r w:rsidRPr="004C1D27">
        <w:rPr>
          <w:rFonts w:ascii="Arial" w:hAnsi="Arial" w:cs="Arial"/>
          <w:b/>
          <w:kern w:val="2"/>
          <w:lang w:eastAsia="en-US"/>
        </w:rPr>
        <w:t xml:space="preserve">  OTRAS OBLIGACIONES DE PAGO.</w:t>
      </w:r>
    </w:p>
    <w:p w:rsid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En este concepto se contemplan los créditos Bono Cupón Cero a largo plazo y los créditos bancarios a corto plazo, que no representan un endeudamiento al Estado.</w:t>
      </w:r>
    </w:p>
    <w:p w:rsidR="004C1D27" w:rsidRDefault="004C1D27" w:rsidP="004C1D27">
      <w:pPr>
        <w:spacing w:after="240"/>
        <w:contextualSpacing/>
        <w:jc w:val="both"/>
        <w:rPr>
          <w:rFonts w:ascii="Arial" w:hAnsi="Arial" w:cs="Arial"/>
          <w:kern w:val="2"/>
          <w:lang w:eastAsia="en-US"/>
        </w:rPr>
      </w:pPr>
    </w:p>
    <w:p w:rsidR="004C1D27" w:rsidRPr="004C1D27" w:rsidRDefault="00A269EF" w:rsidP="004C1D27">
      <w:pPr>
        <w:spacing w:after="240"/>
        <w:contextualSpacing/>
        <w:jc w:val="both"/>
        <w:rPr>
          <w:rFonts w:ascii="Arial" w:hAnsi="Arial" w:cs="Arial"/>
          <w:b/>
          <w:kern w:val="2"/>
          <w:lang w:eastAsia="en-US"/>
        </w:rPr>
      </w:pPr>
      <w:r>
        <w:rPr>
          <w:rFonts w:ascii="Arial" w:hAnsi="Arial" w:cs="Arial"/>
          <w:b/>
          <w:kern w:val="2"/>
          <w:lang w:eastAsia="en-US"/>
        </w:rPr>
        <w:t>6.2.2.1.-</w:t>
      </w:r>
      <w:r w:rsidR="004C1D27" w:rsidRPr="004C1D27">
        <w:rPr>
          <w:rFonts w:ascii="Arial" w:hAnsi="Arial" w:cs="Arial"/>
          <w:b/>
          <w:kern w:val="2"/>
          <w:lang w:eastAsia="en-US"/>
        </w:rPr>
        <w:t xml:space="preserve"> CRÉDITOS BONOS CUPON CERO.</w:t>
      </w:r>
    </w:p>
    <w:p w:rsid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 xml:space="preserve">Se consideran en esta clasificación los créditos contratados  derivados del Fondo de Reconstrucción para Entidades Federativas (FONREC I, II y III), el Fondo de Apoyo para Infraestructura y Seguridad (PROFISE) y el fondo para la  Implementación del Sistema de Justicia Penal  de las Entidades Federativas, que se destinaron para atender los desastres naturales y el desarrollo de la infraestructura de seguridad pública respectivamente,  propuesto y aprobado por el Gobierno Federal, a finales del año 2010, donde se abrieron  líneas de crédito a través del Banco Nacional de Obras y Servicios Públicos (BANOBRAS) con beneficios como el manejo de un bono cupón cero sin pago de capital, solo el pago de intereses por parte de los estados beneficiados, y con un plazo de 20 años. </w:t>
      </w:r>
    </w:p>
    <w:p w:rsidR="004C1D27" w:rsidRPr="004C1D27" w:rsidRDefault="004C1D27"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Es importante destacar, que para efectos  informativos y de control el saldo de esta obligación se refleja al pie del Estado de Situación Financiera del Estado, en cuentas de orden.</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Durante el periodo que se informa, los recursos del crédito de JUSTICIA PENAL, aún se encuentran en periodo de disposición.</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E75134" w:rsidRDefault="00E75134">
      <w:pPr>
        <w:rPr>
          <w:rFonts w:ascii="Arial" w:hAnsi="Arial" w:cs="Arial"/>
          <w:kern w:val="2"/>
          <w:lang w:eastAsia="en-US"/>
        </w:rPr>
      </w:pPr>
      <w:r>
        <w:rPr>
          <w:rFonts w:ascii="Arial" w:hAnsi="Arial" w:cs="Arial"/>
          <w:kern w:val="2"/>
          <w:lang w:eastAsia="en-US"/>
        </w:rPr>
        <w:br w:type="page"/>
      </w:r>
    </w:p>
    <w:p w:rsidR="004C1D27" w:rsidRPr="00E75134" w:rsidRDefault="00A269EF" w:rsidP="004C1D27">
      <w:pPr>
        <w:spacing w:after="240"/>
        <w:contextualSpacing/>
        <w:jc w:val="both"/>
        <w:rPr>
          <w:rFonts w:ascii="Arial" w:hAnsi="Arial" w:cs="Arial"/>
          <w:b/>
          <w:kern w:val="2"/>
          <w:lang w:eastAsia="en-US"/>
        </w:rPr>
      </w:pPr>
      <w:r>
        <w:rPr>
          <w:rFonts w:ascii="Arial" w:hAnsi="Arial" w:cs="Arial"/>
          <w:b/>
          <w:kern w:val="2"/>
          <w:lang w:eastAsia="en-US"/>
        </w:rPr>
        <w:t xml:space="preserve">6.2.2.2.- </w:t>
      </w:r>
      <w:r w:rsidR="00E75134" w:rsidRPr="00E75134">
        <w:rPr>
          <w:rFonts w:ascii="Arial" w:hAnsi="Arial" w:cs="Arial"/>
          <w:b/>
          <w:kern w:val="2"/>
          <w:lang w:eastAsia="en-US"/>
        </w:rPr>
        <w:t>SALDO Y COSTO FINANCIERO DE LOS CRÉDITOS BONO CUPÓN CERO.</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Se realizaron pagos de intereses y honorarios fiduciarios por administración de los créditos, por la cantidad de 70 millones 13 mil 674 pesos, los cuales se aplicaron con recursos  de Participaciones.</w:t>
      </w:r>
    </w:p>
    <w:p w:rsidR="004C1D27" w:rsidRDefault="004C1D27" w:rsidP="004C1D27">
      <w:pPr>
        <w:spacing w:after="240"/>
        <w:contextualSpacing/>
        <w:jc w:val="both"/>
        <w:rPr>
          <w:rFonts w:ascii="Arial" w:hAnsi="Arial" w:cs="Arial"/>
          <w:kern w:val="2"/>
          <w:lang w:eastAsia="en-US"/>
        </w:rPr>
      </w:pPr>
    </w:p>
    <w:p w:rsidR="00E75134" w:rsidRDefault="00E75134" w:rsidP="004C1D27">
      <w:pPr>
        <w:spacing w:after="240"/>
        <w:contextualSpacing/>
        <w:jc w:val="both"/>
        <w:rPr>
          <w:rFonts w:ascii="Arial" w:hAnsi="Arial" w:cs="Arial"/>
          <w:kern w:val="2"/>
          <w:lang w:eastAsia="en-US"/>
        </w:rPr>
      </w:pPr>
    </w:p>
    <w:p w:rsidR="00E75134" w:rsidRPr="004C1D27" w:rsidRDefault="00E75134"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noProof/>
          <w:kern w:val="2"/>
          <w:lang w:val="es-MX" w:eastAsia="es-MX"/>
        </w:rPr>
        <w:drawing>
          <wp:inline distT="0" distB="0" distL="0" distR="0">
            <wp:extent cx="5628640" cy="1972078"/>
            <wp:effectExtent l="19050" t="0" r="0" b="0"/>
            <wp:docPr id="3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srcRect/>
                    <a:stretch>
                      <a:fillRect/>
                    </a:stretch>
                  </pic:blipFill>
                  <pic:spPr bwMode="auto">
                    <a:xfrm>
                      <a:off x="0" y="0"/>
                      <a:ext cx="5634567" cy="1974154"/>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A269EF" w:rsidRDefault="00A269EF">
      <w:pPr>
        <w:rPr>
          <w:rFonts w:ascii="Arial" w:hAnsi="Arial" w:cs="Arial"/>
          <w:b/>
          <w:kern w:val="2"/>
          <w:lang w:eastAsia="en-US"/>
        </w:rPr>
      </w:pPr>
      <w:r>
        <w:rPr>
          <w:rFonts w:ascii="Arial" w:hAnsi="Arial" w:cs="Arial"/>
          <w:b/>
          <w:kern w:val="2"/>
          <w:lang w:eastAsia="en-US"/>
        </w:rPr>
        <w:br w:type="page"/>
      </w:r>
    </w:p>
    <w:p w:rsidR="004C1D27" w:rsidRPr="00E75134" w:rsidRDefault="00A269EF" w:rsidP="004C1D27">
      <w:pPr>
        <w:spacing w:after="240"/>
        <w:contextualSpacing/>
        <w:jc w:val="both"/>
        <w:rPr>
          <w:rFonts w:ascii="Arial" w:hAnsi="Arial" w:cs="Arial"/>
          <w:b/>
          <w:kern w:val="2"/>
          <w:lang w:eastAsia="en-US"/>
        </w:rPr>
      </w:pPr>
      <w:r>
        <w:rPr>
          <w:rFonts w:ascii="Arial" w:hAnsi="Arial" w:cs="Arial"/>
          <w:b/>
          <w:kern w:val="2"/>
          <w:lang w:eastAsia="en-US"/>
        </w:rPr>
        <w:t>6.3.-</w:t>
      </w:r>
      <w:r w:rsidR="004C1D27" w:rsidRPr="00E75134">
        <w:rPr>
          <w:rFonts w:ascii="Arial" w:hAnsi="Arial" w:cs="Arial"/>
          <w:b/>
          <w:kern w:val="2"/>
          <w:lang w:eastAsia="en-US"/>
        </w:rPr>
        <w:t xml:space="preserve">  CRÉDITOS BANCARIOS A CORTO PLAZO.</w:t>
      </w:r>
    </w:p>
    <w:p w:rsidR="00E75134" w:rsidRDefault="00E75134"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Con fundamento en el artículo 9 de la Ley de Deuda Pública y  como una medida de liquidez para  atender necesidades emergentes, fue necesario acceder a créditos a corto plazo.</w:t>
      </w:r>
    </w:p>
    <w:p w:rsidR="00E75134" w:rsidRPr="004C1D27" w:rsidRDefault="00E75134"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 xml:space="preserve">El saldo insoluto al cierre del ejercicio, asciende </w:t>
      </w:r>
      <w:r w:rsidR="00E75134">
        <w:rPr>
          <w:rFonts w:ascii="Arial" w:hAnsi="Arial" w:cs="Arial"/>
          <w:kern w:val="2"/>
          <w:lang w:eastAsia="en-US"/>
        </w:rPr>
        <w:t xml:space="preserve">un mil </w:t>
      </w:r>
      <w:r w:rsidRPr="004C1D27">
        <w:rPr>
          <w:rFonts w:ascii="Arial" w:hAnsi="Arial" w:cs="Arial"/>
          <w:kern w:val="2"/>
          <w:lang w:eastAsia="en-US"/>
        </w:rPr>
        <w:t>527 millones 500 mil pesos, como acreedores Banco Interacciones, HSBC y Banorte.</w:t>
      </w:r>
    </w:p>
    <w:p w:rsidR="004C1D27" w:rsidRPr="004C1D27" w:rsidRDefault="004C1D27" w:rsidP="004C1D27">
      <w:pPr>
        <w:spacing w:after="240"/>
        <w:contextualSpacing/>
        <w:jc w:val="both"/>
        <w:rPr>
          <w:rFonts w:ascii="Arial" w:hAnsi="Arial" w:cs="Arial"/>
          <w:kern w:val="2"/>
          <w:lang w:eastAsia="en-US"/>
        </w:rPr>
      </w:pPr>
    </w:p>
    <w:p w:rsidR="004C1D27" w:rsidRPr="00E75134" w:rsidRDefault="00A269EF" w:rsidP="004C1D27">
      <w:pPr>
        <w:spacing w:after="240"/>
        <w:contextualSpacing/>
        <w:jc w:val="both"/>
        <w:rPr>
          <w:rFonts w:ascii="Arial" w:hAnsi="Arial" w:cs="Arial"/>
          <w:b/>
          <w:kern w:val="2"/>
          <w:lang w:eastAsia="en-US"/>
        </w:rPr>
      </w:pPr>
      <w:r>
        <w:rPr>
          <w:rFonts w:ascii="Arial" w:hAnsi="Arial" w:cs="Arial"/>
          <w:b/>
          <w:kern w:val="2"/>
          <w:lang w:eastAsia="en-US"/>
        </w:rPr>
        <w:t xml:space="preserve">6.3.1.- </w:t>
      </w:r>
      <w:r w:rsidR="00E75134" w:rsidRPr="00E75134">
        <w:rPr>
          <w:rFonts w:ascii="Arial" w:hAnsi="Arial" w:cs="Arial"/>
          <w:b/>
          <w:kern w:val="2"/>
          <w:lang w:eastAsia="en-US"/>
        </w:rPr>
        <w:t>SALDO Y  COSTO FINANCIERO DE LOS CRÉDITOS BANCARIOS A CORTO PLAZO.</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Se realizaron pagos por concepto de intereses y comisiones bancarias por la cantidad de 29 millones 148 mil 951 pesos, los cuales se aplicaron con recursos  de Participaciones; se pagaron 60 millones de pesos de amortización de capital del crédito con de H</w:t>
      </w:r>
      <w:r w:rsidR="00E75134" w:rsidRPr="004C1D27">
        <w:rPr>
          <w:rFonts w:ascii="Arial" w:hAnsi="Arial" w:cs="Arial"/>
          <w:kern w:val="2"/>
          <w:lang w:eastAsia="en-US"/>
        </w:rPr>
        <w:t>SBC</w:t>
      </w:r>
      <w:r w:rsidRPr="004C1D27">
        <w:rPr>
          <w:rFonts w:ascii="Arial" w:hAnsi="Arial" w:cs="Arial"/>
          <w:kern w:val="2"/>
          <w:lang w:eastAsia="en-US"/>
        </w:rPr>
        <w:t>, con recursos de FAFEF Saneamiento Financiero.</w:t>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noProof/>
          <w:kern w:val="2"/>
          <w:lang w:val="es-MX" w:eastAsia="es-MX"/>
        </w:rPr>
        <w:drawing>
          <wp:inline distT="0" distB="0" distL="0" distR="0">
            <wp:extent cx="5827687" cy="1981200"/>
            <wp:effectExtent l="19050" t="0" r="1613" b="0"/>
            <wp:docPr id="3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5838411" cy="1984846"/>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E75134" w:rsidRDefault="00E75134" w:rsidP="004C1D27">
      <w:pPr>
        <w:spacing w:after="240"/>
        <w:contextualSpacing/>
        <w:jc w:val="both"/>
        <w:rPr>
          <w:rFonts w:ascii="Arial" w:hAnsi="Arial" w:cs="Arial"/>
          <w:b/>
          <w:kern w:val="2"/>
          <w:lang w:eastAsia="en-US"/>
        </w:rPr>
      </w:pPr>
    </w:p>
    <w:p w:rsidR="00E75134" w:rsidRDefault="00E75134" w:rsidP="004C1D27">
      <w:pPr>
        <w:spacing w:after="240"/>
        <w:contextualSpacing/>
        <w:jc w:val="both"/>
        <w:rPr>
          <w:rFonts w:ascii="Arial" w:hAnsi="Arial" w:cs="Arial"/>
          <w:b/>
          <w:kern w:val="2"/>
          <w:lang w:eastAsia="en-US"/>
        </w:rPr>
      </w:pPr>
    </w:p>
    <w:p w:rsidR="00E75134" w:rsidRDefault="00E75134" w:rsidP="004C1D27">
      <w:pPr>
        <w:spacing w:after="240"/>
        <w:contextualSpacing/>
        <w:jc w:val="both"/>
        <w:rPr>
          <w:rFonts w:ascii="Arial" w:hAnsi="Arial" w:cs="Arial"/>
          <w:b/>
          <w:kern w:val="2"/>
          <w:lang w:eastAsia="en-US"/>
        </w:rPr>
      </w:pPr>
    </w:p>
    <w:p w:rsidR="00A269EF" w:rsidRDefault="00A269EF">
      <w:pPr>
        <w:rPr>
          <w:rFonts w:ascii="Arial" w:hAnsi="Arial" w:cs="Arial"/>
          <w:b/>
          <w:kern w:val="2"/>
          <w:lang w:eastAsia="en-US"/>
        </w:rPr>
      </w:pPr>
      <w:r>
        <w:rPr>
          <w:rFonts w:ascii="Arial" w:hAnsi="Arial" w:cs="Arial"/>
          <w:b/>
          <w:kern w:val="2"/>
          <w:lang w:eastAsia="en-US"/>
        </w:rPr>
        <w:br w:type="page"/>
      </w:r>
    </w:p>
    <w:p w:rsidR="004C1D27" w:rsidRPr="00E75134" w:rsidRDefault="00A269EF" w:rsidP="004C1D27">
      <w:pPr>
        <w:spacing w:after="240"/>
        <w:contextualSpacing/>
        <w:jc w:val="both"/>
        <w:rPr>
          <w:rFonts w:ascii="Arial" w:hAnsi="Arial" w:cs="Arial"/>
          <w:b/>
          <w:kern w:val="2"/>
          <w:lang w:eastAsia="en-US"/>
        </w:rPr>
      </w:pPr>
      <w:r>
        <w:rPr>
          <w:rFonts w:ascii="Arial" w:hAnsi="Arial" w:cs="Arial"/>
          <w:b/>
          <w:kern w:val="2"/>
          <w:lang w:eastAsia="en-US"/>
        </w:rPr>
        <w:t>6.4.-</w:t>
      </w:r>
      <w:r w:rsidR="004C1D27" w:rsidRPr="00E75134">
        <w:rPr>
          <w:rFonts w:ascii="Arial" w:hAnsi="Arial" w:cs="Arial"/>
          <w:b/>
          <w:kern w:val="2"/>
          <w:lang w:eastAsia="en-US"/>
        </w:rPr>
        <w:t xml:space="preserve"> APLICACIÓN DEL SERVICIO DE  LA DEUDA PÚBLICA Y OBLIGACIONES DE PAGO POR FUENTE DE FINANCIAMIENTO.</w:t>
      </w:r>
    </w:p>
    <w:p w:rsidR="00E75134" w:rsidRDefault="00E75134" w:rsidP="004C1D27">
      <w:pPr>
        <w:spacing w:after="240"/>
        <w:contextualSpacing/>
        <w:jc w:val="both"/>
        <w:rPr>
          <w:rFonts w:ascii="Arial" w:hAnsi="Arial" w:cs="Arial"/>
          <w:kern w:val="2"/>
          <w:lang w:eastAsia="en-US"/>
        </w:rPr>
      </w:pPr>
    </w:p>
    <w:p w:rsidR="00E75134" w:rsidRDefault="00E75134"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En total se ejercieron presupuestariamente para el servicio de la deuda pública y obligaciones de pago (capitulo del gasto 9000) la cantidad de 371 millones 385 mil 724 pesos, los cuales se aplicaron con recursos de Participaciones, FAFEF y FISE.</w:t>
      </w:r>
    </w:p>
    <w:p w:rsidR="00E75134" w:rsidRDefault="00E75134" w:rsidP="004C1D27">
      <w:pPr>
        <w:spacing w:after="240"/>
        <w:contextualSpacing/>
        <w:jc w:val="both"/>
        <w:rPr>
          <w:rFonts w:ascii="Arial" w:hAnsi="Arial" w:cs="Arial"/>
          <w:kern w:val="2"/>
          <w:lang w:eastAsia="en-US"/>
        </w:rPr>
      </w:pPr>
    </w:p>
    <w:p w:rsidR="00E75134" w:rsidRDefault="00E75134" w:rsidP="004C1D27">
      <w:pPr>
        <w:spacing w:after="240"/>
        <w:contextualSpacing/>
        <w:jc w:val="both"/>
        <w:rPr>
          <w:rFonts w:ascii="Arial" w:hAnsi="Arial" w:cs="Arial"/>
          <w:kern w:val="2"/>
          <w:lang w:eastAsia="en-US"/>
        </w:rPr>
      </w:pPr>
    </w:p>
    <w:p w:rsidR="00E75134" w:rsidRPr="004C1D27" w:rsidRDefault="00E75134" w:rsidP="004C1D27">
      <w:pPr>
        <w:spacing w:after="240"/>
        <w:contextualSpacing/>
        <w:jc w:val="both"/>
        <w:rPr>
          <w:rFonts w:ascii="Arial" w:hAnsi="Arial" w:cs="Arial"/>
          <w:kern w:val="2"/>
          <w:lang w:eastAsia="en-US"/>
        </w:rPr>
      </w:pPr>
    </w:p>
    <w:p w:rsidR="004C1D27" w:rsidRPr="004C1D27" w:rsidRDefault="004C1D27" w:rsidP="00E75134">
      <w:pPr>
        <w:spacing w:after="240"/>
        <w:contextualSpacing/>
        <w:jc w:val="center"/>
        <w:rPr>
          <w:rFonts w:ascii="Arial" w:hAnsi="Arial" w:cs="Arial"/>
          <w:kern w:val="2"/>
          <w:lang w:eastAsia="en-US"/>
        </w:rPr>
      </w:pPr>
      <w:r w:rsidRPr="004C1D27">
        <w:rPr>
          <w:rFonts w:ascii="Arial" w:hAnsi="Arial" w:cs="Arial"/>
          <w:noProof/>
          <w:kern w:val="2"/>
          <w:lang w:val="es-MX" w:eastAsia="es-MX"/>
        </w:rPr>
        <w:drawing>
          <wp:inline distT="0" distB="0" distL="0" distR="0">
            <wp:extent cx="5206859" cy="2252133"/>
            <wp:effectExtent l="19050" t="0" r="0" b="0"/>
            <wp:docPr id="3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srcRect/>
                    <a:stretch>
                      <a:fillRect/>
                    </a:stretch>
                  </pic:blipFill>
                  <pic:spPr bwMode="auto">
                    <a:xfrm>
                      <a:off x="0" y="0"/>
                      <a:ext cx="5216493" cy="2256300"/>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E75134" w:rsidRDefault="00E75134" w:rsidP="004C1D27">
      <w:pPr>
        <w:spacing w:after="240"/>
        <w:contextualSpacing/>
        <w:jc w:val="both"/>
        <w:rPr>
          <w:rFonts w:ascii="Arial" w:hAnsi="Arial" w:cs="Arial"/>
          <w:b/>
          <w:kern w:val="2"/>
          <w:lang w:eastAsia="en-US"/>
        </w:rPr>
      </w:pPr>
    </w:p>
    <w:p w:rsidR="00A269EF" w:rsidRDefault="00A269EF">
      <w:pPr>
        <w:rPr>
          <w:rFonts w:ascii="Arial" w:hAnsi="Arial" w:cs="Arial"/>
          <w:b/>
          <w:kern w:val="2"/>
          <w:lang w:eastAsia="en-US"/>
        </w:rPr>
      </w:pPr>
      <w:r>
        <w:rPr>
          <w:rFonts w:ascii="Arial" w:hAnsi="Arial" w:cs="Arial"/>
          <w:b/>
          <w:kern w:val="2"/>
          <w:lang w:eastAsia="en-US"/>
        </w:rPr>
        <w:br w:type="page"/>
      </w:r>
    </w:p>
    <w:p w:rsidR="004C1D27" w:rsidRDefault="00A269EF" w:rsidP="004C1D27">
      <w:pPr>
        <w:spacing w:after="240"/>
        <w:contextualSpacing/>
        <w:jc w:val="both"/>
        <w:rPr>
          <w:rFonts w:ascii="Arial" w:hAnsi="Arial" w:cs="Arial"/>
          <w:b/>
          <w:kern w:val="2"/>
          <w:lang w:eastAsia="en-US"/>
        </w:rPr>
      </w:pPr>
      <w:r>
        <w:rPr>
          <w:rFonts w:ascii="Arial" w:hAnsi="Arial" w:cs="Arial"/>
          <w:b/>
          <w:kern w:val="2"/>
          <w:lang w:eastAsia="en-US"/>
        </w:rPr>
        <w:t>6.5.-</w:t>
      </w:r>
      <w:r w:rsidR="004C1D27" w:rsidRPr="00E75134">
        <w:rPr>
          <w:rFonts w:ascii="Arial" w:hAnsi="Arial" w:cs="Arial"/>
          <w:b/>
          <w:kern w:val="2"/>
          <w:lang w:eastAsia="en-US"/>
        </w:rPr>
        <w:t xml:space="preserve">   DEUDA PÚBLICA MUNICIPAL.</w:t>
      </w:r>
    </w:p>
    <w:p w:rsidR="00E75134" w:rsidRPr="00E75134" w:rsidRDefault="00E75134" w:rsidP="004C1D27">
      <w:pPr>
        <w:spacing w:after="240"/>
        <w:contextualSpacing/>
        <w:jc w:val="both"/>
        <w:rPr>
          <w:rFonts w:ascii="Arial" w:hAnsi="Arial" w:cs="Arial"/>
          <w:b/>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Los Municipios que tienen contratados créditos a largo plazo aparecen como únicos  deudores y responsables de la obligación, el Estado no es aval, ni deudor solidario de estas obligaciones.</w:t>
      </w:r>
    </w:p>
    <w:p w:rsidR="00E75134" w:rsidRPr="004C1D27" w:rsidRDefault="00E75134" w:rsidP="004C1D27">
      <w:pPr>
        <w:spacing w:after="240"/>
        <w:contextualSpacing/>
        <w:jc w:val="both"/>
        <w:rPr>
          <w:rFonts w:ascii="Arial" w:hAnsi="Arial" w:cs="Arial"/>
          <w:kern w:val="2"/>
          <w:lang w:eastAsia="en-US"/>
        </w:rPr>
      </w:pPr>
    </w:p>
    <w:p w:rsid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El saldo asciende a 324 millones 386 mil  319 pesos.</w:t>
      </w:r>
    </w:p>
    <w:p w:rsidR="00E75134" w:rsidRPr="004C1D27" w:rsidRDefault="00E75134"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r w:rsidRPr="004C1D27">
        <w:rPr>
          <w:rFonts w:ascii="Arial" w:hAnsi="Arial" w:cs="Arial"/>
          <w:kern w:val="2"/>
          <w:lang w:eastAsia="en-US"/>
        </w:rPr>
        <w:t>Es importante destacar que todos los créditos contratados en donde dejan como fuente de pago el FISE, terminarán de liquidarse el día 01 de noviembre de 2016.</w:t>
      </w:r>
    </w:p>
    <w:p w:rsidR="004C1D27" w:rsidRDefault="004C1D27" w:rsidP="004C1D27">
      <w:pPr>
        <w:spacing w:after="240"/>
        <w:contextualSpacing/>
        <w:jc w:val="both"/>
        <w:rPr>
          <w:rFonts w:ascii="Arial" w:hAnsi="Arial" w:cs="Arial"/>
          <w:kern w:val="2"/>
          <w:lang w:eastAsia="en-US"/>
        </w:rPr>
      </w:pPr>
    </w:p>
    <w:p w:rsidR="00E75134" w:rsidRPr="004C1D27" w:rsidRDefault="00E75134" w:rsidP="004C1D27">
      <w:pPr>
        <w:spacing w:after="240"/>
        <w:contextualSpacing/>
        <w:jc w:val="both"/>
        <w:rPr>
          <w:rFonts w:ascii="Arial" w:hAnsi="Arial" w:cs="Arial"/>
          <w:kern w:val="2"/>
          <w:lang w:eastAsia="en-US"/>
        </w:rPr>
      </w:pPr>
    </w:p>
    <w:p w:rsidR="004C1D27" w:rsidRPr="004C1D27" w:rsidRDefault="004C1D27" w:rsidP="00E75134">
      <w:pPr>
        <w:spacing w:after="240"/>
        <w:contextualSpacing/>
        <w:jc w:val="center"/>
        <w:rPr>
          <w:rFonts w:ascii="Arial" w:hAnsi="Arial" w:cs="Arial"/>
          <w:kern w:val="2"/>
          <w:lang w:eastAsia="en-US"/>
        </w:rPr>
      </w:pPr>
      <w:r w:rsidRPr="004C1D27">
        <w:rPr>
          <w:rFonts w:ascii="Arial" w:hAnsi="Arial" w:cs="Arial"/>
          <w:noProof/>
          <w:kern w:val="2"/>
          <w:lang w:val="es-MX" w:eastAsia="es-MX"/>
        </w:rPr>
        <w:drawing>
          <wp:inline distT="0" distB="0" distL="0" distR="0">
            <wp:extent cx="5472226" cy="1623774"/>
            <wp:effectExtent l="19050" t="0" r="0" b="0"/>
            <wp:docPr id="3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5467634" cy="1622411"/>
                    </a:xfrm>
                    <a:prstGeom prst="rect">
                      <a:avLst/>
                    </a:prstGeom>
                    <a:noFill/>
                    <a:ln w="9525">
                      <a:noFill/>
                      <a:miter lim="800000"/>
                      <a:headEnd/>
                      <a:tailEnd/>
                    </a:ln>
                  </pic:spPr>
                </pic:pic>
              </a:graphicData>
            </a:graphic>
          </wp:inline>
        </w:drawing>
      </w: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Pr="004C1D27" w:rsidRDefault="004C1D27" w:rsidP="004C1D27">
      <w:pPr>
        <w:spacing w:after="240"/>
        <w:contextualSpacing/>
        <w:jc w:val="both"/>
        <w:rPr>
          <w:rFonts w:ascii="Arial" w:hAnsi="Arial" w:cs="Arial"/>
          <w:kern w:val="2"/>
          <w:lang w:eastAsia="en-US"/>
        </w:rP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4C1D27" w:rsidRDefault="004C1D27" w:rsidP="004C1D27">
      <w:pPr>
        <w:jc w:val="center"/>
      </w:pPr>
    </w:p>
    <w:p w:rsidR="007C62DE" w:rsidRDefault="00A269EF" w:rsidP="004C1D27">
      <w:pPr>
        <w:spacing w:after="240"/>
        <w:contextualSpacing/>
        <w:jc w:val="both"/>
        <w:rPr>
          <w:rFonts w:ascii="Arial" w:hAnsi="Arial" w:cs="Arial"/>
          <w:b/>
          <w:kern w:val="2"/>
          <w:lang w:eastAsia="en-US"/>
        </w:rPr>
      </w:pPr>
      <w:r>
        <w:rPr>
          <w:rFonts w:ascii="Arial" w:hAnsi="Arial" w:cs="Arial"/>
          <w:b/>
          <w:kern w:val="2"/>
          <w:lang w:eastAsia="en-US"/>
        </w:rPr>
        <w:t>7</w:t>
      </w:r>
      <w:r w:rsidR="00B732D6">
        <w:rPr>
          <w:rFonts w:ascii="Arial" w:hAnsi="Arial" w:cs="Arial"/>
          <w:b/>
          <w:kern w:val="2"/>
          <w:lang w:eastAsia="en-US"/>
        </w:rPr>
        <w:t>.- BURSATILIZACION</w:t>
      </w:r>
    </w:p>
    <w:p w:rsidR="00485DCF" w:rsidRDefault="00485DCF" w:rsidP="004C1D27">
      <w:pPr>
        <w:spacing w:after="240"/>
        <w:contextualSpacing/>
        <w:jc w:val="both"/>
        <w:rPr>
          <w:rFonts w:ascii="Arial" w:hAnsi="Arial" w:cs="Arial"/>
          <w:b/>
          <w:kern w:val="2"/>
          <w:lang w:eastAsia="en-US"/>
        </w:rPr>
      </w:pPr>
    </w:p>
    <w:p w:rsidR="00B30150" w:rsidRDefault="00B30150" w:rsidP="00B30150">
      <w:pPr>
        <w:spacing w:after="240"/>
        <w:contextualSpacing/>
        <w:jc w:val="both"/>
        <w:rPr>
          <w:rFonts w:ascii="Arial" w:hAnsi="Arial" w:cs="Arial"/>
          <w:kern w:val="2"/>
          <w:lang w:eastAsia="en-US"/>
        </w:rPr>
      </w:pPr>
      <w:r w:rsidRPr="000A3F29">
        <w:rPr>
          <w:rFonts w:ascii="Arial" w:hAnsi="Arial" w:cs="Arial"/>
          <w:kern w:val="2"/>
          <w:lang w:eastAsia="en-US"/>
        </w:rPr>
        <w:t>El Gobierno del Estado, ha cumplido en tiempo y forma con la obligaciones contraídas por financiamiento recibido a través de emisión de Certificados Bursátiles Fiduciarios, títulos en Unidades de Inversión (UDI) que cotizan en el mercado bursátil, cuya clave de pizarra es OAXCB U07, como son: los pagos de intereses y de principal al público inversionista tenedores de los títulos emitidos. También ha mantenido a la fecha la calificación de ‘AA+(mex)’ de Fitch México, S.A. de C.V y ‘mx.AA’ de parte de Standard &amp; Poor´s, S.A. de C. V., que significan una alta calidad crediticia y una sólida capacidad de pago de intereses así como de principal.</w:t>
      </w:r>
    </w:p>
    <w:p w:rsidR="00B30150" w:rsidRDefault="00B30150" w:rsidP="00B30150">
      <w:pPr>
        <w:spacing w:after="240"/>
        <w:contextualSpacing/>
        <w:jc w:val="both"/>
        <w:rPr>
          <w:rFonts w:ascii="Arial" w:hAnsi="Arial" w:cs="Arial"/>
          <w:kern w:val="2"/>
          <w:lang w:eastAsia="en-US"/>
        </w:rPr>
      </w:pPr>
    </w:p>
    <w:p w:rsidR="00B30150" w:rsidRDefault="00B30150" w:rsidP="00B30150">
      <w:pPr>
        <w:spacing w:after="240"/>
        <w:contextualSpacing/>
        <w:jc w:val="both"/>
        <w:rPr>
          <w:rFonts w:ascii="Arial" w:hAnsi="Arial" w:cs="Arial"/>
          <w:kern w:val="2"/>
          <w:lang w:eastAsia="en-US"/>
        </w:rPr>
      </w:pPr>
      <w:r w:rsidRPr="000A3F29">
        <w:rPr>
          <w:rFonts w:ascii="Arial" w:hAnsi="Arial" w:cs="Arial"/>
          <w:kern w:val="2"/>
          <w:lang w:eastAsia="en-US"/>
        </w:rPr>
        <w:t>Durante el primer trimestre 2016, no se han presentado pagos de Intereses y de Principal porque no están programados. Los pagos de Intereses se realizan semestralmente en los meses de mayo y noviembre y las amortizaciones son anuales durante los meses de mayo. Estos días de fin de los meses señalados,  están sujetos al día hábil que corresponda, si cayera en un día inhábil la fecha de pagos, se realizaría el día siguiente hábil.</w:t>
      </w:r>
    </w:p>
    <w:p w:rsidR="00B30150" w:rsidRPr="000A3F29" w:rsidRDefault="00B30150" w:rsidP="00B30150">
      <w:pPr>
        <w:spacing w:after="240"/>
        <w:contextualSpacing/>
        <w:jc w:val="both"/>
        <w:rPr>
          <w:rFonts w:ascii="Arial" w:hAnsi="Arial" w:cs="Arial"/>
          <w:kern w:val="2"/>
          <w:lang w:eastAsia="en-US"/>
        </w:rPr>
      </w:pPr>
    </w:p>
    <w:p w:rsidR="00B30150" w:rsidRDefault="00B30150" w:rsidP="00B30150">
      <w:pPr>
        <w:spacing w:after="240"/>
        <w:contextualSpacing/>
        <w:jc w:val="both"/>
        <w:rPr>
          <w:rFonts w:ascii="Arial" w:hAnsi="Arial" w:cs="Arial"/>
          <w:kern w:val="2"/>
          <w:lang w:eastAsia="en-US"/>
        </w:rPr>
      </w:pPr>
      <w:r w:rsidRPr="000A3F29">
        <w:rPr>
          <w:rFonts w:ascii="Arial" w:hAnsi="Arial" w:cs="Arial"/>
          <w:kern w:val="2"/>
          <w:lang w:eastAsia="en-US"/>
        </w:rPr>
        <w:t xml:space="preserve">En relación a la Emisión de los Certificados Bursátiles Fiduciarios 2007, fueron fideicomitidos el 100 % de los ingresos de Derecho Vehicular e Impuesto Sobre Nóminas como fuente de pago de los Intereses y del Principal generados por la emisión y otros gastos colaterales de la misma. Estos recursos captados para tal efecto, han sido suficientes, al grado que de ese total, regresa a las arcas del Gobierno el 55 % por concepto de Remanentes, los cuales son aplicados a las necesidades más apremiantes del Estado. </w:t>
      </w:r>
    </w:p>
    <w:p w:rsidR="00B30150" w:rsidRPr="000A3F29" w:rsidRDefault="00B30150" w:rsidP="00B30150">
      <w:pPr>
        <w:spacing w:after="240"/>
        <w:contextualSpacing/>
        <w:jc w:val="both"/>
        <w:rPr>
          <w:rFonts w:ascii="Arial" w:hAnsi="Arial" w:cs="Arial"/>
          <w:kern w:val="2"/>
          <w:lang w:eastAsia="en-US"/>
        </w:rPr>
      </w:pPr>
    </w:p>
    <w:p w:rsidR="00B30150" w:rsidRPr="000A3F29" w:rsidRDefault="00B30150" w:rsidP="00B30150">
      <w:pPr>
        <w:spacing w:after="240"/>
        <w:contextualSpacing/>
        <w:jc w:val="both"/>
        <w:rPr>
          <w:rFonts w:ascii="Arial" w:hAnsi="Arial" w:cs="Arial"/>
          <w:kern w:val="2"/>
          <w:lang w:eastAsia="en-US"/>
        </w:rPr>
      </w:pPr>
      <w:r w:rsidRPr="000A3F29">
        <w:rPr>
          <w:rFonts w:ascii="Arial" w:hAnsi="Arial" w:cs="Arial"/>
          <w:kern w:val="2"/>
          <w:lang w:eastAsia="en-US"/>
        </w:rPr>
        <w:t>Lo antes descrito, confirma que el Gobierno del Estado de Oaxaca ha cumplido ampliamente con las obligaciones contraídas y que por esta razón, hasta la fecha, no se le han retenido los importes recaudados de las Tenencias tanto Federal y Local que garantizan el Fideicomiso de Sustitución.</w:t>
      </w:r>
    </w:p>
    <w:p w:rsidR="003F44EF" w:rsidRDefault="003F44EF">
      <w:pPr>
        <w:rPr>
          <w:rFonts w:ascii="Arial" w:hAnsi="Arial" w:cs="Arial"/>
          <w:b/>
          <w:kern w:val="2"/>
          <w:lang w:eastAsia="en-US"/>
        </w:rPr>
      </w:pPr>
      <w:r>
        <w:rPr>
          <w:rFonts w:ascii="Arial" w:hAnsi="Arial" w:cs="Arial"/>
          <w:b/>
          <w:kern w:val="2"/>
          <w:lang w:eastAsia="en-US"/>
        </w:rPr>
        <w:br w:type="page"/>
      </w:r>
    </w:p>
    <w:p w:rsidR="003F44EF" w:rsidRDefault="00A269EF" w:rsidP="003F44EF">
      <w:pPr>
        <w:spacing w:after="240"/>
        <w:contextualSpacing/>
        <w:jc w:val="both"/>
        <w:rPr>
          <w:rFonts w:ascii="Arial" w:hAnsi="Arial" w:cs="Arial"/>
          <w:b/>
          <w:kern w:val="2"/>
          <w:lang w:eastAsia="en-US"/>
        </w:rPr>
      </w:pPr>
      <w:r>
        <w:rPr>
          <w:rFonts w:ascii="Arial" w:hAnsi="Arial" w:cs="Arial"/>
          <w:b/>
          <w:kern w:val="2"/>
          <w:lang w:eastAsia="en-US"/>
        </w:rPr>
        <w:t>8</w:t>
      </w:r>
      <w:r w:rsidR="003F44EF">
        <w:rPr>
          <w:rFonts w:ascii="Arial" w:hAnsi="Arial" w:cs="Arial"/>
          <w:b/>
          <w:kern w:val="2"/>
          <w:lang w:eastAsia="en-US"/>
        </w:rPr>
        <w:t xml:space="preserve">.- </w:t>
      </w:r>
      <w:r w:rsidR="003F44EF" w:rsidRPr="003F44EF">
        <w:rPr>
          <w:rFonts w:ascii="Arial" w:hAnsi="Arial" w:cs="Arial"/>
          <w:b/>
          <w:kern w:val="2"/>
          <w:lang w:eastAsia="en-US"/>
        </w:rPr>
        <w:t>PROYECTOS DE PRESTACION DE SERVICIOS A LARGO PLAZO</w:t>
      </w:r>
    </w:p>
    <w:p w:rsidR="003F44EF" w:rsidRDefault="003F44EF">
      <w:pPr>
        <w:rPr>
          <w:rFonts w:ascii="Arial" w:hAnsi="Arial" w:cs="Arial"/>
          <w:b/>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La primera entidad federativa de México en realizar reformas para  incorporar el esquema de los PPS, ha sido el Estado de Oaxaca, en el 2005. En efecto, el día 3 de septiembre de 2005 se publicaron en el  Periódico Oficial del Gobierno del Estado de Oaxaca diversas reformas legales, con el propósito de adecuar la legislación local para la operación de este esquema jurídico-financiero.</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Las ventajas importantes que presenta la figura financiera de los PPS, son las siguientes: le  permite al Estado convertir un gasto corriente en gasto de inversión, ya que todas las cantidades que venía pagando vía de arrendamientos y servicios generales de oficinas, se aplican para recibir estos servicios y además adquirir el inmueble en que se desarrollan; el financiamiento lo contratan los inversionistas privados, por lo cual no constituye Deuda Directa para el Estado, tocante a la estructura fiscal de los PPS, se recupera y se reinvierte el Impuesto al Valor Agredo (IVA) y no se  pagó como contraprestación hasta no recibir a entera satisfacción la Ciudad Administrativa “ Benemérito de las Américas” y la Ciudad Judicial y en forma resumida, el beneficio estrictamente económico-financiero del  los PPS para las finanzas públicas del Gobierno del Estado, se ha fortalecido la vocación turística de la Ciudad de Oaxaca al despejar el Centro Histórico de casi todas de las oficinas públicas.</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En el mes de febrero de 2006, el gobierno del Estado de Oaxaca dio a conocer que había adoptado el esquema de Proyectos para Prestación de Servicios (PPS) para llevar a cabo obras de infraestructura. La modificación de su marco jurídico le permitía aplicar el capital privado sobre terrenos que son de la  propiedad del gobierno, bajo este contexto, el Estado decidió no comprometer los recursos presupuestales de la entidad y aprovechar la inversión de los particulares.</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La primera coinversión público-privada fue la edificación de la “Ciudad Administrativa Benemérito de las Américas” en Tlalixtac de Cabrera, bajo un contrato de prestación de servicios firmado el 01 de diciembre del 2005, y un segundo proyecto bajo el mismo esquema se edificó el “Centro Administrativo y Judicial Porfirio Díaz Soldado de la Patria”, en Reyes Mantecón, Municipio de San Bartolo Coyotepec, contrato firmado el día 03 de enero del 2008. El Gobierno del Estado de Oaxaca celebró  por lo tanto, dos contratos de prestación de servicios con inversionistas privados, quienes se encargaron de realizar la inversión para construir, equipar y dar mantenimiento a la infraestructura creada en terrenos estatales.</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Una vez terminada la obra, se proyectó el pago de una contraprestación durante los próximos 15 años, por concepto de disponibilidad de la infraestructura, lo que ha permitido diferir la inversión en el gasto de capital a largo plazo, por lo que son más eficientes los recursos públicos, sin que las inversiones impliquen la contratación de Deuda Pública precisamente al no implicar la transferencia de un recurso extraordinario del privado al Estado ni una obligación indefectible de pago. Esta contraprestación depende en su determinación de la verificación de la inversión en los términos pactados, la edificación con las especificaciones requeridas y el mantenimiento con la calidad pactada.</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Bajo el esquema de financiamiento de los PPS, permite al Estado la realización de prepagos (abono a capital). El plazo en el caso de Cd. Administrativa ubicada en Talixtac de Cabrera, el plazo se reduce 4 años y  se  estima que entre los meses de agosto y septiembre de  2016, quedará finiquitado y llegará formar parte del patrimonio del Estado con un valor superior al doble de su costo inicial. Esta experiencia operacional permite estimar que Ciudad Judicial se cubrirá anticipadamente al plazo convenido.</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 xml:space="preserve">Al cierre del primer trimestre de 2016, Los saldos insolutos que se registran en este periodo los dos proyectos contratados por el Gobierno de Oaxaca son los siguientes: </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b/>
          <w:kern w:val="2"/>
          <w:lang w:eastAsia="en-US"/>
        </w:rPr>
      </w:pPr>
      <w:r w:rsidRPr="009363A9">
        <w:rPr>
          <w:rFonts w:ascii="Arial" w:hAnsi="Arial" w:cs="Arial"/>
          <w:b/>
          <w:kern w:val="2"/>
          <w:lang w:eastAsia="en-US"/>
        </w:rPr>
        <w:t>PROYECTOS DE PRESTACIÓN DE SERVICIOS. PPS</w:t>
      </w:r>
    </w:p>
    <w:p w:rsidR="009363A9" w:rsidRPr="009363A9" w:rsidRDefault="009363A9" w:rsidP="009363A9">
      <w:pPr>
        <w:spacing w:after="240"/>
        <w:contextualSpacing/>
        <w:jc w:val="both"/>
        <w:rPr>
          <w:rFonts w:ascii="Arial" w:hAnsi="Arial" w:cs="Arial"/>
          <w:kern w:val="2"/>
          <w:lang w:eastAsia="en-US"/>
        </w:rPr>
      </w:pPr>
    </w:p>
    <w:p w:rsidR="009363A9" w:rsidRDefault="009363A9" w:rsidP="009363A9">
      <w:pPr>
        <w:spacing w:after="240"/>
        <w:contextualSpacing/>
        <w:rPr>
          <w:rFonts w:ascii="Arial" w:hAnsi="Arial" w:cs="Arial"/>
          <w:b/>
          <w:kern w:val="2"/>
          <w:lang w:eastAsia="en-US"/>
        </w:rPr>
      </w:pPr>
      <w:r w:rsidRPr="009363A9">
        <w:rPr>
          <w:rFonts w:ascii="Arial" w:hAnsi="Arial" w:cs="Arial"/>
          <w:b/>
          <w:kern w:val="2"/>
          <w:lang w:eastAsia="en-US"/>
        </w:rPr>
        <w:t>Ciudad Administrativa Tlalixtac.</w:t>
      </w:r>
    </w:p>
    <w:p w:rsidR="009363A9" w:rsidRPr="009363A9" w:rsidRDefault="009363A9" w:rsidP="009363A9">
      <w:pPr>
        <w:spacing w:after="240"/>
        <w:contextualSpacing/>
        <w:rPr>
          <w:rFonts w:ascii="Arial" w:hAnsi="Arial" w:cs="Arial"/>
          <w:b/>
          <w:kern w:val="2"/>
          <w:lang w:eastAsia="en-US"/>
        </w:rPr>
      </w:pPr>
    </w:p>
    <w:p w:rsidR="009363A9" w:rsidRPr="009363A9" w:rsidRDefault="009363A9" w:rsidP="009363A9">
      <w:pPr>
        <w:spacing w:after="240"/>
        <w:contextualSpacing/>
        <w:rPr>
          <w:rFonts w:ascii="Arial" w:hAnsi="Arial" w:cs="Arial"/>
          <w:kern w:val="2"/>
          <w:lang w:eastAsia="en-US"/>
        </w:rPr>
      </w:pPr>
      <w:r w:rsidRPr="009363A9">
        <w:rPr>
          <w:rFonts w:ascii="Arial" w:hAnsi="Arial" w:cs="Arial"/>
          <w:kern w:val="2"/>
          <w:lang w:eastAsia="en-US"/>
        </w:rPr>
        <w:t xml:space="preserve">Saldo insoluto al 31 de marzo de 2016: $ </w:t>
      </w:r>
      <w:r w:rsidRPr="009363A9">
        <w:rPr>
          <w:rFonts w:ascii="Arial" w:hAnsi="Arial" w:cs="Arial"/>
          <w:b/>
          <w:kern w:val="2"/>
          <w:lang w:eastAsia="en-US"/>
        </w:rPr>
        <w:t>68,818,897.83</w:t>
      </w:r>
    </w:p>
    <w:p w:rsidR="009363A9" w:rsidRPr="009363A9" w:rsidRDefault="009363A9" w:rsidP="009363A9">
      <w:pPr>
        <w:spacing w:after="240"/>
        <w:contextualSpacing/>
        <w:rPr>
          <w:rFonts w:ascii="Arial" w:hAnsi="Arial" w:cs="Arial"/>
          <w:kern w:val="2"/>
          <w:lang w:eastAsia="en-US"/>
        </w:rPr>
      </w:pPr>
    </w:p>
    <w:p w:rsidR="009363A9" w:rsidRDefault="009363A9" w:rsidP="009363A9">
      <w:pPr>
        <w:spacing w:after="240"/>
        <w:contextualSpacing/>
        <w:rPr>
          <w:rFonts w:ascii="Arial" w:hAnsi="Arial" w:cs="Arial"/>
          <w:b/>
          <w:kern w:val="2"/>
          <w:lang w:eastAsia="en-US"/>
        </w:rPr>
      </w:pPr>
      <w:r w:rsidRPr="009363A9">
        <w:rPr>
          <w:rFonts w:ascii="Arial" w:hAnsi="Arial" w:cs="Arial"/>
          <w:b/>
          <w:kern w:val="2"/>
          <w:lang w:eastAsia="en-US"/>
        </w:rPr>
        <w:t>Ciudad Judicial Reyes Mantecón.</w:t>
      </w:r>
    </w:p>
    <w:p w:rsidR="009363A9" w:rsidRPr="009363A9" w:rsidRDefault="009363A9" w:rsidP="009363A9">
      <w:pPr>
        <w:spacing w:after="240"/>
        <w:contextualSpacing/>
        <w:rPr>
          <w:rFonts w:ascii="Arial" w:hAnsi="Arial" w:cs="Arial"/>
          <w:b/>
          <w:kern w:val="2"/>
          <w:lang w:eastAsia="en-US"/>
        </w:rPr>
      </w:pPr>
    </w:p>
    <w:p w:rsidR="009363A9" w:rsidRPr="009363A9" w:rsidRDefault="009363A9" w:rsidP="009363A9">
      <w:pPr>
        <w:spacing w:after="240"/>
        <w:contextualSpacing/>
        <w:rPr>
          <w:rFonts w:ascii="Arial" w:hAnsi="Arial" w:cs="Arial"/>
          <w:b/>
          <w:kern w:val="2"/>
          <w:lang w:eastAsia="en-US"/>
        </w:rPr>
      </w:pPr>
      <w:r w:rsidRPr="009363A9">
        <w:rPr>
          <w:rFonts w:ascii="Arial" w:hAnsi="Arial" w:cs="Arial"/>
          <w:kern w:val="2"/>
          <w:lang w:eastAsia="en-US"/>
        </w:rPr>
        <w:t>Saldo insoluto al 31 de marzo de 2016: $</w:t>
      </w:r>
      <w:r w:rsidRPr="009363A9">
        <w:rPr>
          <w:rFonts w:ascii="Arial" w:hAnsi="Arial" w:cs="Arial"/>
          <w:b/>
          <w:kern w:val="2"/>
          <w:lang w:eastAsia="en-US"/>
        </w:rPr>
        <w:t>825,405,507.35</w:t>
      </w:r>
      <w:r w:rsidRPr="009363A9">
        <w:rPr>
          <w:rFonts w:ascii="Arial" w:hAnsi="Arial" w:cs="Arial"/>
          <w:kern w:val="2"/>
          <w:lang w:eastAsia="en-US"/>
        </w:rPr>
        <w:t xml:space="preserve"> </w:t>
      </w:r>
      <w:r w:rsidRPr="009363A9">
        <w:rPr>
          <w:rFonts w:ascii="Arial" w:hAnsi="Arial" w:cs="Arial"/>
          <w:kern w:val="2"/>
          <w:lang w:eastAsia="en-US"/>
        </w:rPr>
        <w:br/>
      </w:r>
      <w:r w:rsidRPr="009363A9">
        <w:rPr>
          <w:rFonts w:ascii="Arial" w:hAnsi="Arial" w:cs="Arial"/>
          <w:kern w:val="2"/>
          <w:lang w:eastAsia="en-US"/>
        </w:rPr>
        <w:br/>
      </w:r>
      <w:r w:rsidRPr="009363A9">
        <w:rPr>
          <w:rFonts w:ascii="Arial" w:hAnsi="Arial" w:cs="Arial"/>
          <w:b/>
          <w:kern w:val="2"/>
          <w:lang w:eastAsia="en-US"/>
        </w:rPr>
        <w:t xml:space="preserve">Ciudad  Administrativa Tlalixtac. </w:t>
      </w: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Este proyecto está por quedar liquidado en el transcurso de este año. Se tienen programados 7 pagos restantes. El vencimiento de dicho contrato podría quedar finiquitado  durante el mes de agosto del 2016.</w:t>
      </w:r>
    </w:p>
    <w:p w:rsidR="009363A9" w:rsidRPr="009363A9" w:rsidRDefault="009363A9" w:rsidP="009363A9">
      <w:pPr>
        <w:spacing w:after="240"/>
        <w:contextualSpacing/>
        <w:jc w:val="both"/>
        <w:rPr>
          <w:rFonts w:ascii="Arial" w:hAnsi="Arial" w:cs="Arial"/>
          <w:kern w:val="2"/>
          <w:lang w:eastAsia="en-US"/>
        </w:rPr>
      </w:pPr>
    </w:p>
    <w:p w:rsidR="009363A9" w:rsidRDefault="009363A9" w:rsidP="009363A9">
      <w:pPr>
        <w:spacing w:after="240"/>
        <w:contextualSpacing/>
        <w:jc w:val="both"/>
        <w:rPr>
          <w:rFonts w:ascii="Arial" w:hAnsi="Arial" w:cs="Arial"/>
          <w:b/>
          <w:kern w:val="2"/>
          <w:lang w:eastAsia="en-US"/>
        </w:rPr>
      </w:pPr>
      <w:r w:rsidRPr="009363A9">
        <w:rPr>
          <w:rFonts w:ascii="Arial" w:hAnsi="Arial" w:cs="Arial"/>
          <w:b/>
          <w:kern w:val="2"/>
          <w:lang w:eastAsia="en-US"/>
        </w:rPr>
        <w:t>Cuidad Judicial Reyes Mantecón.</w:t>
      </w:r>
    </w:p>
    <w:p w:rsidR="009363A9" w:rsidRPr="009363A9" w:rsidRDefault="009363A9" w:rsidP="009363A9">
      <w:pPr>
        <w:spacing w:after="240"/>
        <w:contextualSpacing/>
        <w:jc w:val="both"/>
        <w:rPr>
          <w:rFonts w:ascii="Arial" w:hAnsi="Arial" w:cs="Arial"/>
          <w:b/>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El saldo insoluto registrado al 31 de marzo de 2016, cubre más del 50 por ciento del saldo original con  5 años de pagos en periodos mensuales (pago inicial noviembre de 2010) por parte del Gobierno del Estado. El plazo contratado es de 15 años.</w:t>
      </w:r>
    </w:p>
    <w:p w:rsidR="009363A9" w:rsidRPr="009363A9" w:rsidRDefault="009363A9" w:rsidP="009363A9">
      <w:pPr>
        <w:spacing w:after="240"/>
        <w:contextualSpacing/>
        <w:jc w:val="both"/>
        <w:rPr>
          <w:rFonts w:ascii="Arial" w:hAnsi="Arial" w:cs="Arial"/>
          <w:kern w:val="2"/>
          <w:lang w:eastAsia="en-US"/>
        </w:rPr>
      </w:pPr>
    </w:p>
    <w:p w:rsidR="009363A9" w:rsidRPr="009363A9" w:rsidRDefault="009363A9" w:rsidP="009363A9">
      <w:pPr>
        <w:spacing w:after="240"/>
        <w:contextualSpacing/>
        <w:jc w:val="both"/>
        <w:rPr>
          <w:rFonts w:ascii="Arial" w:hAnsi="Arial" w:cs="Arial"/>
          <w:kern w:val="2"/>
          <w:lang w:eastAsia="en-US"/>
        </w:rPr>
      </w:pPr>
      <w:r w:rsidRPr="009363A9">
        <w:rPr>
          <w:rFonts w:ascii="Arial" w:hAnsi="Arial" w:cs="Arial"/>
          <w:kern w:val="2"/>
          <w:lang w:eastAsia="en-US"/>
        </w:rPr>
        <w:t>Durante el trimestre enero –marzo 2016, el Gobierno del Estado de Oaxaca cubrió como pago de prestación de servicios en este periodo, la cantidad de $ 31 millones 617 mil pesos correspondiente a Ciudad Administrativa Tlalixtac, así mismo, por Ciudad Judicial Reyes Mantecón la cantidad de $ 95 millones 684 mil pesos. El Estado no ha dejado de cumplir con sus obligaciones financieras, además cabe señalar, que los dos proyectos en mención, en la actualidad un avalúo estimado, supera lo que hasta la fecha se ha pagado.</w:t>
      </w:r>
    </w:p>
    <w:p w:rsidR="003F44EF" w:rsidRPr="009363A9" w:rsidRDefault="003F44EF" w:rsidP="009363A9">
      <w:pPr>
        <w:spacing w:after="240"/>
        <w:contextualSpacing/>
        <w:jc w:val="both"/>
        <w:rPr>
          <w:rFonts w:ascii="Arial" w:hAnsi="Arial" w:cs="Arial"/>
          <w:kern w:val="2"/>
          <w:lang w:eastAsia="en-US"/>
        </w:rPr>
      </w:pPr>
      <w:r w:rsidRPr="009363A9">
        <w:rPr>
          <w:rFonts w:ascii="Arial" w:hAnsi="Arial" w:cs="Arial"/>
          <w:kern w:val="2"/>
          <w:lang w:eastAsia="en-US"/>
        </w:rPr>
        <w:br w:type="page"/>
      </w:r>
    </w:p>
    <w:p w:rsidR="003F44EF" w:rsidRDefault="00A269EF" w:rsidP="003F44EF">
      <w:pPr>
        <w:spacing w:after="240"/>
        <w:contextualSpacing/>
        <w:jc w:val="both"/>
        <w:rPr>
          <w:rFonts w:ascii="Arial" w:hAnsi="Arial" w:cs="Arial"/>
          <w:b/>
          <w:kern w:val="2"/>
          <w:lang w:eastAsia="en-US"/>
        </w:rPr>
      </w:pPr>
      <w:r>
        <w:rPr>
          <w:rFonts w:ascii="Arial" w:hAnsi="Arial" w:cs="Arial"/>
          <w:b/>
          <w:kern w:val="2"/>
          <w:lang w:eastAsia="en-US"/>
        </w:rPr>
        <w:t>9</w:t>
      </w:r>
      <w:r w:rsidR="003F44EF">
        <w:rPr>
          <w:rFonts w:ascii="Arial" w:hAnsi="Arial" w:cs="Arial"/>
          <w:b/>
          <w:kern w:val="2"/>
          <w:lang w:eastAsia="en-US"/>
        </w:rPr>
        <w:t>.- INDICADORES DE POSTURA FISCAL</w:t>
      </w:r>
    </w:p>
    <w:p w:rsidR="003F44EF" w:rsidRDefault="003F44EF" w:rsidP="003F44EF">
      <w:pPr>
        <w:spacing w:after="240"/>
        <w:contextualSpacing/>
        <w:jc w:val="both"/>
        <w:rPr>
          <w:rFonts w:ascii="Arial" w:hAnsi="Arial" w:cs="Arial"/>
          <w:b/>
          <w:kern w:val="2"/>
          <w:lang w:eastAsia="en-US"/>
        </w:rPr>
      </w:pPr>
    </w:p>
    <w:p w:rsidR="003F44EF" w:rsidRDefault="003F44EF" w:rsidP="003F44EF">
      <w:pPr>
        <w:spacing w:after="240"/>
        <w:contextualSpacing/>
        <w:jc w:val="both"/>
        <w:rPr>
          <w:rFonts w:ascii="Arial" w:hAnsi="Arial" w:cs="Arial"/>
          <w:b/>
          <w:kern w:val="2"/>
          <w:lang w:eastAsia="en-US"/>
        </w:rPr>
      </w:pPr>
    </w:p>
    <w:p w:rsidR="00AC5412" w:rsidRDefault="00AC5412" w:rsidP="00AC5412">
      <w:pPr>
        <w:spacing w:after="240"/>
        <w:contextualSpacing/>
        <w:jc w:val="both"/>
        <w:rPr>
          <w:rFonts w:ascii="Arial" w:hAnsi="Arial" w:cs="Arial"/>
          <w:kern w:val="2"/>
          <w:lang w:eastAsia="en-US"/>
        </w:rPr>
      </w:pPr>
      <w:r w:rsidRPr="00AC5412">
        <w:rPr>
          <w:rFonts w:ascii="Arial" w:hAnsi="Arial" w:cs="Arial"/>
          <w:kern w:val="2"/>
          <w:lang w:eastAsia="en-US"/>
        </w:rPr>
        <w:t>En el período enero-marzo 2016 la postura fiscal del Estado de Oaxaca, entendida como el resultado de los flujos económicos del sector público que afectan su situación financiera, registró cifras superavitarias derivadas de un mejoramiento en los ingresos presupuestarios y un esfuerzo de contención del gasto que se refleja en menores egresos presupuestarios.</w:t>
      </w:r>
    </w:p>
    <w:p w:rsidR="00AC5412" w:rsidRPr="00AC5412" w:rsidRDefault="00AC5412" w:rsidP="00AC5412">
      <w:pPr>
        <w:spacing w:after="240"/>
        <w:contextualSpacing/>
        <w:jc w:val="both"/>
        <w:rPr>
          <w:rFonts w:ascii="Arial" w:hAnsi="Arial" w:cs="Arial"/>
          <w:kern w:val="2"/>
          <w:lang w:eastAsia="en-US"/>
        </w:rPr>
      </w:pPr>
    </w:p>
    <w:p w:rsidR="00AC5412" w:rsidRDefault="00AC5412" w:rsidP="00AC5412">
      <w:pPr>
        <w:spacing w:after="240"/>
        <w:contextualSpacing/>
        <w:jc w:val="both"/>
        <w:rPr>
          <w:rFonts w:ascii="Arial" w:hAnsi="Arial" w:cs="Arial"/>
          <w:kern w:val="2"/>
          <w:lang w:eastAsia="en-US"/>
        </w:rPr>
      </w:pPr>
      <w:r w:rsidRPr="00AC5412">
        <w:rPr>
          <w:rFonts w:ascii="Arial" w:hAnsi="Arial" w:cs="Arial"/>
          <w:kern w:val="2"/>
          <w:lang w:eastAsia="en-US"/>
        </w:rPr>
        <w:t>El balance público alcanzó un superávit de poco más de mil 227 millones de pesos. Este resultado se logró debido a una recaudación de 14 mil 317 millones contra un monto de egresos devengados de 13 mil 90 millones. De éstos, los Egresos del Gobierno Estatal suman 6 mil 920 millones y los Egresos del Sector Paraestatal, 6 mil 170 millones.</w:t>
      </w:r>
    </w:p>
    <w:p w:rsidR="00AC5412" w:rsidRPr="00AC5412" w:rsidRDefault="00AC5412" w:rsidP="00AC5412">
      <w:pPr>
        <w:spacing w:after="240"/>
        <w:contextualSpacing/>
        <w:jc w:val="both"/>
        <w:rPr>
          <w:rFonts w:ascii="Arial" w:hAnsi="Arial" w:cs="Arial"/>
          <w:kern w:val="2"/>
          <w:lang w:eastAsia="en-US"/>
        </w:rPr>
      </w:pPr>
    </w:p>
    <w:p w:rsidR="00AC5412" w:rsidRDefault="00AC5412" w:rsidP="00AC5412">
      <w:pPr>
        <w:spacing w:after="240"/>
        <w:contextualSpacing/>
        <w:jc w:val="both"/>
        <w:rPr>
          <w:rFonts w:ascii="Arial" w:hAnsi="Arial" w:cs="Arial"/>
          <w:kern w:val="2"/>
          <w:lang w:eastAsia="en-US"/>
        </w:rPr>
      </w:pPr>
      <w:r w:rsidRPr="00AC5412">
        <w:rPr>
          <w:rFonts w:ascii="Arial" w:hAnsi="Arial" w:cs="Arial"/>
          <w:kern w:val="2"/>
          <w:lang w:eastAsia="en-US"/>
        </w:rPr>
        <w:t>El total de intereses, comisiones y gastos asociados a la deuda pública en el primer trimestre del año sumaron 230 millones 819 mil 123 pesos. Así, el balance primario, definido como la diferencia entre los ingresos totales y los gastos distintos del costo financiero, fue de poco más de 996 millones de pesos. Cabe mencionar que este resultado trimestral superavitario se suma al resultado favorable en términos de balance primario por 311 millones obtenido en el ejercicio fiscal 2015.</w:t>
      </w:r>
    </w:p>
    <w:p w:rsidR="00AC5412" w:rsidRPr="00AC5412" w:rsidRDefault="00AC5412" w:rsidP="00AC5412">
      <w:pPr>
        <w:spacing w:after="240"/>
        <w:contextualSpacing/>
        <w:jc w:val="both"/>
        <w:rPr>
          <w:rFonts w:ascii="Arial" w:hAnsi="Arial" w:cs="Arial"/>
          <w:kern w:val="2"/>
          <w:lang w:eastAsia="en-US"/>
        </w:rPr>
      </w:pPr>
    </w:p>
    <w:p w:rsidR="00AC5412" w:rsidRPr="00AC5412" w:rsidRDefault="00AC5412" w:rsidP="00AC5412">
      <w:pPr>
        <w:spacing w:after="240"/>
        <w:contextualSpacing/>
        <w:jc w:val="both"/>
        <w:rPr>
          <w:rFonts w:ascii="Arial" w:hAnsi="Arial" w:cs="Arial"/>
          <w:kern w:val="2"/>
          <w:lang w:eastAsia="en-US"/>
        </w:rPr>
      </w:pPr>
      <w:r w:rsidRPr="00AC5412">
        <w:rPr>
          <w:rFonts w:ascii="Arial" w:hAnsi="Arial" w:cs="Arial"/>
          <w:kern w:val="2"/>
          <w:lang w:eastAsia="en-US"/>
        </w:rPr>
        <w:t>El monto destinado a amortización de deuda en el periodo enero-marzo 2016 fue de 140 millones 556 mil 601 pesos.</w:t>
      </w:r>
    </w:p>
    <w:p w:rsidR="00AC5412" w:rsidRDefault="00AC5412" w:rsidP="003F44EF">
      <w:pPr>
        <w:spacing w:after="240"/>
        <w:contextualSpacing/>
        <w:jc w:val="both"/>
        <w:rPr>
          <w:rFonts w:ascii="Arial" w:hAnsi="Arial" w:cs="Arial"/>
          <w:b/>
          <w:kern w:val="2"/>
          <w:lang w:eastAsia="en-US"/>
        </w:rPr>
      </w:pPr>
    </w:p>
    <w:p w:rsidR="00AC5412" w:rsidRDefault="00AC5412" w:rsidP="003F44EF">
      <w:pPr>
        <w:spacing w:after="240"/>
        <w:contextualSpacing/>
        <w:jc w:val="both"/>
        <w:rPr>
          <w:rFonts w:ascii="Arial" w:hAnsi="Arial" w:cs="Arial"/>
          <w:b/>
          <w:kern w:val="2"/>
          <w:lang w:eastAsia="en-US"/>
        </w:rPr>
      </w:pPr>
    </w:p>
    <w:p w:rsidR="003F44EF" w:rsidRDefault="003F44EF">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AC5412" w:rsidRDefault="00AC5412">
      <w:pPr>
        <w:rPr>
          <w:rFonts w:ascii="Arial" w:hAnsi="Arial" w:cs="Arial"/>
          <w:b/>
          <w:kern w:val="2"/>
          <w:lang w:eastAsia="en-US"/>
        </w:rPr>
      </w:pPr>
    </w:p>
    <w:p w:rsidR="003F44EF" w:rsidRDefault="003F44EF">
      <w:pPr>
        <w:rPr>
          <w:rFonts w:ascii="Arial" w:hAnsi="Arial" w:cs="Arial"/>
          <w:b/>
          <w:kern w:val="2"/>
          <w:lang w:eastAsia="en-US"/>
        </w:rPr>
      </w:pPr>
      <w:r w:rsidRPr="003F44EF">
        <w:rPr>
          <w:noProof/>
          <w:lang w:val="es-MX" w:eastAsia="es-MX"/>
        </w:rPr>
        <w:drawing>
          <wp:inline distT="0" distB="0" distL="0" distR="0">
            <wp:extent cx="5882005" cy="4282569"/>
            <wp:effectExtent l="19050" t="0" r="444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5882005" cy="4282569"/>
                    </a:xfrm>
                    <a:prstGeom prst="rect">
                      <a:avLst/>
                    </a:prstGeom>
                    <a:noFill/>
                    <a:ln w="9525">
                      <a:noFill/>
                      <a:miter lim="800000"/>
                      <a:headEnd/>
                      <a:tailEnd/>
                    </a:ln>
                  </pic:spPr>
                </pic:pic>
              </a:graphicData>
            </a:graphic>
          </wp:inline>
        </w:drawing>
      </w:r>
      <w:r>
        <w:rPr>
          <w:rFonts w:ascii="Arial" w:hAnsi="Arial" w:cs="Arial"/>
          <w:b/>
          <w:kern w:val="2"/>
          <w:lang w:eastAsia="en-US"/>
        </w:rPr>
        <w:br w:type="page"/>
      </w: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10.9.- NOTAS A LOS ESTADOS FINANCIEROS CONSOLIDADOS</w:t>
      </w:r>
    </w:p>
    <w:p w:rsidR="00B84150" w:rsidRPr="00B653C9" w:rsidRDefault="00B84150" w:rsidP="00B84150">
      <w:pPr>
        <w:autoSpaceDE w:val="0"/>
        <w:autoSpaceDN w:val="0"/>
        <w:adjustRightInd w:val="0"/>
        <w:spacing w:before="240" w:after="120"/>
        <w:jc w:val="center"/>
        <w:rPr>
          <w:rFonts w:ascii="Arial" w:hAnsi="Arial" w:cs="Arial"/>
          <w:b/>
          <w:sz w:val="20"/>
          <w:szCs w:val="20"/>
        </w:rPr>
      </w:pP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De conformidad al artículo 46, 47 y 49 de la Ley General de Contabilidad Gubernamental, así como a la normatividad emitida por el Consejo Nacional de Armonización Contable, a continuación se presentan las notas a los estados financieros correspondientes al ejercicio fiscal de 1º. de enero al 31 de marzo 2016 y 2015, con los siguientes apartados:</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pStyle w:val="Prrafodelista"/>
        <w:numPr>
          <w:ilvl w:val="0"/>
          <w:numId w:val="15"/>
        </w:numPr>
        <w:spacing w:after="240"/>
        <w:contextualSpacing/>
        <w:jc w:val="both"/>
        <w:rPr>
          <w:rFonts w:ascii="Arial" w:hAnsi="Arial" w:cs="Arial"/>
          <w:kern w:val="2"/>
          <w:lang w:eastAsia="en-US"/>
        </w:rPr>
      </w:pPr>
      <w:r w:rsidRPr="00B84150">
        <w:rPr>
          <w:rFonts w:ascii="Arial" w:hAnsi="Arial" w:cs="Arial"/>
          <w:kern w:val="2"/>
          <w:lang w:eastAsia="en-US"/>
        </w:rPr>
        <w:t>Notas de Desglose</w:t>
      </w:r>
    </w:p>
    <w:p w:rsidR="00B84150" w:rsidRPr="00B84150" w:rsidRDefault="00B84150" w:rsidP="00B84150">
      <w:pPr>
        <w:pStyle w:val="Prrafodelista"/>
        <w:numPr>
          <w:ilvl w:val="0"/>
          <w:numId w:val="15"/>
        </w:numPr>
        <w:spacing w:after="240"/>
        <w:contextualSpacing/>
        <w:jc w:val="both"/>
        <w:rPr>
          <w:rFonts w:ascii="Arial" w:hAnsi="Arial" w:cs="Arial"/>
          <w:kern w:val="2"/>
          <w:lang w:eastAsia="en-US"/>
        </w:rPr>
      </w:pPr>
      <w:r w:rsidRPr="00B84150">
        <w:rPr>
          <w:rFonts w:ascii="Arial" w:hAnsi="Arial" w:cs="Arial"/>
          <w:kern w:val="2"/>
          <w:lang w:eastAsia="en-US"/>
        </w:rPr>
        <w:t>Notas de Memoria</w:t>
      </w:r>
    </w:p>
    <w:p w:rsidR="00B84150" w:rsidRPr="00B84150" w:rsidRDefault="00B84150" w:rsidP="00B84150">
      <w:pPr>
        <w:pStyle w:val="Prrafodelista"/>
        <w:numPr>
          <w:ilvl w:val="0"/>
          <w:numId w:val="15"/>
        </w:numPr>
        <w:spacing w:after="240"/>
        <w:contextualSpacing/>
        <w:jc w:val="both"/>
        <w:rPr>
          <w:rFonts w:ascii="Arial" w:hAnsi="Arial" w:cs="Arial"/>
          <w:kern w:val="2"/>
          <w:lang w:eastAsia="en-US"/>
        </w:rPr>
      </w:pPr>
      <w:r w:rsidRPr="00B84150">
        <w:rPr>
          <w:rFonts w:ascii="Arial" w:hAnsi="Arial" w:cs="Arial"/>
          <w:kern w:val="2"/>
          <w:lang w:eastAsia="en-US"/>
        </w:rPr>
        <w:t>Notas de Gestión Administrativa</w:t>
      </w: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NOTAS DE DESGLOSE:</w:t>
      </w:r>
    </w:p>
    <w:p w:rsidR="00B84150" w:rsidRPr="00B84150" w:rsidRDefault="00B84150" w:rsidP="00B84150">
      <w:pPr>
        <w:spacing w:after="240"/>
        <w:contextualSpacing/>
        <w:jc w:val="center"/>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Notas al Estado de Situación Financiera del Gobierno Estatal Consolidado.</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Activo</w:t>
      </w:r>
    </w:p>
    <w:p w:rsidR="00B84150" w:rsidRDefault="00B84150" w:rsidP="00B84150">
      <w:pPr>
        <w:spacing w:after="240"/>
        <w:contextualSpacing/>
        <w:jc w:val="both"/>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 Efectivo y Equivalentes</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En este apartado se integran los recursos monetarios que maneja el Gobierno Estatal en cuentas bancarias en moneda nacional y en aquellos que están en los poderes Ejecutivo, Legislativo, Judicial y Autónomos.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3,848,308,740</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5,850,921,826</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7,175,886</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4,536,666</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19,071,030</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13,989,060</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172,458,999</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64,618,818</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4,047,014,655</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5,934,066,370</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Respecto a este rubro, una parte corresponde al efectivo restringido del Gobierno del Estado, que concentra los ingresos afectos al fideicomiso (Impuesto de Erogaciones por Remuneración al Trabajo y Derechos por Servicios de Control Vehicular) que están destinados a cubrir las obligaciones derivadas de la Bursatilización 2007 y pago del principal e intereses de la misma y de las Fianzas de garantía del Poder Judicial. El importe para el ejercicio 2016 es por 537 mil 845 pesos.</w:t>
      </w: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2. Derechos a Recibir Efectivo o Equivalentes.</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Corresponde integrar en este rubro los saldos que representan cuentas por cobrar y deudores diversos por cobrar a corto plazo, préstamos otorgados a corto plazo, otros derechos a recibir efectivo o equivalentes a corto plazo.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pPr w:leftFromText="141" w:rightFromText="141" w:vertAnchor="text" w:tblpXSpec="center" w:tblpY="1"/>
        <w:tblOverlap w:val="never"/>
        <w:tblW w:w="6080" w:type="dxa"/>
        <w:tblCellMar>
          <w:left w:w="70" w:type="dxa"/>
          <w:right w:w="70" w:type="dxa"/>
        </w:tblCellMar>
        <w:tblLook w:val="04A0"/>
      </w:tblPr>
      <w:tblGrid>
        <w:gridCol w:w="2360"/>
        <w:gridCol w:w="1860"/>
        <w:gridCol w:w="1860"/>
      </w:tblGrid>
      <w:tr w:rsidR="00B84150" w:rsidRPr="00B84150" w:rsidTr="00B84150">
        <w:trPr>
          <w:trHeight w:val="315"/>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B84150">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7,274,440,006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11,098,151,907</w:t>
            </w:r>
          </w:p>
        </w:tc>
      </w:tr>
      <w:tr w:rsidR="00B84150" w:rsidRPr="00B84150" w:rsidTr="00B84150">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278,691,044</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119,438,861</w:t>
            </w:r>
          </w:p>
        </w:tc>
      </w:tr>
      <w:tr w:rsidR="00B84150" w:rsidRPr="00B84150" w:rsidTr="00B84150">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131,222,921</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48,128,629</w:t>
            </w:r>
          </w:p>
        </w:tc>
      </w:tr>
      <w:tr w:rsidR="00B84150" w:rsidRPr="00B84150" w:rsidTr="00B84150">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188,048,263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36,820,753</w:t>
            </w:r>
          </w:p>
        </w:tc>
      </w:tr>
      <w:tr w:rsidR="00B84150" w:rsidRPr="00B84150" w:rsidTr="00B84150">
        <w:trPr>
          <w:trHeight w:val="315"/>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7,872,402,234</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11,302,540,150</w:t>
            </w:r>
          </w:p>
        </w:tc>
      </w:tr>
    </w:tbl>
    <w:p w:rsidR="00B84150" w:rsidRPr="00B84150" w:rsidRDefault="00B84150" w:rsidP="00B84150">
      <w:pPr>
        <w:spacing w:after="240"/>
        <w:contextualSpacing/>
        <w:jc w:val="both"/>
        <w:rPr>
          <w:rFonts w:ascii="Arial" w:hAnsi="Arial" w:cs="Arial"/>
          <w:kern w:val="2"/>
          <w:lang w:eastAsia="en-US"/>
        </w:rPr>
      </w:pPr>
      <w:r>
        <w:rPr>
          <w:rFonts w:ascii="Arial" w:hAnsi="Arial" w:cs="Arial"/>
          <w:kern w:val="2"/>
          <w:lang w:eastAsia="en-US"/>
        </w:rPr>
        <w:br w:type="textWrapping" w:clear="all"/>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3. Derechos a Recibir Bienes ó Servicios.</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El importe de este rubro corresponde a los anticipos a los proveedores por la adquisición de bienes y servicios a corto plazo, y a los anticipos a los contratistas para la ejecución de obra pública,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center"/>
        <w:rPr>
          <w:rFonts w:ascii="Arial" w:hAnsi="Arial" w:cs="Arial"/>
          <w:b/>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117,801,652</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161,114,581</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79,288,080</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197,089,732</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161,114,581</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pPr>
        <w:rPr>
          <w:rFonts w:ascii="Arial" w:hAnsi="Arial" w:cs="Arial"/>
          <w:b/>
          <w:kern w:val="2"/>
          <w:lang w:eastAsia="en-US"/>
        </w:rPr>
      </w:pPr>
      <w:r>
        <w:rPr>
          <w:rFonts w:ascii="Arial" w:hAnsi="Arial" w:cs="Arial"/>
          <w:b/>
          <w:kern w:val="2"/>
          <w:lang w:eastAsia="en-US"/>
        </w:rPr>
        <w:br w:type="page"/>
      </w:r>
    </w:p>
    <w:p w:rsid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4. Inversiones Financieras a Largo Plazo.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Los recursos excedentes del Gobierno Estatal, los tiene invertidos en títulos, valores y demás instrumentos financieros, cuya recuperación se efectuará en un plazo mayor de doce meses.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811,096,993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712,034,324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811,096,993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712,034,324</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p>
    <w:p w:rsidR="00B84150" w:rsidRDefault="00B84150" w:rsidP="00B84150">
      <w:pPr>
        <w:spacing w:after="240"/>
        <w:contextualSpacing/>
        <w:jc w:val="both"/>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5. Bienes Inmuebles, Infraestructura y construcciones en proceso.</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Se conforma por los bienes necesarios para llevar a cabo las actividades de gobierno y las obras en proceso que se realizan en los diferentes inmuebles.</w:t>
      </w: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Se presenta la integración de los bienes inmuebles al 31 de marzo de 2016 y 2015:</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11,154,499,037</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8,711,718,438</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52,716,290</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52,716,290</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199,300,194</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25,373,928</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90,567,062</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68,750,462</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11,497,082,583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8,858,559,118</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pPr>
        <w:rPr>
          <w:rFonts w:ascii="Arial" w:hAnsi="Arial" w:cs="Arial"/>
          <w:kern w:val="2"/>
          <w:lang w:eastAsia="en-US"/>
        </w:rPr>
      </w:pPr>
      <w:r>
        <w:rPr>
          <w:rFonts w:ascii="Arial" w:hAnsi="Arial" w:cs="Arial"/>
          <w:kern w:val="2"/>
          <w:lang w:eastAsia="en-US"/>
        </w:rPr>
        <w:br w:type="page"/>
      </w:r>
    </w:p>
    <w:p w:rsid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6. Bienes Muebles.</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 xml:space="preserve">Se conforma por los bienes muebles necesarios para llevar a cabo las actividades de gobierno. </w:t>
      </w: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A continuación, se presenta la integración de los bienes muebles al 31 de marzo de 2016 y 2015:</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2,076,966,076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1,836,201,559</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54,850,813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53,291,882</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91,437,424</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134,792,887</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32,970,133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23,841,504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2,256,224,446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2,048,127,832</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7. Activos Intangibles.</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Se conforma por los bienes intangibles necesarios para llevar a cabo las actividades de gobierno.</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Se presenta la integración de Intangibles al 31 de marzo de 2016 y 2015:</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100,113,157</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81,861,472</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1,032,324</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1,032,324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1,343,284</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405,652</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1,459,693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1,264,500</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103,948,458</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84,563,948</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pPr>
        <w:rPr>
          <w:rFonts w:ascii="Arial" w:hAnsi="Arial" w:cs="Arial"/>
          <w:kern w:val="2"/>
          <w:lang w:eastAsia="en-US"/>
        </w:rPr>
      </w:pPr>
      <w:r>
        <w:rPr>
          <w:rFonts w:ascii="Arial" w:hAnsi="Arial" w:cs="Arial"/>
          <w:kern w:val="2"/>
          <w:lang w:eastAsia="en-US"/>
        </w:rPr>
        <w:br w:type="page"/>
      </w:r>
    </w:p>
    <w:p w:rsid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8. Cuentas por Pagar a Corto Plazo.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Los saldos de estas cuentas representan el monto de los adeudos del Estado, que deberá pagar en un plazo menor o igual a doce meses.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kern w:val="2"/>
          <w:lang w:eastAsia="en-US"/>
        </w:rPr>
      </w:pPr>
      <w:r w:rsidRPr="00B84150">
        <w:rPr>
          <w:rFonts w:ascii="Arial" w:hAnsi="Arial" w:cs="Arial"/>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10,751,501,771</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12,082,912,231</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286,125,460</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123,985,129</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227,695,563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62,041,350</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360,779,982</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101,057,351</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11,626,102,776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12,369,996,061</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p>
    <w:p w:rsid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9. Porción a Corto Plazo de la Deuda Pública a Largo Plazo.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Este importe corresponde a la porción a corto plazo de la Deuda Pública.</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center"/>
        <w:rPr>
          <w:rFonts w:ascii="Arial" w:hAnsi="Arial" w:cs="Arial"/>
          <w:b/>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723,749,266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239,789,759</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723,749,266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239,789,759</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pPr>
        <w:rPr>
          <w:rFonts w:ascii="Arial" w:hAnsi="Arial" w:cs="Arial"/>
          <w:b/>
          <w:kern w:val="2"/>
          <w:lang w:eastAsia="en-US"/>
        </w:rPr>
      </w:pPr>
      <w:r>
        <w:rPr>
          <w:rFonts w:ascii="Arial" w:hAnsi="Arial" w:cs="Arial"/>
          <w:b/>
          <w:kern w:val="2"/>
          <w:lang w:eastAsia="en-US"/>
        </w:rPr>
        <w:br w:type="page"/>
      </w: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10. Otros Pasivos a Corto Plazo.</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Los saldos de estas cuentas representan el monto de otros adeudos del Estado con terceros, que deberá pagar en un plazo menor o igual a doce meses.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796,392,060</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488,889,574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bottom"/>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bottom"/>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bottom"/>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796,392,060</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488,889,574</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p>
    <w:p w:rsidR="00B84150" w:rsidRDefault="00B84150" w:rsidP="00B84150">
      <w:pPr>
        <w:spacing w:after="240"/>
        <w:contextualSpacing/>
        <w:jc w:val="both"/>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11. Cuentas por Pagar a Largo Plazo.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Los saldos de estas cuentas representan el monto de otros adeudos del Estado con terceros, que deberá pagar en un plazo mayor a doce meses.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266,688</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25,345,813</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266,688</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25,345,813</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pPr>
        <w:rPr>
          <w:rFonts w:ascii="Arial" w:hAnsi="Arial" w:cs="Arial"/>
          <w:b/>
          <w:kern w:val="2"/>
          <w:lang w:eastAsia="en-US"/>
        </w:rPr>
      </w:pPr>
      <w:r>
        <w:rPr>
          <w:rFonts w:ascii="Arial" w:hAnsi="Arial" w:cs="Arial"/>
          <w:b/>
          <w:kern w:val="2"/>
          <w:lang w:eastAsia="en-US"/>
        </w:rPr>
        <w:br w:type="page"/>
      </w: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12. Deuda Pública a Largo Plazo.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El saldo de estas cuentas representa el monto de las obligaciones directas o contingentes derivadas de financiamiento a cargo del Estado.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7,308,117,489</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4,244,333,785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noWrap/>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7,308,117,489</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4,244,333,785</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13. Fondos y Bienes de Terceros en Garantía y/o en Administración a Largo Plazo.</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El saldo de esta cuenta representa el monto de los fondos y bienes propiedad de terceros, en garantía de cumplimiento de obligaciones contractuales o legales, en un plazo mayor de doce meses. A continuación se presenta la integración de este rubro:</w:t>
      </w:r>
    </w:p>
    <w:p w:rsid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3,256,263,137</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19,694,004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3,256,263,137</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19,694,004</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pPr>
        <w:rPr>
          <w:rFonts w:ascii="Arial" w:hAnsi="Arial" w:cs="Arial"/>
          <w:kern w:val="2"/>
          <w:lang w:eastAsia="en-US"/>
        </w:rPr>
      </w:pPr>
      <w:r>
        <w:rPr>
          <w:rFonts w:ascii="Arial" w:hAnsi="Arial" w:cs="Arial"/>
          <w:kern w:val="2"/>
          <w:lang w:eastAsia="en-US"/>
        </w:rPr>
        <w:br w:type="page"/>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b/>
          <w:kern w:val="2"/>
          <w:lang w:eastAsia="en-US"/>
        </w:rPr>
        <w:t>Nota14. Notas al Estado de Variación de la Hacienda Pública/Patrimonio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Este Estado muestra el monto de la Hacienda Pública/Patrimonio al 31 de marzo de 2016 y 2015, se conforma como sigue:</w:t>
      </w: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2,552,212,403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11,357,967,784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108,340,897</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107,030,714</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294,020,608</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160,702,045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124,724,168</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94,238,685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3,079,298,076</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11,719,939,228</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b/>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15. Notas al Estado de Actividades</w:t>
      </w: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Este Estado muestra dos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al cierre del ejercicio, el cual para este periodo, ascendió a Un mil 227 millones 42 mil 881 pesos.</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2,139,327,263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7,271,761,267</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xml:space="preserve">-             258,530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4,284,345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37,524,833</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0</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640,000</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5,557,841</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Sector paraestatal</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 xml:space="preserve">-      950,190,685 </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283,225,359</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1,227,042,881</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7,564,828,812</w:t>
            </w:r>
          </w:p>
        </w:tc>
      </w:tr>
    </w:tbl>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 xml:space="preserve">En este periodo, se incluye el resultado del ejercicio del Sector Paraestatal, derivado de la correcta distribución del recurso por objeto de gasto. </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El resultado en este periodo, se deriva de inversiones registradas en el activo a largo plazo, las cuales afectarán los resultados de los ejercicios siguientes por el efecto de la depreciación.</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Así mismo existe una variación en el resultado del ejercicio del sector paraestatal al cierre del periodo que se informa; derivado de las operaciones que se registraran en el siguiente informe que se presente, de acuerdo a la conciliación que se efectué.</w:t>
      </w:r>
    </w:p>
    <w:p w:rsid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both"/>
        <w:rPr>
          <w:rFonts w:ascii="Arial" w:hAnsi="Arial" w:cs="Arial"/>
          <w:b/>
          <w:kern w:val="2"/>
          <w:lang w:eastAsia="en-US"/>
        </w:rPr>
      </w:pPr>
      <w:r w:rsidRPr="00B84150">
        <w:rPr>
          <w:rFonts w:ascii="Arial" w:hAnsi="Arial" w:cs="Arial"/>
          <w:b/>
          <w:kern w:val="2"/>
          <w:lang w:eastAsia="en-US"/>
        </w:rPr>
        <w:t>Nota 16. Notas al Estado de Flujo de Efectivo</w:t>
      </w:r>
    </w:p>
    <w:p w:rsidR="00B84150" w:rsidRDefault="00B84150" w:rsidP="00B84150">
      <w:pPr>
        <w:spacing w:after="240"/>
        <w:contextualSpacing/>
        <w:jc w:val="both"/>
        <w:rPr>
          <w:rFonts w:ascii="Arial" w:hAnsi="Arial" w:cs="Arial"/>
          <w:kern w:val="2"/>
          <w:lang w:eastAsia="en-US"/>
        </w:rPr>
      </w:pPr>
      <w:r w:rsidRPr="00B84150">
        <w:rPr>
          <w:rFonts w:ascii="Arial" w:hAnsi="Arial" w:cs="Arial"/>
          <w:kern w:val="2"/>
          <w:lang w:eastAsia="en-US"/>
        </w:rPr>
        <w:t>El análisis de los saldos inicial y final que figuran en la última parte del Estado de Flujo de Efectivo en la cuenta de efectivo y equivalentes al efectivo se integra de la siguiente forma:</w:t>
      </w:r>
    </w:p>
    <w:p w:rsidR="00B84150" w:rsidRPr="00B84150" w:rsidRDefault="00B84150" w:rsidP="00B84150">
      <w:pPr>
        <w:spacing w:after="240"/>
        <w:contextualSpacing/>
        <w:jc w:val="both"/>
        <w:rPr>
          <w:rFonts w:ascii="Arial" w:hAnsi="Arial" w:cs="Arial"/>
          <w:kern w:val="2"/>
          <w:lang w:eastAsia="en-US"/>
        </w:rPr>
      </w:pPr>
    </w:p>
    <w:p w:rsidR="00B84150" w:rsidRPr="00B84150" w:rsidRDefault="00B84150" w:rsidP="00B84150">
      <w:pPr>
        <w:spacing w:after="240"/>
        <w:contextualSpacing/>
        <w:jc w:val="center"/>
        <w:rPr>
          <w:rFonts w:ascii="Arial" w:hAnsi="Arial" w:cs="Arial"/>
          <w:b/>
          <w:kern w:val="2"/>
          <w:lang w:eastAsia="en-US"/>
        </w:rPr>
      </w:pPr>
      <w:r w:rsidRPr="00B84150">
        <w:rPr>
          <w:rFonts w:ascii="Arial" w:hAnsi="Arial" w:cs="Arial"/>
          <w:b/>
          <w:kern w:val="2"/>
          <w:lang w:eastAsia="en-US"/>
        </w:rPr>
        <w:t>(Pesos)</w:t>
      </w:r>
    </w:p>
    <w:tbl>
      <w:tblPr>
        <w:tblW w:w="6080" w:type="dxa"/>
        <w:jc w:val="center"/>
        <w:tblInd w:w="55" w:type="dxa"/>
        <w:tblCellMar>
          <w:left w:w="70" w:type="dxa"/>
          <w:right w:w="70" w:type="dxa"/>
        </w:tblCellMar>
        <w:tblLook w:val="04A0"/>
      </w:tblPr>
      <w:tblGrid>
        <w:gridCol w:w="2360"/>
        <w:gridCol w:w="1860"/>
        <w:gridCol w:w="1860"/>
      </w:tblGrid>
      <w:tr w:rsidR="00B84150" w:rsidRPr="00B84150" w:rsidTr="00487E51">
        <w:trPr>
          <w:trHeight w:val="315"/>
          <w:jc w:val="center"/>
        </w:trPr>
        <w:tc>
          <w:tcPr>
            <w:tcW w:w="23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Concepto</w:t>
            </w:r>
          </w:p>
        </w:tc>
        <w:tc>
          <w:tcPr>
            <w:tcW w:w="1860" w:type="dxa"/>
            <w:tcBorders>
              <w:top w:val="single" w:sz="8" w:space="0" w:color="auto"/>
              <w:left w:val="nil"/>
              <w:bottom w:val="single" w:sz="8" w:space="0" w:color="auto"/>
              <w:right w:val="single" w:sz="8" w:space="0" w:color="auto"/>
            </w:tcBorders>
            <w:shd w:val="clear" w:color="000000" w:fill="BFBFBF"/>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2016</w:t>
            </w:r>
          </w:p>
        </w:tc>
        <w:tc>
          <w:tcPr>
            <w:tcW w:w="1860" w:type="dxa"/>
            <w:tcBorders>
              <w:top w:val="single" w:sz="8" w:space="0" w:color="auto"/>
              <w:left w:val="nil"/>
              <w:bottom w:val="single" w:sz="8" w:space="0" w:color="auto"/>
              <w:right w:val="single" w:sz="8" w:space="0" w:color="auto"/>
            </w:tcBorders>
            <w:shd w:val="clear" w:color="000000" w:fill="BFBFBF"/>
            <w:noWrap/>
            <w:vAlign w:val="center"/>
            <w:hideMark/>
          </w:tcPr>
          <w:p w:rsidR="00B84150" w:rsidRPr="00B84150" w:rsidRDefault="00B84150" w:rsidP="00B84150">
            <w:pPr>
              <w:spacing w:after="240"/>
              <w:contextualSpacing/>
              <w:jc w:val="center"/>
              <w:rPr>
                <w:rFonts w:asciiTheme="minorHAnsi" w:hAnsiTheme="minorHAnsi" w:cs="Arial"/>
                <w:b/>
                <w:kern w:val="2"/>
                <w:sz w:val="20"/>
                <w:szCs w:val="20"/>
                <w:lang w:eastAsia="en-US"/>
              </w:rPr>
            </w:pPr>
            <w:r w:rsidRPr="00B84150">
              <w:rPr>
                <w:rFonts w:asciiTheme="minorHAnsi" w:hAnsiTheme="minorHAnsi" w:cs="Arial"/>
                <w:b/>
                <w:kern w:val="2"/>
                <w:sz w:val="20"/>
                <w:szCs w:val="20"/>
                <w:lang w:eastAsia="en-US"/>
              </w:rPr>
              <w:t>2015</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Ejecutivo</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3,848,308,740</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5,850,921,826</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Legislativo</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7,175,886</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4,536,666</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Poder Judicial</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19,071,030</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13,989,060</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both"/>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Órganos Autónomos</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172,458,999</w:t>
            </w:r>
          </w:p>
        </w:tc>
        <w:tc>
          <w:tcPr>
            <w:tcW w:w="1860" w:type="dxa"/>
            <w:tcBorders>
              <w:top w:val="nil"/>
              <w:left w:val="nil"/>
              <w:bottom w:val="single" w:sz="8" w:space="0" w:color="auto"/>
              <w:right w:val="single" w:sz="8" w:space="0" w:color="auto"/>
            </w:tcBorders>
            <w:shd w:val="clear" w:color="000000" w:fill="FFFFFF"/>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64,618,818</w:t>
            </w:r>
          </w:p>
        </w:tc>
      </w:tr>
      <w:tr w:rsidR="00B84150" w:rsidRPr="00B84150" w:rsidTr="00487E51">
        <w:trPr>
          <w:trHeight w:val="315"/>
          <w:jc w:val="center"/>
        </w:trPr>
        <w:tc>
          <w:tcPr>
            <w:tcW w:w="2360" w:type="dxa"/>
            <w:tcBorders>
              <w:top w:val="nil"/>
              <w:left w:val="single" w:sz="8" w:space="0" w:color="auto"/>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Suma</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4,047,014,655</w:t>
            </w:r>
          </w:p>
        </w:tc>
        <w:tc>
          <w:tcPr>
            <w:tcW w:w="1860" w:type="dxa"/>
            <w:tcBorders>
              <w:top w:val="nil"/>
              <w:left w:val="nil"/>
              <w:bottom w:val="single" w:sz="8" w:space="0" w:color="auto"/>
              <w:right w:val="single" w:sz="8" w:space="0" w:color="auto"/>
            </w:tcBorders>
            <w:shd w:val="clear" w:color="auto" w:fill="auto"/>
            <w:vAlign w:val="center"/>
            <w:hideMark/>
          </w:tcPr>
          <w:p w:rsidR="00B84150" w:rsidRPr="00B84150" w:rsidRDefault="00B84150" w:rsidP="00B84150">
            <w:pPr>
              <w:spacing w:after="240"/>
              <w:contextualSpacing/>
              <w:jc w:val="right"/>
              <w:rPr>
                <w:rFonts w:asciiTheme="minorHAnsi" w:hAnsiTheme="minorHAnsi" w:cs="Arial"/>
                <w:kern w:val="2"/>
                <w:sz w:val="20"/>
                <w:szCs w:val="20"/>
                <w:lang w:eastAsia="en-US"/>
              </w:rPr>
            </w:pPr>
            <w:r w:rsidRPr="00B84150">
              <w:rPr>
                <w:rFonts w:asciiTheme="minorHAnsi" w:hAnsiTheme="minorHAnsi" w:cs="Arial"/>
                <w:kern w:val="2"/>
                <w:sz w:val="20"/>
                <w:szCs w:val="20"/>
                <w:lang w:eastAsia="en-US"/>
              </w:rPr>
              <w:t>5,934,066,370</w:t>
            </w:r>
          </w:p>
        </w:tc>
      </w:tr>
    </w:tbl>
    <w:p w:rsidR="00B84150" w:rsidRPr="00B84150" w:rsidRDefault="00B84150" w:rsidP="00B84150">
      <w:pPr>
        <w:spacing w:after="240"/>
        <w:contextualSpacing/>
        <w:jc w:val="both"/>
        <w:rPr>
          <w:rFonts w:ascii="Arial" w:hAnsi="Arial" w:cs="Arial"/>
          <w:kern w:val="2"/>
          <w:lang w:eastAsia="en-US"/>
        </w:rPr>
      </w:pPr>
    </w:p>
    <w:p w:rsidR="00B84150" w:rsidRDefault="00B84150" w:rsidP="00B84150">
      <w:pPr>
        <w:spacing w:after="240"/>
        <w:contextualSpacing/>
        <w:jc w:val="both"/>
        <w:rPr>
          <w:rFonts w:ascii="Arial" w:hAnsi="Arial" w:cs="Arial"/>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r>
        <w:rPr>
          <w:rFonts w:ascii="Arial" w:hAnsi="Arial" w:cs="Arial"/>
          <w:b/>
          <w:kern w:val="2"/>
          <w:lang w:eastAsia="en-US"/>
        </w:rPr>
        <w:br w:type="page"/>
      </w:r>
    </w:p>
    <w:p w:rsidR="000F7907" w:rsidRDefault="000F7907">
      <w:pPr>
        <w:rPr>
          <w:rFonts w:ascii="Arial" w:hAnsi="Arial" w:cs="Arial"/>
          <w:b/>
          <w:kern w:val="2"/>
          <w:lang w:eastAsia="en-US"/>
        </w:rPr>
      </w:pPr>
    </w:p>
    <w:p w:rsidR="000F7907" w:rsidRPr="000F7907" w:rsidRDefault="000F7907">
      <w:pPr>
        <w:rPr>
          <w:rFonts w:ascii="Arial" w:hAnsi="Arial" w:cs="Arial"/>
          <w:b/>
          <w:kern w:val="2"/>
          <w:lang w:eastAsia="en-US"/>
        </w:rPr>
      </w:pPr>
      <w:r w:rsidRPr="000F7907">
        <w:rPr>
          <w:rFonts w:ascii="Arial" w:hAnsi="Arial" w:cs="Arial"/>
          <w:b/>
          <w:bCs/>
          <w:color w:val="000000"/>
          <w:lang w:val="es-MX" w:eastAsia="es-MX"/>
        </w:rPr>
        <w:t>CONCILIACIÓN ENTRE LOS INGRESOS PRESUPUESTARIOS Y  CONTABLES</w:t>
      </w:r>
      <w:r w:rsidRPr="000F7907">
        <w:rPr>
          <w:rFonts w:ascii="Arial" w:hAnsi="Arial" w:cs="Arial"/>
          <w:b/>
          <w:bCs/>
          <w:color w:val="000000"/>
          <w:lang w:val="es-MX" w:eastAsia="es-MX"/>
        </w:rPr>
        <w:br/>
      </w: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tbl>
      <w:tblPr>
        <w:tblW w:w="8317" w:type="dxa"/>
        <w:jc w:val="center"/>
        <w:tblInd w:w="53" w:type="dxa"/>
        <w:tblCellMar>
          <w:left w:w="70" w:type="dxa"/>
          <w:right w:w="70" w:type="dxa"/>
        </w:tblCellMar>
        <w:tblLook w:val="04A0"/>
      </w:tblPr>
      <w:tblGrid>
        <w:gridCol w:w="240"/>
        <w:gridCol w:w="560"/>
        <w:gridCol w:w="4380"/>
        <w:gridCol w:w="960"/>
        <w:gridCol w:w="2037"/>
        <w:gridCol w:w="177"/>
      </w:tblGrid>
      <w:tr w:rsidR="000F7907" w:rsidRPr="000F7907" w:rsidTr="006919A3">
        <w:trPr>
          <w:trHeight w:val="225"/>
          <w:jc w:val="center"/>
        </w:trPr>
        <w:tc>
          <w:tcPr>
            <w:tcW w:w="240" w:type="dxa"/>
            <w:tcBorders>
              <w:top w:val="single" w:sz="4" w:space="0" w:color="auto"/>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single" w:sz="4" w:space="0" w:color="auto"/>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380" w:type="dxa"/>
            <w:tcBorders>
              <w:top w:val="single" w:sz="4" w:space="0" w:color="auto"/>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960" w:type="dxa"/>
            <w:tcBorders>
              <w:top w:val="single" w:sz="4" w:space="0" w:color="auto"/>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2037" w:type="dxa"/>
            <w:tcBorders>
              <w:top w:val="single" w:sz="4" w:space="0" w:color="auto"/>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40" w:type="dxa"/>
            <w:tcBorders>
              <w:top w:val="single" w:sz="4" w:space="0" w:color="auto"/>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1170"/>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7937" w:type="dxa"/>
            <w:gridSpan w:val="4"/>
            <w:tcBorders>
              <w:top w:val="nil"/>
              <w:left w:val="nil"/>
              <w:bottom w:val="nil"/>
              <w:right w:val="nil"/>
            </w:tcBorders>
            <w:shd w:val="clear" w:color="000000" w:fill="C0C0C0"/>
            <w:vAlign w:val="center"/>
            <w:hideMark/>
          </w:tcPr>
          <w:p w:rsidR="000F7907" w:rsidRPr="000F7907" w:rsidRDefault="000F7907" w:rsidP="000F7907">
            <w:pPr>
              <w:jc w:val="center"/>
              <w:rPr>
                <w:rFonts w:ascii="Calibri" w:hAnsi="Calibri"/>
                <w:b/>
                <w:bCs/>
                <w:color w:val="000000"/>
                <w:sz w:val="16"/>
                <w:szCs w:val="16"/>
                <w:lang w:val="es-MX" w:eastAsia="es-MX"/>
              </w:rPr>
            </w:pPr>
            <w:r w:rsidRPr="000F7907">
              <w:rPr>
                <w:rFonts w:ascii="Calibri" w:hAnsi="Calibri"/>
                <w:b/>
                <w:bCs/>
                <w:color w:val="000000"/>
                <w:sz w:val="16"/>
                <w:szCs w:val="16"/>
                <w:lang w:val="es-MX" w:eastAsia="es-MX"/>
              </w:rPr>
              <w:t>GOBIERNO DEL ESTADO DE OAXACA</w:t>
            </w:r>
            <w:r w:rsidRPr="000F7907">
              <w:rPr>
                <w:rFonts w:ascii="Calibri" w:hAnsi="Calibri"/>
                <w:b/>
                <w:bCs/>
                <w:color w:val="000000"/>
                <w:sz w:val="16"/>
                <w:szCs w:val="16"/>
                <w:lang w:val="es-MX" w:eastAsia="es-MX"/>
              </w:rPr>
              <w:br/>
              <w:t>Conciliación entre los Ingresos Presupuestarios y  Contables</w:t>
            </w:r>
            <w:r w:rsidRPr="000F7907">
              <w:rPr>
                <w:rFonts w:ascii="Calibri" w:hAnsi="Calibri"/>
                <w:b/>
                <w:bCs/>
                <w:color w:val="000000"/>
                <w:sz w:val="16"/>
                <w:szCs w:val="16"/>
                <w:lang w:val="es-MX" w:eastAsia="es-MX"/>
              </w:rPr>
              <w:br/>
              <w:t>Correspondiente del 01 Enero del 2016 al 31 de Marzo del 2016</w:t>
            </w: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940" w:type="dxa"/>
            <w:gridSpan w:val="2"/>
            <w:tcBorders>
              <w:top w:val="nil"/>
              <w:left w:val="nil"/>
              <w:bottom w:val="nil"/>
              <w:right w:val="nil"/>
            </w:tcBorders>
            <w:shd w:val="clear" w:color="auto" w:fill="auto"/>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1. Ingresos Presupuestarios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b/>
                <w:bCs/>
                <w:color w:val="000000"/>
                <w:sz w:val="16"/>
                <w:szCs w:val="16"/>
                <w:lang w:val="es-MX" w:eastAsia="es-MX"/>
              </w:rPr>
            </w:pPr>
          </w:p>
        </w:tc>
        <w:tc>
          <w:tcPr>
            <w:tcW w:w="2037"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b/>
                <w:bCs/>
                <w:color w:val="000000"/>
                <w:sz w:val="16"/>
                <w:szCs w:val="16"/>
                <w:lang w:val="es-MX" w:eastAsia="es-MX"/>
              </w:rPr>
            </w:pPr>
            <w:r w:rsidRPr="000F7907">
              <w:rPr>
                <w:rFonts w:ascii="Calibri" w:hAnsi="Calibri"/>
                <w:b/>
                <w:bCs/>
                <w:color w:val="000000"/>
                <w:sz w:val="16"/>
                <w:szCs w:val="16"/>
                <w:lang w:val="es-MX" w:eastAsia="es-MX"/>
              </w:rPr>
              <w:t xml:space="preserve">                    14,317,900,507 </w:t>
            </w: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940" w:type="dxa"/>
            <w:gridSpan w:val="2"/>
            <w:tcBorders>
              <w:top w:val="nil"/>
              <w:left w:val="nil"/>
              <w:bottom w:val="nil"/>
              <w:right w:val="nil"/>
            </w:tcBorders>
            <w:shd w:val="clear" w:color="auto" w:fill="auto"/>
            <w:noWrap/>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2. Más ingresos contables no presupuestarios</w:t>
            </w:r>
          </w:p>
        </w:tc>
        <w:tc>
          <w:tcPr>
            <w:tcW w:w="960" w:type="dxa"/>
            <w:tcBorders>
              <w:top w:val="nil"/>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p>
        </w:tc>
        <w:tc>
          <w:tcPr>
            <w:tcW w:w="2037" w:type="dxa"/>
            <w:tcBorders>
              <w:top w:val="nil"/>
              <w:left w:val="nil"/>
              <w:bottom w:val="nil"/>
              <w:right w:val="nil"/>
            </w:tcBorders>
            <w:shd w:val="clear" w:color="auto" w:fill="auto"/>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Incremento por variación de inventarios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450"/>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Disminución   del   exceso   de   estimaciones   por pérdida o deterioro u obsolescencia</w:t>
            </w:r>
          </w:p>
        </w:tc>
        <w:tc>
          <w:tcPr>
            <w:tcW w:w="960" w:type="dxa"/>
            <w:tcBorders>
              <w:top w:val="nil"/>
              <w:left w:val="nil"/>
              <w:bottom w:val="nil"/>
              <w:right w:val="nil"/>
            </w:tcBorders>
            <w:shd w:val="clear" w:color="auto" w:fill="auto"/>
            <w:vAlign w:val="center"/>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Disminución del exceso de provisiones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Otros ingresos y beneficios varios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Otros ingresos contables no presupuestarios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940" w:type="dxa"/>
            <w:gridSpan w:val="2"/>
            <w:tcBorders>
              <w:top w:val="nil"/>
              <w:left w:val="nil"/>
              <w:bottom w:val="nil"/>
              <w:right w:val="nil"/>
            </w:tcBorders>
            <w:shd w:val="clear" w:color="auto" w:fill="auto"/>
            <w:noWrap/>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3. Menos ingresos presupuestarios no contables</w:t>
            </w:r>
          </w:p>
        </w:tc>
        <w:tc>
          <w:tcPr>
            <w:tcW w:w="960" w:type="dxa"/>
            <w:tcBorders>
              <w:top w:val="nil"/>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p>
        </w:tc>
        <w:tc>
          <w:tcPr>
            <w:tcW w:w="2037" w:type="dxa"/>
            <w:tcBorders>
              <w:top w:val="nil"/>
              <w:left w:val="nil"/>
              <w:bottom w:val="nil"/>
              <w:right w:val="nil"/>
            </w:tcBorders>
            <w:shd w:val="clear" w:color="auto" w:fill="auto"/>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Productos de capital</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vMerge w:val="restart"/>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Aprovechamientos capital</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vMerge/>
            <w:tcBorders>
              <w:top w:val="nil"/>
              <w:left w:val="nil"/>
              <w:bottom w:val="nil"/>
              <w:right w:val="nil"/>
            </w:tcBorders>
            <w:vAlign w:val="center"/>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Ingresos derivados de financiamientos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vMerge/>
            <w:tcBorders>
              <w:top w:val="nil"/>
              <w:left w:val="nil"/>
              <w:bottom w:val="nil"/>
              <w:right w:val="nil"/>
            </w:tcBorders>
            <w:vAlign w:val="center"/>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Otros Ingresos presupuestarios no contables</w:t>
            </w: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0 </w:t>
            </w:r>
          </w:p>
        </w:tc>
        <w:tc>
          <w:tcPr>
            <w:tcW w:w="2037" w:type="dxa"/>
            <w:vMerge/>
            <w:tcBorders>
              <w:top w:val="nil"/>
              <w:left w:val="nil"/>
              <w:bottom w:val="nil"/>
              <w:right w:val="nil"/>
            </w:tcBorders>
            <w:vAlign w:val="center"/>
            <w:hideMark/>
          </w:tcPr>
          <w:p w:rsidR="000F7907" w:rsidRPr="000F7907" w:rsidRDefault="000F7907" w:rsidP="000F7907">
            <w:pPr>
              <w:rPr>
                <w:rFonts w:ascii="Calibri" w:hAnsi="Calibri"/>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960"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b/>
                <w:bCs/>
                <w:color w:val="000000"/>
                <w:sz w:val="16"/>
                <w:szCs w:val="16"/>
                <w:lang w:val="es-MX" w:eastAsia="es-MX"/>
              </w:rPr>
            </w:pPr>
          </w:p>
        </w:tc>
        <w:tc>
          <w:tcPr>
            <w:tcW w:w="2037" w:type="dxa"/>
            <w:tcBorders>
              <w:top w:val="nil"/>
              <w:left w:val="nil"/>
              <w:bottom w:val="nil"/>
              <w:right w:val="nil"/>
            </w:tcBorders>
            <w:shd w:val="clear" w:color="auto" w:fill="auto"/>
            <w:vAlign w:val="bottom"/>
            <w:hideMark/>
          </w:tcPr>
          <w:p w:rsidR="000F7907" w:rsidRPr="000F7907" w:rsidRDefault="000F7907" w:rsidP="000F7907">
            <w:pPr>
              <w:jc w:val="right"/>
              <w:rPr>
                <w:rFonts w:ascii="Calibri" w:hAnsi="Calibri"/>
                <w:b/>
                <w:bCs/>
                <w:color w:val="000000"/>
                <w:sz w:val="16"/>
                <w:szCs w:val="16"/>
                <w:lang w:val="es-MX" w:eastAsia="es-MX"/>
              </w:rPr>
            </w:pP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40"/>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940" w:type="dxa"/>
            <w:gridSpan w:val="2"/>
            <w:tcBorders>
              <w:top w:val="nil"/>
              <w:left w:val="nil"/>
              <w:bottom w:val="nil"/>
              <w:right w:val="nil"/>
            </w:tcBorders>
            <w:shd w:val="clear" w:color="auto" w:fill="auto"/>
            <w:noWrap/>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4. Ingresos Contables</w:t>
            </w:r>
          </w:p>
        </w:tc>
        <w:tc>
          <w:tcPr>
            <w:tcW w:w="960" w:type="dxa"/>
            <w:tcBorders>
              <w:top w:val="nil"/>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p>
        </w:tc>
        <w:tc>
          <w:tcPr>
            <w:tcW w:w="2037" w:type="dxa"/>
            <w:tcBorders>
              <w:top w:val="single" w:sz="4" w:space="0" w:color="auto"/>
              <w:left w:val="nil"/>
              <w:bottom w:val="double" w:sz="6" w:space="0" w:color="auto"/>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14,317,900,507 </w:t>
            </w: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40"/>
          <w:jc w:val="center"/>
        </w:trPr>
        <w:tc>
          <w:tcPr>
            <w:tcW w:w="24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38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960" w:type="dxa"/>
            <w:tcBorders>
              <w:top w:val="nil"/>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p>
        </w:tc>
        <w:tc>
          <w:tcPr>
            <w:tcW w:w="2037" w:type="dxa"/>
            <w:tcBorders>
              <w:top w:val="nil"/>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   </w:t>
            </w:r>
          </w:p>
        </w:tc>
        <w:tc>
          <w:tcPr>
            <w:tcW w:w="140"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40" w:type="dxa"/>
            <w:tcBorders>
              <w:top w:val="nil"/>
              <w:left w:val="single" w:sz="4" w:space="0" w:color="auto"/>
              <w:bottom w:val="single" w:sz="4" w:space="0" w:color="auto"/>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60" w:type="dxa"/>
            <w:tcBorders>
              <w:top w:val="nil"/>
              <w:left w:val="nil"/>
              <w:bottom w:val="single" w:sz="4" w:space="0" w:color="auto"/>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380" w:type="dxa"/>
            <w:tcBorders>
              <w:top w:val="nil"/>
              <w:left w:val="nil"/>
              <w:bottom w:val="single" w:sz="4" w:space="0" w:color="auto"/>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960" w:type="dxa"/>
            <w:tcBorders>
              <w:top w:val="nil"/>
              <w:left w:val="nil"/>
              <w:bottom w:val="single" w:sz="4" w:space="0" w:color="auto"/>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2037" w:type="dxa"/>
            <w:tcBorders>
              <w:top w:val="nil"/>
              <w:left w:val="nil"/>
              <w:bottom w:val="single" w:sz="4" w:space="0" w:color="auto"/>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40" w:type="dxa"/>
            <w:tcBorders>
              <w:top w:val="nil"/>
              <w:left w:val="nil"/>
              <w:bottom w:val="single" w:sz="4" w:space="0" w:color="auto"/>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bl>
    <w:p w:rsidR="000F7907" w:rsidRDefault="000F7907">
      <w:pPr>
        <w:rPr>
          <w:rFonts w:ascii="Arial" w:hAnsi="Arial" w:cs="Arial"/>
          <w:b/>
          <w:kern w:val="2"/>
          <w:lang w:eastAsia="en-US"/>
        </w:rPr>
      </w:pPr>
    </w:p>
    <w:p w:rsidR="000F7907" w:rsidRDefault="000F7907">
      <w:pPr>
        <w:rPr>
          <w:rFonts w:ascii="Arial" w:hAnsi="Arial" w:cs="Arial"/>
          <w:b/>
          <w:kern w:val="2"/>
          <w:lang w:eastAsia="en-US"/>
        </w:rPr>
      </w:pPr>
      <w:r>
        <w:rPr>
          <w:rFonts w:ascii="Arial" w:hAnsi="Arial" w:cs="Arial"/>
          <w:b/>
          <w:kern w:val="2"/>
          <w:lang w:eastAsia="en-US"/>
        </w:rPr>
        <w:br w:type="page"/>
      </w:r>
    </w:p>
    <w:p w:rsidR="000F7907" w:rsidRDefault="000F7907">
      <w:pPr>
        <w:rPr>
          <w:rFonts w:ascii="Arial" w:hAnsi="Arial" w:cs="Arial"/>
          <w:b/>
          <w:kern w:val="2"/>
          <w:lang w:eastAsia="en-US"/>
        </w:rPr>
      </w:pPr>
    </w:p>
    <w:p w:rsidR="000F7907" w:rsidRPr="006919A3" w:rsidRDefault="006919A3">
      <w:pPr>
        <w:rPr>
          <w:rFonts w:ascii="Arial" w:hAnsi="Arial" w:cs="Arial"/>
          <w:b/>
          <w:bCs/>
          <w:color w:val="000000"/>
          <w:lang w:val="es-MX" w:eastAsia="es-MX"/>
        </w:rPr>
      </w:pPr>
      <w:r w:rsidRPr="000F7907">
        <w:rPr>
          <w:rFonts w:ascii="Arial" w:hAnsi="Arial" w:cs="Arial"/>
          <w:b/>
          <w:bCs/>
          <w:color w:val="000000"/>
          <w:lang w:val="es-MX" w:eastAsia="es-MX"/>
        </w:rPr>
        <w:t>Conciliación entre los Egresos Presupuestarios y los Gastos Contables</w:t>
      </w: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p w:rsidR="000F7907" w:rsidRDefault="000F7907">
      <w:pPr>
        <w:rPr>
          <w:rFonts w:ascii="Arial" w:hAnsi="Arial" w:cs="Arial"/>
          <w:b/>
          <w:kern w:val="2"/>
          <w:lang w:eastAsia="en-US"/>
        </w:rPr>
      </w:pPr>
    </w:p>
    <w:tbl>
      <w:tblPr>
        <w:tblW w:w="8399" w:type="dxa"/>
        <w:jc w:val="center"/>
        <w:tblInd w:w="53" w:type="dxa"/>
        <w:tblCellMar>
          <w:left w:w="70" w:type="dxa"/>
          <w:right w:w="70" w:type="dxa"/>
        </w:tblCellMar>
        <w:tblLook w:val="04A0"/>
      </w:tblPr>
      <w:tblGrid>
        <w:gridCol w:w="220"/>
        <w:gridCol w:w="400"/>
        <w:gridCol w:w="4642"/>
        <w:gridCol w:w="1480"/>
        <w:gridCol w:w="1480"/>
        <w:gridCol w:w="177"/>
      </w:tblGrid>
      <w:tr w:rsidR="000F7907" w:rsidRPr="000F7907" w:rsidTr="006919A3">
        <w:trPr>
          <w:trHeight w:val="225"/>
          <w:jc w:val="center"/>
        </w:trPr>
        <w:tc>
          <w:tcPr>
            <w:tcW w:w="220" w:type="dxa"/>
            <w:tcBorders>
              <w:top w:val="single" w:sz="4" w:space="0" w:color="auto"/>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single" w:sz="4" w:space="0" w:color="auto"/>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642" w:type="dxa"/>
            <w:tcBorders>
              <w:top w:val="single" w:sz="4" w:space="0" w:color="auto"/>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480" w:type="dxa"/>
            <w:tcBorders>
              <w:top w:val="single" w:sz="4" w:space="0" w:color="auto"/>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480" w:type="dxa"/>
            <w:tcBorders>
              <w:top w:val="single" w:sz="4" w:space="0" w:color="auto"/>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77" w:type="dxa"/>
            <w:tcBorders>
              <w:top w:val="single" w:sz="4" w:space="0" w:color="auto"/>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109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8002" w:type="dxa"/>
            <w:gridSpan w:val="4"/>
            <w:tcBorders>
              <w:top w:val="nil"/>
              <w:left w:val="nil"/>
              <w:bottom w:val="nil"/>
              <w:right w:val="nil"/>
            </w:tcBorders>
            <w:shd w:val="clear" w:color="000000" w:fill="C0C0C0"/>
            <w:hideMark/>
          </w:tcPr>
          <w:p w:rsidR="000F7907" w:rsidRPr="000F7907" w:rsidRDefault="000F7907" w:rsidP="000F7907">
            <w:pPr>
              <w:jc w:val="center"/>
              <w:rPr>
                <w:rFonts w:ascii="Calibri" w:hAnsi="Calibri"/>
                <w:b/>
                <w:bCs/>
                <w:color w:val="000000"/>
                <w:sz w:val="16"/>
                <w:szCs w:val="16"/>
                <w:lang w:val="es-MX" w:eastAsia="es-MX"/>
              </w:rPr>
            </w:pPr>
            <w:r w:rsidRPr="000F7907">
              <w:rPr>
                <w:rFonts w:ascii="Calibri" w:hAnsi="Calibri"/>
                <w:b/>
                <w:bCs/>
                <w:color w:val="000000"/>
                <w:sz w:val="16"/>
                <w:szCs w:val="16"/>
                <w:lang w:val="es-MX" w:eastAsia="es-MX"/>
              </w:rPr>
              <w:t>GOBIERNO DEL ESTADO DE OAXACA</w:t>
            </w:r>
            <w:r w:rsidRPr="000F7907">
              <w:rPr>
                <w:rFonts w:ascii="Calibri" w:hAnsi="Calibri"/>
                <w:b/>
                <w:bCs/>
                <w:color w:val="000000"/>
                <w:sz w:val="16"/>
                <w:szCs w:val="16"/>
                <w:lang w:val="es-MX" w:eastAsia="es-MX"/>
              </w:rPr>
              <w:br/>
              <w:t>Conciliación entre los Egresos Presupuestarios y los Gastos Contables</w:t>
            </w:r>
            <w:r w:rsidRPr="000F7907">
              <w:rPr>
                <w:rFonts w:ascii="Calibri" w:hAnsi="Calibri"/>
                <w:b/>
                <w:bCs/>
                <w:color w:val="000000"/>
                <w:sz w:val="16"/>
                <w:szCs w:val="16"/>
                <w:lang w:val="es-MX" w:eastAsia="es-MX"/>
              </w:rPr>
              <w:br/>
              <w:t>Correspondiente del 01 Enero del 201 al 31 de Marzo del 2016</w:t>
            </w: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042" w:type="dxa"/>
            <w:gridSpan w:val="2"/>
            <w:tcBorders>
              <w:top w:val="nil"/>
              <w:left w:val="nil"/>
              <w:bottom w:val="nil"/>
              <w:right w:val="nil"/>
            </w:tcBorders>
            <w:shd w:val="clear" w:color="auto" w:fill="auto"/>
            <w:noWrap/>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1. Total de egresos (presupuestarios)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b/>
                <w:bCs/>
                <w:color w:val="000000"/>
                <w:sz w:val="16"/>
                <w:szCs w:val="16"/>
                <w:lang w:val="es-MX" w:eastAsia="es-MX"/>
              </w:rPr>
            </w:pPr>
            <w:r w:rsidRPr="000F7907">
              <w:rPr>
                <w:rFonts w:ascii="Calibri" w:hAnsi="Calibri"/>
                <w:b/>
                <w:bCs/>
                <w:color w:val="000000"/>
                <w:sz w:val="16"/>
                <w:szCs w:val="16"/>
                <w:lang w:val="es-MX" w:eastAsia="es-MX"/>
              </w:rPr>
              <w:t>13,090,857,627</w:t>
            </w: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042" w:type="dxa"/>
            <w:gridSpan w:val="2"/>
            <w:tcBorders>
              <w:top w:val="nil"/>
              <w:left w:val="nil"/>
              <w:bottom w:val="nil"/>
              <w:right w:val="nil"/>
            </w:tcBorders>
            <w:shd w:val="clear" w:color="auto" w:fill="auto"/>
            <w:noWrap/>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2. Menos egresos presupuestarios no contables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b/>
                <w:bCs/>
                <w:color w:val="000000"/>
                <w:sz w:val="16"/>
                <w:szCs w:val="16"/>
                <w:lang w:val="es-MX" w:eastAsia="es-MX"/>
              </w:rPr>
            </w:pPr>
            <w:r w:rsidRPr="000F7907">
              <w:rPr>
                <w:rFonts w:ascii="Calibri" w:hAnsi="Calibri"/>
                <w:b/>
                <w:bCs/>
                <w:color w:val="000000"/>
                <w:sz w:val="16"/>
                <w:szCs w:val="16"/>
                <w:lang w:val="es-MX" w:eastAsia="es-MX"/>
              </w:rPr>
              <w:t>1,611,655,679</w:t>
            </w: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Mobiliario y equipo de administración</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Mobiliario y equipo educacional y recreativo</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Equipo e instrumental médico y de laboratorio</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Vehículos y equipo de transporte</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Equipo de defensa y seguridad</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Maquinaria, otros equipos y herramientas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Activos biológicos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Bienes inmuebles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Activos intangibles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Obra pública en bienes propios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Acciones y participaciones de capital</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Compra de títulos y valores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Inversiones en fideicomisos, mandatos y otros análogos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Provisiones   para   contingencias   y   otras   erogaciones especiales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Amortización de la deuda publica</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375,198,464 </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Adeudos de ejercicios fiscales anteriores (ADEFAS)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0</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Otros Egresos Presupuestales No Contables (inversion publica)</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1,236,457,215 </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042" w:type="dxa"/>
            <w:gridSpan w:val="2"/>
            <w:tcBorders>
              <w:top w:val="nil"/>
              <w:left w:val="nil"/>
              <w:bottom w:val="nil"/>
              <w:right w:val="nil"/>
            </w:tcBorders>
            <w:shd w:val="clear" w:color="auto" w:fill="auto"/>
            <w:noWrap/>
            <w:hideMark/>
          </w:tcPr>
          <w:p w:rsidR="000F7907" w:rsidRPr="000F7907" w:rsidRDefault="000F7907" w:rsidP="000F7907">
            <w:pPr>
              <w:rPr>
                <w:rFonts w:ascii="Calibri" w:hAnsi="Calibri"/>
                <w:b/>
                <w:bCs/>
                <w:color w:val="000000"/>
                <w:sz w:val="16"/>
                <w:szCs w:val="16"/>
                <w:lang w:val="es-MX" w:eastAsia="es-MX"/>
              </w:rPr>
            </w:pPr>
            <w:r w:rsidRPr="000F7907">
              <w:rPr>
                <w:rFonts w:ascii="Calibri" w:hAnsi="Calibri"/>
                <w:b/>
                <w:bCs/>
                <w:color w:val="000000"/>
                <w:sz w:val="16"/>
                <w:szCs w:val="16"/>
                <w:lang w:val="es-MX" w:eastAsia="es-MX"/>
              </w:rPr>
              <w:t>3. Más gastos contables no presupuestales</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1,611,655,679 </w:t>
            </w: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Estimaciones, depreciaciones, deterioros, obsolescencia y amortizaciones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4,428,698 </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Provisiones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0</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Disminución de inventarios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0</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Aumento por insuficiencia de estimaciones por pérdida o deterioro u obsolescencia</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0</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Aumento por insuficiencia de provisiones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0</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Otros Gastos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0</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25"/>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p>
        </w:tc>
        <w:tc>
          <w:tcPr>
            <w:tcW w:w="4642" w:type="dxa"/>
            <w:tcBorders>
              <w:top w:val="nil"/>
              <w:left w:val="nil"/>
              <w:bottom w:val="nil"/>
              <w:right w:val="nil"/>
            </w:tcBorders>
            <w:shd w:val="clear" w:color="auto" w:fill="auto"/>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Otros Gastos Contables No Presupuestales</w:t>
            </w:r>
          </w:p>
        </w:tc>
        <w:tc>
          <w:tcPr>
            <w:tcW w:w="1480" w:type="dxa"/>
            <w:tcBorders>
              <w:top w:val="nil"/>
              <w:left w:val="nil"/>
              <w:bottom w:val="nil"/>
              <w:right w:val="nil"/>
            </w:tcBorders>
            <w:shd w:val="clear" w:color="auto" w:fill="auto"/>
            <w:noWrap/>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xml:space="preserve">           1,607,226,981 </w:t>
            </w:r>
          </w:p>
        </w:tc>
        <w:tc>
          <w:tcPr>
            <w:tcW w:w="1480" w:type="dxa"/>
            <w:tcBorders>
              <w:top w:val="nil"/>
              <w:left w:val="nil"/>
              <w:bottom w:val="nil"/>
              <w:right w:val="nil"/>
            </w:tcBorders>
            <w:shd w:val="clear" w:color="auto" w:fill="auto"/>
            <w:noWrap/>
            <w:hideMark/>
          </w:tcPr>
          <w:p w:rsidR="000F7907" w:rsidRPr="000F7907" w:rsidRDefault="000F7907" w:rsidP="000F7907">
            <w:pPr>
              <w:rPr>
                <w:rFonts w:ascii="Calibri" w:hAnsi="Calibri"/>
                <w:color w:val="000000"/>
                <w:sz w:val="16"/>
                <w:szCs w:val="16"/>
                <w:lang w:val="es-MX" w:eastAsia="es-MX"/>
              </w:rPr>
            </w:pP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40"/>
          <w:jc w:val="center"/>
        </w:trPr>
        <w:tc>
          <w:tcPr>
            <w:tcW w:w="220" w:type="dxa"/>
            <w:tcBorders>
              <w:top w:val="nil"/>
              <w:left w:val="single" w:sz="4" w:space="0" w:color="auto"/>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5042" w:type="dxa"/>
            <w:gridSpan w:val="2"/>
            <w:tcBorders>
              <w:top w:val="nil"/>
              <w:left w:val="nil"/>
              <w:bottom w:val="nil"/>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4. Total de Gastos Contable(4=1-2+3)</w:t>
            </w:r>
          </w:p>
        </w:tc>
        <w:tc>
          <w:tcPr>
            <w:tcW w:w="1480" w:type="dxa"/>
            <w:tcBorders>
              <w:top w:val="nil"/>
              <w:left w:val="nil"/>
              <w:bottom w:val="nil"/>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p>
        </w:tc>
        <w:tc>
          <w:tcPr>
            <w:tcW w:w="1480" w:type="dxa"/>
            <w:tcBorders>
              <w:top w:val="single" w:sz="4" w:space="0" w:color="auto"/>
              <w:left w:val="nil"/>
              <w:bottom w:val="double" w:sz="6" w:space="0" w:color="auto"/>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13,090,857,627</w:t>
            </w:r>
          </w:p>
        </w:tc>
        <w:tc>
          <w:tcPr>
            <w:tcW w:w="177" w:type="dxa"/>
            <w:tcBorders>
              <w:top w:val="nil"/>
              <w:left w:val="nil"/>
              <w:bottom w:val="nil"/>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r w:rsidR="000F7907" w:rsidRPr="000F7907" w:rsidTr="006919A3">
        <w:trPr>
          <w:trHeight w:val="240"/>
          <w:jc w:val="center"/>
        </w:trPr>
        <w:tc>
          <w:tcPr>
            <w:tcW w:w="220" w:type="dxa"/>
            <w:tcBorders>
              <w:top w:val="nil"/>
              <w:left w:val="single" w:sz="4" w:space="0" w:color="auto"/>
              <w:bottom w:val="single" w:sz="4" w:space="0" w:color="auto"/>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00" w:type="dxa"/>
            <w:tcBorders>
              <w:top w:val="nil"/>
              <w:left w:val="nil"/>
              <w:bottom w:val="single" w:sz="4" w:space="0" w:color="auto"/>
              <w:right w:val="nil"/>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4642" w:type="dxa"/>
            <w:tcBorders>
              <w:top w:val="nil"/>
              <w:left w:val="nil"/>
              <w:bottom w:val="single" w:sz="4" w:space="0" w:color="auto"/>
              <w:right w:val="nil"/>
            </w:tcBorders>
            <w:shd w:val="clear" w:color="auto" w:fill="auto"/>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480" w:type="dxa"/>
            <w:tcBorders>
              <w:top w:val="nil"/>
              <w:left w:val="nil"/>
              <w:bottom w:val="single" w:sz="4" w:space="0" w:color="auto"/>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480" w:type="dxa"/>
            <w:tcBorders>
              <w:top w:val="nil"/>
              <w:left w:val="nil"/>
              <w:bottom w:val="single" w:sz="4" w:space="0" w:color="auto"/>
              <w:right w:val="nil"/>
            </w:tcBorders>
            <w:shd w:val="clear" w:color="auto" w:fill="auto"/>
            <w:noWrap/>
            <w:vAlign w:val="bottom"/>
            <w:hideMark/>
          </w:tcPr>
          <w:p w:rsidR="000F7907" w:rsidRPr="000F7907" w:rsidRDefault="000F7907" w:rsidP="000F7907">
            <w:pPr>
              <w:jc w:val="right"/>
              <w:rPr>
                <w:rFonts w:ascii="Calibri" w:hAnsi="Calibri"/>
                <w:color w:val="000000"/>
                <w:sz w:val="16"/>
                <w:szCs w:val="16"/>
                <w:lang w:val="es-MX" w:eastAsia="es-MX"/>
              </w:rPr>
            </w:pPr>
            <w:r w:rsidRPr="000F7907">
              <w:rPr>
                <w:rFonts w:ascii="Calibri" w:hAnsi="Calibri"/>
                <w:color w:val="000000"/>
                <w:sz w:val="16"/>
                <w:szCs w:val="16"/>
                <w:lang w:val="es-MX" w:eastAsia="es-MX"/>
              </w:rPr>
              <w:t> </w:t>
            </w:r>
          </w:p>
        </w:tc>
        <w:tc>
          <w:tcPr>
            <w:tcW w:w="177" w:type="dxa"/>
            <w:tcBorders>
              <w:top w:val="nil"/>
              <w:left w:val="nil"/>
              <w:bottom w:val="single" w:sz="4" w:space="0" w:color="auto"/>
              <w:right w:val="single" w:sz="4" w:space="0" w:color="auto"/>
            </w:tcBorders>
            <w:shd w:val="clear" w:color="auto" w:fill="auto"/>
            <w:noWrap/>
            <w:vAlign w:val="bottom"/>
            <w:hideMark/>
          </w:tcPr>
          <w:p w:rsidR="000F7907" w:rsidRPr="000F7907" w:rsidRDefault="000F7907" w:rsidP="000F7907">
            <w:pPr>
              <w:rPr>
                <w:rFonts w:ascii="Calibri" w:hAnsi="Calibri"/>
                <w:color w:val="000000"/>
                <w:sz w:val="16"/>
                <w:szCs w:val="16"/>
                <w:lang w:val="es-MX" w:eastAsia="es-MX"/>
              </w:rPr>
            </w:pPr>
            <w:r w:rsidRPr="000F7907">
              <w:rPr>
                <w:rFonts w:ascii="Calibri" w:hAnsi="Calibri"/>
                <w:color w:val="000000"/>
                <w:sz w:val="16"/>
                <w:szCs w:val="16"/>
                <w:lang w:val="es-MX" w:eastAsia="es-MX"/>
              </w:rPr>
              <w:t> </w:t>
            </w:r>
          </w:p>
        </w:tc>
      </w:tr>
    </w:tbl>
    <w:p w:rsidR="00BA086C" w:rsidRDefault="00BA086C">
      <w:pPr>
        <w:rPr>
          <w:rFonts w:ascii="Arial" w:hAnsi="Arial" w:cs="Arial"/>
          <w:b/>
          <w:kern w:val="2"/>
          <w:lang w:eastAsia="en-US"/>
        </w:rPr>
      </w:pPr>
      <w:r>
        <w:rPr>
          <w:rFonts w:ascii="Arial" w:hAnsi="Arial" w:cs="Arial"/>
          <w:b/>
          <w:kern w:val="2"/>
          <w:lang w:eastAsia="en-US"/>
        </w:rPr>
        <w:br w:type="page"/>
      </w:r>
    </w:p>
    <w:p w:rsidR="003A64A5" w:rsidRDefault="003A64A5" w:rsidP="003A64A5">
      <w:pPr>
        <w:spacing w:after="240"/>
        <w:contextualSpacing/>
        <w:jc w:val="both"/>
        <w:rPr>
          <w:rFonts w:ascii="Arial" w:hAnsi="Arial" w:cs="Arial"/>
          <w:b/>
          <w:kern w:val="2"/>
          <w:lang w:eastAsia="en-US"/>
        </w:rPr>
      </w:pPr>
      <w:r>
        <w:rPr>
          <w:rFonts w:ascii="Arial" w:hAnsi="Arial" w:cs="Arial"/>
          <w:b/>
          <w:kern w:val="2"/>
          <w:lang w:eastAsia="en-US"/>
        </w:rPr>
        <w:t>12.- INFORMACION PROGRAMATICA</w:t>
      </w:r>
    </w:p>
    <w:p w:rsidR="00BA086C" w:rsidRDefault="00BA086C" w:rsidP="003A64A5">
      <w:pPr>
        <w:spacing w:after="240"/>
        <w:contextualSpacing/>
        <w:jc w:val="both"/>
        <w:rPr>
          <w:rFonts w:ascii="Arial" w:hAnsi="Arial" w:cs="Arial"/>
          <w:b/>
          <w:kern w:val="2"/>
          <w:lang w:eastAsia="en-US"/>
        </w:rPr>
      </w:pPr>
    </w:p>
    <w:p w:rsidR="00BA086C" w:rsidRDefault="00BA086C" w:rsidP="003A64A5">
      <w:pPr>
        <w:spacing w:after="240"/>
        <w:contextualSpacing/>
        <w:jc w:val="both"/>
        <w:rPr>
          <w:rFonts w:ascii="Arial" w:hAnsi="Arial" w:cs="Arial"/>
          <w:b/>
          <w:kern w:val="2"/>
          <w:lang w:eastAsia="en-US"/>
        </w:rPr>
      </w:pPr>
      <w:r>
        <w:rPr>
          <w:rFonts w:ascii="Arial" w:hAnsi="Arial" w:cs="Arial"/>
          <w:b/>
          <w:kern w:val="2"/>
          <w:lang w:eastAsia="en-US"/>
        </w:rPr>
        <w:t>12.1.- ESTADO ANALITICO DE INGRESOS PRESUPUESTARIOS</w:t>
      </w:r>
    </w:p>
    <w:p w:rsidR="00BA086C" w:rsidRDefault="00BA086C" w:rsidP="00BA086C">
      <w:pPr>
        <w:spacing w:after="240"/>
        <w:contextualSpacing/>
        <w:jc w:val="center"/>
        <w:rPr>
          <w:rFonts w:ascii="Arial" w:hAnsi="Arial" w:cs="Arial"/>
          <w:b/>
          <w:kern w:val="2"/>
          <w:lang w:eastAsia="en-US"/>
        </w:rPr>
      </w:pPr>
      <w:r w:rsidRPr="00BA086C">
        <w:rPr>
          <w:noProof/>
          <w:lang w:val="es-MX" w:eastAsia="es-MX"/>
        </w:rPr>
        <w:drawing>
          <wp:inline distT="0" distB="0" distL="0" distR="0">
            <wp:extent cx="5499248" cy="6785619"/>
            <wp:effectExtent l="19050" t="0" r="6202"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srcRect/>
                    <a:stretch>
                      <a:fillRect/>
                    </a:stretch>
                  </pic:blipFill>
                  <pic:spPr bwMode="auto">
                    <a:xfrm>
                      <a:off x="0" y="0"/>
                      <a:ext cx="5508579" cy="6797133"/>
                    </a:xfrm>
                    <a:prstGeom prst="rect">
                      <a:avLst/>
                    </a:prstGeom>
                    <a:noFill/>
                    <a:ln w="9525">
                      <a:noFill/>
                      <a:miter lim="800000"/>
                      <a:headEnd/>
                      <a:tailEnd/>
                    </a:ln>
                  </pic:spPr>
                </pic:pic>
              </a:graphicData>
            </a:graphic>
          </wp:inline>
        </w:drawing>
      </w:r>
    </w:p>
    <w:p w:rsidR="003A64A5" w:rsidRDefault="003A64A5" w:rsidP="003A64A5">
      <w:pPr>
        <w:spacing w:after="240"/>
        <w:contextualSpacing/>
        <w:jc w:val="both"/>
        <w:rPr>
          <w:rFonts w:ascii="Arial" w:eastAsia="MS Mincho" w:hAnsi="Arial" w:cs="Arial"/>
          <w:b/>
          <w:bCs/>
          <w:lang w:val="es-MX"/>
        </w:rPr>
      </w:pPr>
      <w:r>
        <w:rPr>
          <w:rFonts w:ascii="Arial" w:eastAsia="MS Mincho" w:hAnsi="Arial" w:cs="Arial"/>
          <w:b/>
          <w:bCs/>
          <w:lang w:val="es-MX"/>
        </w:rPr>
        <w:t xml:space="preserve">13.2.- </w:t>
      </w:r>
      <w:r w:rsidRPr="00CB1329">
        <w:rPr>
          <w:rFonts w:ascii="Arial" w:eastAsia="MS Mincho" w:hAnsi="Arial" w:cs="Arial"/>
          <w:b/>
          <w:bCs/>
          <w:lang w:val="es-MX"/>
        </w:rPr>
        <w:t xml:space="preserve"> INFORME AVANCE FISICO-FINANCIERO DE RECURSOS</w:t>
      </w:r>
      <w:r>
        <w:rPr>
          <w:rFonts w:ascii="Arial" w:eastAsia="MS Mincho" w:hAnsi="Arial" w:cs="Arial"/>
          <w:b/>
          <w:bCs/>
          <w:lang w:val="es-MX"/>
        </w:rPr>
        <w:t xml:space="preserve"> </w:t>
      </w:r>
      <w:r w:rsidRPr="00CB1329">
        <w:rPr>
          <w:rFonts w:ascii="Arial" w:eastAsia="MS Mincho" w:hAnsi="Arial" w:cs="Arial"/>
          <w:b/>
          <w:bCs/>
          <w:lang w:val="es-MX"/>
        </w:rPr>
        <w:t>FEDERALES</w:t>
      </w:r>
    </w:p>
    <w:p w:rsidR="003A64A5" w:rsidRDefault="003A64A5" w:rsidP="003A64A5">
      <w:pPr>
        <w:spacing w:after="240"/>
        <w:contextualSpacing/>
        <w:jc w:val="both"/>
        <w:rPr>
          <w:rFonts w:ascii="Arial" w:eastAsia="MS Mincho" w:hAnsi="Arial" w:cs="Arial"/>
          <w:b/>
          <w:bCs/>
          <w:lang w:val="es-MX"/>
        </w:rPr>
      </w:pPr>
    </w:p>
    <w:p w:rsidR="003A64A5" w:rsidRDefault="003A64A5" w:rsidP="003A64A5">
      <w:pPr>
        <w:spacing w:after="240"/>
        <w:contextualSpacing/>
        <w:jc w:val="both"/>
        <w:rPr>
          <w:rFonts w:ascii="Arial" w:eastAsia="MS Mincho" w:hAnsi="Arial" w:cs="Arial"/>
          <w:b/>
          <w:bCs/>
          <w:lang w:val="es-MX"/>
        </w:rPr>
      </w:pPr>
    </w:p>
    <w:p w:rsidR="003A64A5" w:rsidRDefault="003A64A5" w:rsidP="003A64A5">
      <w:pPr>
        <w:rPr>
          <w:rFonts w:ascii="Arial" w:eastAsia="MS Mincho" w:hAnsi="Arial" w:cs="Arial"/>
          <w:b/>
          <w:bCs/>
          <w:lang w:val="es-MX"/>
        </w:rPr>
      </w:pPr>
      <w:r w:rsidRPr="00C06222">
        <w:rPr>
          <w:rFonts w:eastAsia="MS Mincho"/>
          <w:noProof/>
          <w:lang w:val="es-MX" w:eastAsia="es-MX"/>
        </w:rPr>
        <w:drawing>
          <wp:inline distT="0" distB="0" distL="0" distR="0">
            <wp:extent cx="6600849" cy="4608456"/>
            <wp:effectExtent l="0" t="971550" r="0" b="992244"/>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rcRect/>
                    <a:stretch>
                      <a:fillRect/>
                    </a:stretch>
                  </pic:blipFill>
                  <pic:spPr bwMode="auto">
                    <a:xfrm rot="16200000">
                      <a:off x="0" y="0"/>
                      <a:ext cx="6598920" cy="4607109"/>
                    </a:xfrm>
                    <a:prstGeom prst="rect">
                      <a:avLst/>
                    </a:prstGeom>
                    <a:noFill/>
                    <a:ln w="9525">
                      <a:noFill/>
                      <a:miter lim="800000"/>
                      <a:headEnd/>
                      <a:tailEnd/>
                    </a:ln>
                  </pic:spPr>
                </pic:pic>
              </a:graphicData>
            </a:graphic>
          </wp:inline>
        </w:drawing>
      </w:r>
      <w:r>
        <w:rPr>
          <w:rFonts w:ascii="Arial" w:eastAsia="MS Mincho" w:hAnsi="Arial" w:cs="Arial"/>
          <w:b/>
          <w:bCs/>
          <w:lang w:val="es-MX"/>
        </w:rPr>
        <w:br w:type="page"/>
      </w:r>
    </w:p>
    <w:p w:rsidR="003A64A5" w:rsidRDefault="003A64A5" w:rsidP="003A64A5">
      <w:pPr>
        <w:spacing w:after="240"/>
        <w:contextualSpacing/>
        <w:jc w:val="both"/>
        <w:rPr>
          <w:rFonts w:ascii="Arial" w:hAnsi="Arial" w:cs="Arial"/>
          <w:b/>
          <w:kern w:val="2"/>
          <w:lang w:eastAsia="en-US"/>
        </w:rPr>
      </w:pPr>
      <w:r>
        <w:rPr>
          <w:rFonts w:ascii="Arial" w:hAnsi="Arial" w:cs="Arial"/>
          <w:b/>
          <w:kern w:val="2"/>
          <w:lang w:eastAsia="en-US"/>
        </w:rPr>
        <w:t>14.- INFORMACION ADICIONAL</w:t>
      </w:r>
    </w:p>
    <w:p w:rsidR="003A64A5" w:rsidRDefault="003A64A5" w:rsidP="003A64A5">
      <w:pPr>
        <w:spacing w:after="240"/>
        <w:contextualSpacing/>
        <w:jc w:val="both"/>
        <w:rPr>
          <w:rFonts w:ascii="Arial" w:hAnsi="Arial" w:cs="Arial"/>
          <w:b/>
          <w:kern w:val="2"/>
          <w:lang w:eastAsia="en-US"/>
        </w:rPr>
      </w:pPr>
    </w:p>
    <w:p w:rsidR="00691418" w:rsidRDefault="00691418">
      <w:pPr>
        <w:rPr>
          <w:rFonts w:ascii="Arial" w:eastAsia="MS Mincho" w:hAnsi="Arial" w:cs="Arial"/>
          <w:b/>
          <w:bCs/>
          <w:lang w:val="es-MX"/>
        </w:rPr>
      </w:pPr>
      <w:r w:rsidRPr="00691418">
        <w:rPr>
          <w:rFonts w:ascii="Arial" w:eastAsia="MS Mincho" w:hAnsi="Arial" w:cs="Arial"/>
          <w:b/>
          <w:bCs/>
          <w:lang w:val="es-MX"/>
        </w:rPr>
        <w:t>1</w:t>
      </w:r>
      <w:r w:rsidR="003A64A5">
        <w:rPr>
          <w:rFonts w:ascii="Arial" w:eastAsia="MS Mincho" w:hAnsi="Arial" w:cs="Arial"/>
          <w:b/>
          <w:bCs/>
          <w:lang w:val="es-MX"/>
        </w:rPr>
        <w:t>4</w:t>
      </w:r>
      <w:r w:rsidRPr="00691418">
        <w:rPr>
          <w:rFonts w:ascii="Arial" w:eastAsia="MS Mincho" w:hAnsi="Arial" w:cs="Arial"/>
          <w:b/>
          <w:bCs/>
          <w:lang w:val="es-MX"/>
        </w:rPr>
        <w:t>.1.- RELACIÓN DE BIENES MUEBLES</w:t>
      </w:r>
    </w:p>
    <w:p w:rsidR="00691418" w:rsidRDefault="00691418">
      <w:pPr>
        <w:rPr>
          <w:rFonts w:ascii="Arial" w:eastAsia="MS Mincho" w:hAnsi="Arial" w:cs="Arial"/>
          <w:b/>
          <w:bCs/>
          <w:lang w:val="es-MX"/>
        </w:rPr>
      </w:pPr>
    </w:p>
    <w:tbl>
      <w:tblPr>
        <w:tblW w:w="8814" w:type="dxa"/>
        <w:tblInd w:w="45" w:type="dxa"/>
        <w:tblCellMar>
          <w:left w:w="70" w:type="dxa"/>
          <w:right w:w="70" w:type="dxa"/>
        </w:tblCellMar>
        <w:tblLook w:val="04A0"/>
      </w:tblPr>
      <w:tblGrid>
        <w:gridCol w:w="749"/>
        <w:gridCol w:w="6931"/>
        <w:gridCol w:w="1134"/>
      </w:tblGrid>
      <w:tr w:rsidR="00691418" w:rsidRPr="00691418" w:rsidTr="00691418">
        <w:trPr>
          <w:trHeight w:val="225"/>
        </w:trPr>
        <w:tc>
          <w:tcPr>
            <w:tcW w:w="8814"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bookmarkStart w:id="1" w:name="RANGE!A1:C45"/>
            <w:r w:rsidRPr="00691418">
              <w:rPr>
                <w:rFonts w:ascii="Calibri" w:hAnsi="Calibri"/>
                <w:b/>
                <w:bCs/>
                <w:sz w:val="16"/>
                <w:szCs w:val="16"/>
                <w:lang w:val="es-MX" w:eastAsia="es-MX"/>
              </w:rPr>
              <w:t>1er. Avance de Cuenta Pública 2016</w:t>
            </w:r>
            <w:bookmarkEnd w:id="1"/>
          </w:p>
        </w:tc>
      </w:tr>
      <w:tr w:rsidR="00691418" w:rsidRPr="00691418" w:rsidTr="00691418">
        <w:trPr>
          <w:trHeight w:val="225"/>
        </w:trPr>
        <w:tc>
          <w:tcPr>
            <w:tcW w:w="8814"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Relacion de Bienes Muebles que Componen el Patrimonio</w:t>
            </w:r>
          </w:p>
        </w:tc>
      </w:tr>
      <w:tr w:rsidR="00691418" w:rsidRPr="00691418" w:rsidTr="00691418">
        <w:trPr>
          <w:trHeight w:val="225"/>
        </w:trPr>
        <w:tc>
          <w:tcPr>
            <w:tcW w:w="8814"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Del 1o. de enero al 31 de marzo de 2016</w:t>
            </w:r>
          </w:p>
        </w:tc>
      </w:tr>
      <w:tr w:rsidR="00691418" w:rsidRPr="00691418" w:rsidTr="00691418">
        <w:trPr>
          <w:trHeight w:val="225"/>
        </w:trPr>
        <w:tc>
          <w:tcPr>
            <w:tcW w:w="8814"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(Pesos)</w:t>
            </w:r>
          </w:p>
        </w:tc>
      </w:tr>
      <w:tr w:rsidR="00691418" w:rsidRPr="00691418" w:rsidTr="00691418">
        <w:trPr>
          <w:trHeight w:val="19"/>
        </w:trPr>
        <w:tc>
          <w:tcPr>
            <w:tcW w:w="8814"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 </w:t>
            </w:r>
          </w:p>
        </w:tc>
      </w:tr>
      <w:tr w:rsidR="00691418" w:rsidRPr="00691418" w:rsidTr="00691418">
        <w:trPr>
          <w:trHeight w:val="225"/>
        </w:trPr>
        <w:tc>
          <w:tcPr>
            <w:tcW w:w="8814"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GOBIERNO ESTATAL CONSOLIDADO</w:t>
            </w:r>
          </w:p>
        </w:tc>
      </w:tr>
      <w:tr w:rsidR="00691418" w:rsidRPr="00691418" w:rsidTr="00691418">
        <w:trPr>
          <w:trHeight w:val="19"/>
        </w:trPr>
        <w:tc>
          <w:tcPr>
            <w:tcW w:w="749"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6931"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134"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749" w:type="dxa"/>
            <w:tcBorders>
              <w:top w:val="single" w:sz="4" w:space="0" w:color="auto"/>
              <w:left w:val="single" w:sz="4" w:space="0" w:color="auto"/>
              <w:bottom w:val="single" w:sz="4" w:space="0" w:color="auto"/>
              <w:right w:val="single" w:sz="4" w:space="0" w:color="auto"/>
            </w:tcBorders>
            <w:shd w:val="clear" w:color="000000" w:fill="CC9900"/>
            <w:noWrap/>
            <w:vAlign w:val="bottom"/>
            <w:hideMark/>
          </w:tcPr>
          <w:p w:rsidR="00691418" w:rsidRPr="00691418" w:rsidRDefault="00691418" w:rsidP="00691418">
            <w:pPr>
              <w:jc w:val="center"/>
              <w:rPr>
                <w:rFonts w:ascii="Calibri" w:hAnsi="Calibri"/>
                <w:b/>
                <w:bCs/>
                <w:color w:val="FFFFFF"/>
                <w:sz w:val="16"/>
                <w:szCs w:val="16"/>
                <w:lang w:val="es-MX" w:eastAsia="es-MX"/>
              </w:rPr>
            </w:pPr>
            <w:r w:rsidRPr="00691418">
              <w:rPr>
                <w:rFonts w:ascii="Calibri" w:hAnsi="Calibri"/>
                <w:b/>
                <w:bCs/>
                <w:color w:val="FFFFFF"/>
                <w:sz w:val="16"/>
                <w:szCs w:val="16"/>
                <w:lang w:val="es-MX" w:eastAsia="es-MX"/>
              </w:rPr>
              <w:t>CÓDIGO</w:t>
            </w:r>
          </w:p>
        </w:tc>
        <w:tc>
          <w:tcPr>
            <w:tcW w:w="6931" w:type="dxa"/>
            <w:tcBorders>
              <w:top w:val="single" w:sz="4" w:space="0" w:color="auto"/>
              <w:left w:val="nil"/>
              <w:bottom w:val="single" w:sz="4" w:space="0" w:color="auto"/>
              <w:right w:val="nil"/>
            </w:tcBorders>
            <w:shd w:val="clear" w:color="000000" w:fill="CC9900"/>
            <w:noWrap/>
            <w:vAlign w:val="bottom"/>
            <w:hideMark/>
          </w:tcPr>
          <w:p w:rsidR="00691418" w:rsidRPr="00691418" w:rsidRDefault="00691418" w:rsidP="00691418">
            <w:pPr>
              <w:jc w:val="center"/>
              <w:rPr>
                <w:rFonts w:ascii="Calibri" w:hAnsi="Calibri"/>
                <w:b/>
                <w:bCs/>
                <w:color w:val="FFFFFF"/>
                <w:sz w:val="16"/>
                <w:szCs w:val="16"/>
                <w:lang w:val="es-MX" w:eastAsia="es-MX"/>
              </w:rPr>
            </w:pPr>
            <w:r w:rsidRPr="00691418">
              <w:rPr>
                <w:rFonts w:ascii="Calibri" w:hAnsi="Calibri"/>
                <w:b/>
                <w:bCs/>
                <w:color w:val="FFFFFF"/>
                <w:sz w:val="16"/>
                <w:szCs w:val="16"/>
                <w:lang w:val="es-MX" w:eastAsia="es-MX"/>
              </w:rPr>
              <w:t>DESCRIPCIÓN DEL BIEN</w:t>
            </w:r>
          </w:p>
        </w:tc>
        <w:tc>
          <w:tcPr>
            <w:tcW w:w="1134" w:type="dxa"/>
            <w:tcBorders>
              <w:top w:val="single" w:sz="4" w:space="0" w:color="auto"/>
              <w:left w:val="single" w:sz="4" w:space="0" w:color="auto"/>
              <w:bottom w:val="single" w:sz="4" w:space="0" w:color="auto"/>
              <w:right w:val="single" w:sz="4" w:space="0" w:color="auto"/>
            </w:tcBorders>
            <w:shd w:val="clear" w:color="000000" w:fill="CC9900"/>
            <w:noWrap/>
            <w:vAlign w:val="bottom"/>
            <w:hideMark/>
          </w:tcPr>
          <w:p w:rsidR="00691418" w:rsidRPr="00691418" w:rsidRDefault="00691418" w:rsidP="00691418">
            <w:pPr>
              <w:jc w:val="center"/>
              <w:rPr>
                <w:rFonts w:ascii="Calibri" w:hAnsi="Calibri"/>
                <w:b/>
                <w:bCs/>
                <w:color w:val="FFFFFF"/>
                <w:sz w:val="16"/>
                <w:szCs w:val="16"/>
                <w:lang w:val="es-MX" w:eastAsia="es-MX"/>
              </w:rPr>
            </w:pPr>
            <w:r w:rsidRPr="00691418">
              <w:rPr>
                <w:rFonts w:ascii="Calibri" w:hAnsi="Calibri"/>
                <w:b/>
                <w:bCs/>
                <w:color w:val="FFFFFF"/>
                <w:sz w:val="16"/>
                <w:szCs w:val="16"/>
                <w:lang w:val="es-MX" w:eastAsia="es-MX"/>
              </w:rPr>
              <w:t>Valor en Libros</w:t>
            </w:r>
          </w:p>
        </w:tc>
      </w:tr>
      <w:tr w:rsidR="00691418" w:rsidRPr="00691418" w:rsidTr="00691418">
        <w:trPr>
          <w:trHeight w:val="19"/>
        </w:trPr>
        <w:tc>
          <w:tcPr>
            <w:tcW w:w="749" w:type="dxa"/>
            <w:tcBorders>
              <w:top w:val="nil"/>
              <w:left w:val="single" w:sz="4" w:space="0" w:color="auto"/>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6931"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12411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MUEBLES DE OFICINA Y ESTANTERÍA</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94,141,486</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12412</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MUEBLES, EXCEPTO DE OFICINA Y ESTANTERÍA</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4,009,642</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12413</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 DE CÓMPUTO Y DE TECNOLOGÍAS DE LA INFORMACIÓN</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265,202,361</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12419</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OTROS MOBILIARIOS Y EQUIPOS DE ADMINISTRACIÓN</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19,611,147</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12421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EQUIPOS Y APARATOS AUDIOVISUALES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41,326,660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12422</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APARATOS DEPORTIVOS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15,754,050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12423</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CÁMARAS FOTOGRÁFICAS Y DE VIDEO</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20,095,594</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12429</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OTRO MOBILIARIO Y EQUIPO EDUCACIONAL Y RECREATIVO</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18,880,209</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12431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 MÉDICO Y DE LABORATORIO</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24,331,727</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12432</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INSTRUMENTAL MÉDICO Y DE LABORATORIO</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10,357,516</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12441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AUTOMÓVILES Y CAMIONES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1,054,329,114</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12443</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 AEROESPACIAL</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205,636,748</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12445</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EMBARCACIONES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2,881,802</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12449</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OTROS EQUIPOS DE TRANSPORTE</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2,400,770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12450</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 DE DEFENSA Y SEGURIDAD</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127,472,068</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MAQUINARIA Y EQUIPO AGROPECUARIO</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4,462,947</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12462</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MAQUINARIA Y EQUIPO INDUSTRIAL</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14,531,994</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12463</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MAQUINARIA Y EQUIPO DE CONSTRUCCIÓN</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10,868,571</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12464</w:t>
            </w:r>
          </w:p>
        </w:tc>
        <w:tc>
          <w:tcPr>
            <w:tcW w:w="6931" w:type="dxa"/>
            <w:tcBorders>
              <w:top w:val="nil"/>
              <w:left w:val="nil"/>
              <w:bottom w:val="nil"/>
              <w:right w:val="single" w:sz="4" w:space="0" w:color="auto"/>
            </w:tcBorders>
            <w:shd w:val="clear" w:color="000000" w:fill="FFFFFF"/>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SISTEMAS DE AIRE ACONDICIONADO, CALEFACCIÓN Y DE REFRIGERACIÓN INDUSTRIAL Y COMERCIAL</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5,089,136</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12465</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 DE COMUNICACIÓN Y TELECOMUNICACIÓN</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213,776,039</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12466</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EQUIPOS DE GENERACIÓN ELÉCTRICA, APARATOS Y ACCESORIOS ELÉCTRICOS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12,483,099</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12467</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HERRAMIENTAS Y MÁQUINAS-HERRAMIENTA</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9,666,840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12469</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OTROS EQUIPOS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35,663,975</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12471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BIENES ARTISTICOS, CULTURALES Y CIENTIFICOS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35,550,478</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12481</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BOVINOS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1,810,000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12483</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AVES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65,174</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12484</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OVINOS Y CAPRINOS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4,606,000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12486</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EQUINOS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209,300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12487</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ESPECIES MENORES Y DE ZOOLÓGICO</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480,000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12488</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ÁRBOLES Y PLANTAS</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40,000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12489</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OTROS ACTIVOS BIOLÓGICOS</w:t>
            </w:r>
          </w:p>
        </w:tc>
        <w:tc>
          <w:tcPr>
            <w:tcW w:w="1134" w:type="dxa"/>
            <w:tcBorders>
              <w:top w:val="nil"/>
              <w:left w:val="nil"/>
              <w:bottom w:val="single" w:sz="4" w:space="0" w:color="auto"/>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490,000</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40"/>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TOTAL:</w:t>
            </w:r>
          </w:p>
        </w:tc>
        <w:tc>
          <w:tcPr>
            <w:tcW w:w="1134" w:type="dxa"/>
            <w:tcBorders>
              <w:top w:val="nil"/>
              <w:left w:val="nil"/>
              <w:bottom w:val="double" w:sz="6" w:space="0" w:color="auto"/>
              <w:right w:val="single" w:sz="4" w:space="0" w:color="auto"/>
            </w:tcBorders>
            <w:shd w:val="clear" w:color="000000" w:fill="FFFFFF"/>
            <w:noWrap/>
            <w:vAlign w:val="bottom"/>
            <w:hideMark/>
          </w:tcPr>
          <w:p w:rsidR="00691418" w:rsidRPr="00691418" w:rsidRDefault="00691418" w:rsidP="00691418">
            <w:pPr>
              <w:jc w:val="right"/>
              <w:rPr>
                <w:rFonts w:ascii="Calibri" w:hAnsi="Calibri"/>
                <w:b/>
                <w:bCs/>
                <w:color w:val="000000"/>
                <w:sz w:val="16"/>
                <w:szCs w:val="16"/>
                <w:lang w:val="es-MX" w:eastAsia="es-MX"/>
              </w:rPr>
            </w:pPr>
            <w:r w:rsidRPr="00691418">
              <w:rPr>
                <w:rFonts w:ascii="Calibri" w:hAnsi="Calibri"/>
                <w:b/>
                <w:bCs/>
                <w:color w:val="000000"/>
                <w:sz w:val="16"/>
                <w:szCs w:val="16"/>
                <w:lang w:val="es-MX" w:eastAsia="es-MX"/>
              </w:rPr>
              <w:t>2,256,224,446</w:t>
            </w:r>
          </w:p>
        </w:tc>
      </w:tr>
      <w:tr w:rsidR="00691418" w:rsidRPr="00691418" w:rsidTr="00691418">
        <w:trPr>
          <w:trHeight w:val="240"/>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749"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31"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134"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749" w:type="dxa"/>
            <w:tcBorders>
              <w:top w:val="nil"/>
              <w:left w:val="single" w:sz="4" w:space="0" w:color="auto"/>
              <w:bottom w:val="single" w:sz="4" w:space="0" w:color="auto"/>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31" w:type="dxa"/>
            <w:tcBorders>
              <w:top w:val="nil"/>
              <w:left w:val="nil"/>
              <w:bottom w:val="single" w:sz="4" w:space="0" w:color="auto"/>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bl>
    <w:p w:rsidR="00691418" w:rsidRDefault="00691418">
      <w:pPr>
        <w:rPr>
          <w:rFonts w:ascii="Arial" w:eastAsia="MS Mincho" w:hAnsi="Arial" w:cs="Arial"/>
          <w:b/>
          <w:bCs/>
          <w:lang w:val="es-MX"/>
        </w:rPr>
      </w:pPr>
      <w:r w:rsidRPr="00691418">
        <w:rPr>
          <w:rFonts w:ascii="Arial" w:eastAsia="MS Mincho" w:hAnsi="Arial" w:cs="Arial"/>
          <w:b/>
          <w:bCs/>
          <w:lang w:val="es-MX"/>
        </w:rPr>
        <w:t>1</w:t>
      </w:r>
      <w:r w:rsidR="00FC7311">
        <w:rPr>
          <w:rFonts w:ascii="Arial" w:eastAsia="MS Mincho" w:hAnsi="Arial" w:cs="Arial"/>
          <w:b/>
          <w:bCs/>
          <w:lang w:val="es-MX"/>
        </w:rPr>
        <w:t>4</w:t>
      </w:r>
      <w:r w:rsidRPr="00691418">
        <w:rPr>
          <w:rFonts w:ascii="Arial" w:eastAsia="MS Mincho" w:hAnsi="Arial" w:cs="Arial"/>
          <w:b/>
          <w:bCs/>
          <w:lang w:val="es-MX"/>
        </w:rPr>
        <w:t>.2.- RELACIÓN DE BIENES INMUEBLES</w:t>
      </w:r>
    </w:p>
    <w:p w:rsidR="00691418" w:rsidRDefault="00691418">
      <w:pPr>
        <w:rPr>
          <w:rFonts w:ascii="Arial" w:eastAsia="MS Mincho" w:hAnsi="Arial" w:cs="Arial"/>
          <w:b/>
          <w:bCs/>
          <w:lang w:val="es-MX"/>
        </w:rPr>
      </w:pPr>
    </w:p>
    <w:tbl>
      <w:tblPr>
        <w:tblW w:w="8861" w:type="dxa"/>
        <w:tblInd w:w="45" w:type="dxa"/>
        <w:tblCellMar>
          <w:left w:w="70" w:type="dxa"/>
          <w:right w:w="70" w:type="dxa"/>
        </w:tblCellMar>
        <w:tblLook w:val="04A0"/>
      </w:tblPr>
      <w:tblGrid>
        <w:gridCol w:w="698"/>
        <w:gridCol w:w="6917"/>
        <w:gridCol w:w="1246"/>
      </w:tblGrid>
      <w:tr w:rsidR="00691418" w:rsidRPr="00691418" w:rsidTr="00691418">
        <w:trPr>
          <w:trHeight w:val="225"/>
        </w:trPr>
        <w:tc>
          <w:tcPr>
            <w:tcW w:w="8861"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1er. Avance de Cuenta Pública 2016</w:t>
            </w:r>
          </w:p>
        </w:tc>
      </w:tr>
      <w:tr w:rsidR="00691418" w:rsidRPr="00691418" w:rsidTr="00691418">
        <w:trPr>
          <w:trHeight w:val="225"/>
        </w:trPr>
        <w:tc>
          <w:tcPr>
            <w:tcW w:w="8861"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Relacion de Bienes Inmuebles que componen el Patrimonio</w:t>
            </w:r>
          </w:p>
        </w:tc>
      </w:tr>
      <w:tr w:rsidR="00691418" w:rsidRPr="00691418" w:rsidTr="00691418">
        <w:trPr>
          <w:trHeight w:val="225"/>
        </w:trPr>
        <w:tc>
          <w:tcPr>
            <w:tcW w:w="8861"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Del 1o. de enero al 31 de marzo de 2016</w:t>
            </w:r>
          </w:p>
        </w:tc>
      </w:tr>
      <w:tr w:rsidR="00691418" w:rsidRPr="00691418" w:rsidTr="00691418">
        <w:trPr>
          <w:trHeight w:val="225"/>
        </w:trPr>
        <w:tc>
          <w:tcPr>
            <w:tcW w:w="8861"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(Pesos)</w:t>
            </w:r>
          </w:p>
        </w:tc>
      </w:tr>
      <w:tr w:rsidR="00691418" w:rsidRPr="00691418" w:rsidTr="00691418">
        <w:trPr>
          <w:trHeight w:val="19"/>
        </w:trPr>
        <w:tc>
          <w:tcPr>
            <w:tcW w:w="8861"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 </w:t>
            </w:r>
          </w:p>
        </w:tc>
      </w:tr>
      <w:tr w:rsidR="00691418" w:rsidRPr="00691418" w:rsidTr="00691418">
        <w:trPr>
          <w:trHeight w:val="225"/>
        </w:trPr>
        <w:tc>
          <w:tcPr>
            <w:tcW w:w="8861" w:type="dxa"/>
            <w:gridSpan w:val="3"/>
            <w:tcBorders>
              <w:top w:val="nil"/>
              <w:left w:val="nil"/>
              <w:bottom w:val="nil"/>
              <w:right w:val="nil"/>
            </w:tcBorders>
            <w:shd w:val="clear" w:color="000000" w:fill="FFFFFF"/>
            <w:noWrap/>
            <w:vAlign w:val="bottom"/>
            <w:hideMark/>
          </w:tcPr>
          <w:p w:rsidR="00691418" w:rsidRPr="00691418" w:rsidRDefault="00691418" w:rsidP="00691418">
            <w:pPr>
              <w:jc w:val="center"/>
              <w:rPr>
                <w:rFonts w:ascii="Calibri" w:hAnsi="Calibri"/>
                <w:b/>
                <w:bCs/>
                <w:sz w:val="16"/>
                <w:szCs w:val="16"/>
                <w:lang w:val="es-MX" w:eastAsia="es-MX"/>
              </w:rPr>
            </w:pPr>
            <w:r w:rsidRPr="00691418">
              <w:rPr>
                <w:rFonts w:ascii="Calibri" w:hAnsi="Calibri"/>
                <w:b/>
                <w:bCs/>
                <w:sz w:val="16"/>
                <w:szCs w:val="16"/>
                <w:lang w:val="es-MX" w:eastAsia="es-MX"/>
              </w:rPr>
              <w:t>GOBIERNO ESTATAL CONSOLIDADO</w:t>
            </w:r>
          </w:p>
        </w:tc>
      </w:tr>
      <w:tr w:rsidR="00691418" w:rsidRPr="00691418" w:rsidTr="00691418">
        <w:trPr>
          <w:trHeight w:val="19"/>
        </w:trPr>
        <w:tc>
          <w:tcPr>
            <w:tcW w:w="698"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6917"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246"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698" w:type="dxa"/>
            <w:tcBorders>
              <w:top w:val="single" w:sz="4" w:space="0" w:color="auto"/>
              <w:left w:val="single" w:sz="4" w:space="0" w:color="auto"/>
              <w:bottom w:val="single" w:sz="4" w:space="0" w:color="auto"/>
              <w:right w:val="single" w:sz="4" w:space="0" w:color="auto"/>
            </w:tcBorders>
            <w:shd w:val="clear" w:color="000000" w:fill="CC9900"/>
            <w:noWrap/>
            <w:vAlign w:val="bottom"/>
            <w:hideMark/>
          </w:tcPr>
          <w:p w:rsidR="00691418" w:rsidRPr="00691418" w:rsidRDefault="00691418" w:rsidP="00691418">
            <w:pPr>
              <w:jc w:val="center"/>
              <w:rPr>
                <w:rFonts w:ascii="Calibri" w:hAnsi="Calibri"/>
                <w:b/>
                <w:bCs/>
                <w:color w:val="FFFFFF"/>
                <w:sz w:val="16"/>
                <w:szCs w:val="16"/>
                <w:lang w:val="es-MX" w:eastAsia="es-MX"/>
              </w:rPr>
            </w:pPr>
            <w:r w:rsidRPr="00691418">
              <w:rPr>
                <w:rFonts w:ascii="Calibri" w:hAnsi="Calibri"/>
                <w:b/>
                <w:bCs/>
                <w:color w:val="FFFFFF"/>
                <w:sz w:val="16"/>
                <w:szCs w:val="16"/>
                <w:lang w:val="es-MX" w:eastAsia="es-MX"/>
              </w:rPr>
              <w:t>CÓDIGO</w:t>
            </w:r>
          </w:p>
        </w:tc>
        <w:tc>
          <w:tcPr>
            <w:tcW w:w="6917" w:type="dxa"/>
            <w:tcBorders>
              <w:top w:val="single" w:sz="4" w:space="0" w:color="auto"/>
              <w:left w:val="nil"/>
              <w:bottom w:val="single" w:sz="4" w:space="0" w:color="auto"/>
              <w:right w:val="nil"/>
            </w:tcBorders>
            <w:shd w:val="clear" w:color="000000" w:fill="CC9900"/>
            <w:noWrap/>
            <w:vAlign w:val="bottom"/>
            <w:hideMark/>
          </w:tcPr>
          <w:p w:rsidR="00691418" w:rsidRPr="00691418" w:rsidRDefault="00691418" w:rsidP="00691418">
            <w:pPr>
              <w:jc w:val="center"/>
              <w:rPr>
                <w:rFonts w:ascii="Calibri" w:hAnsi="Calibri"/>
                <w:b/>
                <w:bCs/>
                <w:color w:val="FFFFFF"/>
                <w:sz w:val="16"/>
                <w:szCs w:val="16"/>
                <w:lang w:val="es-MX" w:eastAsia="es-MX"/>
              </w:rPr>
            </w:pPr>
            <w:r w:rsidRPr="00691418">
              <w:rPr>
                <w:rFonts w:ascii="Calibri" w:hAnsi="Calibri"/>
                <w:b/>
                <w:bCs/>
                <w:color w:val="FFFFFF"/>
                <w:sz w:val="16"/>
                <w:szCs w:val="16"/>
                <w:lang w:val="es-MX" w:eastAsia="es-MX"/>
              </w:rPr>
              <w:t>DESCRIPCIÓN DEL BIEN</w:t>
            </w:r>
          </w:p>
        </w:tc>
        <w:tc>
          <w:tcPr>
            <w:tcW w:w="1246" w:type="dxa"/>
            <w:tcBorders>
              <w:top w:val="single" w:sz="4" w:space="0" w:color="auto"/>
              <w:left w:val="single" w:sz="4" w:space="0" w:color="auto"/>
              <w:bottom w:val="single" w:sz="4" w:space="0" w:color="auto"/>
              <w:right w:val="single" w:sz="4" w:space="0" w:color="auto"/>
            </w:tcBorders>
            <w:shd w:val="clear" w:color="000000" w:fill="CC9900"/>
            <w:noWrap/>
            <w:vAlign w:val="bottom"/>
            <w:hideMark/>
          </w:tcPr>
          <w:p w:rsidR="00691418" w:rsidRPr="00691418" w:rsidRDefault="00691418" w:rsidP="00691418">
            <w:pPr>
              <w:jc w:val="center"/>
              <w:rPr>
                <w:rFonts w:ascii="Calibri" w:hAnsi="Calibri"/>
                <w:b/>
                <w:bCs/>
                <w:color w:val="FFFFFF"/>
                <w:sz w:val="16"/>
                <w:szCs w:val="16"/>
                <w:lang w:val="es-MX" w:eastAsia="es-MX"/>
              </w:rPr>
            </w:pPr>
            <w:r w:rsidRPr="00691418">
              <w:rPr>
                <w:rFonts w:ascii="Calibri" w:hAnsi="Calibri"/>
                <w:b/>
                <w:bCs/>
                <w:color w:val="FFFFFF"/>
                <w:sz w:val="16"/>
                <w:szCs w:val="16"/>
                <w:lang w:val="es-MX" w:eastAsia="es-MX"/>
              </w:rPr>
              <w:t>IMPORTE</w:t>
            </w:r>
          </w:p>
        </w:tc>
      </w:tr>
      <w:tr w:rsidR="00691418" w:rsidRPr="00691418" w:rsidTr="00691418">
        <w:trPr>
          <w:trHeight w:val="19"/>
        </w:trPr>
        <w:tc>
          <w:tcPr>
            <w:tcW w:w="698" w:type="dxa"/>
            <w:tcBorders>
              <w:top w:val="nil"/>
              <w:left w:val="single" w:sz="4" w:space="0" w:color="auto"/>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6917" w:type="dxa"/>
            <w:tcBorders>
              <w:top w:val="nil"/>
              <w:left w:val="nil"/>
              <w:bottom w:val="nil"/>
              <w:right w:val="nil"/>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12310</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TERRENOS</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1,958,040,182</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12330</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EDIFICIOS NO RESIDENCIALES</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1,081,729,426</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12351</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EDIFICACIÓN HABITACIONAL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11,237,812</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12352</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EDIFICACIÓN NO HABITACIONAL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350,445,498</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12353</w:t>
            </w:r>
          </w:p>
        </w:tc>
        <w:tc>
          <w:tcPr>
            <w:tcW w:w="6917" w:type="dxa"/>
            <w:tcBorders>
              <w:top w:val="nil"/>
              <w:left w:val="nil"/>
              <w:bottom w:val="nil"/>
              <w:right w:val="single" w:sz="4" w:space="0" w:color="auto"/>
            </w:tcBorders>
            <w:shd w:val="clear" w:color="000000" w:fill="FFFFFF"/>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CONSTRUCCIÓN DE OBRAS PARA EL ABASTECIMIENTO DE AGUA, PETRÓLEO, GAS, ELECTRICIDAD Y TELECOMUNICACION</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1,578,924,125</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12354</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DIVISIÓN DE TERRENOS Y CONSTRUCCIÓN DE OBRAS DE URBANIZACIÓN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1,596,751,908</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12355</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CONSTRUCCIÓN DE VÍAS DE COMUNICACIÓN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1,689,313,615</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12356</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OTRAS CONSTRUCCIONES DE INGENIERÍA CIVIL U OBRA PESADA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2,703,190,473</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12357</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INSTALACIONES Y EQUIPAMIENTO EN CONSTRUCCIONES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43,769,524</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12359</w:t>
            </w:r>
          </w:p>
        </w:tc>
        <w:tc>
          <w:tcPr>
            <w:tcW w:w="6917" w:type="dxa"/>
            <w:tcBorders>
              <w:top w:val="nil"/>
              <w:left w:val="nil"/>
              <w:bottom w:val="nil"/>
              <w:right w:val="single" w:sz="4" w:space="0" w:color="auto"/>
            </w:tcBorders>
            <w:shd w:val="clear" w:color="000000" w:fill="FFFFFF"/>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TRABAJOS DE ACABADOS EN EDIFICACIONES Y OTROS TRABAJOS ESPECIALIZADOS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3,418,600</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12361</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EDIFICACIÓN HABITACIONAL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622,200</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12362</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EDIFICACIÓN NO HABITACIONAL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58,364,769</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12363</w:t>
            </w:r>
          </w:p>
        </w:tc>
        <w:tc>
          <w:tcPr>
            <w:tcW w:w="6917" w:type="dxa"/>
            <w:tcBorders>
              <w:top w:val="nil"/>
              <w:left w:val="nil"/>
              <w:bottom w:val="nil"/>
              <w:right w:val="single" w:sz="4" w:space="0" w:color="auto"/>
            </w:tcBorders>
            <w:shd w:val="clear" w:color="000000" w:fill="FFFFFF"/>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CONSTRUCCIÓN DE OBRAS PARA EL ABASTECIMIENTO DE AGUA, PETRÓLEO, GAS, ELECTRICIDAD Y TELECOMUNICACION</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19,020,004</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12364</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DIVISIÓN DE TERRENOS Y CONSTRUCCIÓN DE OBRAS DE URBANIZACIÓN</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181,142,233</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12365</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CONSTRUCCIÓN DE VÍAS DE COMUNICACIÓN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178,424,731</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12366</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OTRAS CONSTRUCCIONES DE INGENIERÍA CIVIL U OBRA PESADA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39,856,167</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12367</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INSTALACIONES Y EQUIPAMIENTO EN CONSTRUCCIONES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438,546</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12369</w:t>
            </w:r>
          </w:p>
        </w:tc>
        <w:tc>
          <w:tcPr>
            <w:tcW w:w="6917" w:type="dxa"/>
            <w:tcBorders>
              <w:top w:val="nil"/>
              <w:left w:val="nil"/>
              <w:bottom w:val="nil"/>
              <w:right w:val="single" w:sz="4" w:space="0" w:color="auto"/>
            </w:tcBorders>
            <w:shd w:val="clear" w:color="000000" w:fill="FFFFFF"/>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TRABAJOS DE ACABADOS EN EDIFICACIONES Y OTROS TRABAJOS ESPECIALIZADOS EN PROCESO</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1,593,077</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12390</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OTROS BIENES INMUEBLES</w:t>
            </w:r>
          </w:p>
        </w:tc>
        <w:tc>
          <w:tcPr>
            <w:tcW w:w="1246" w:type="dxa"/>
            <w:tcBorders>
              <w:top w:val="nil"/>
              <w:left w:val="nil"/>
              <w:bottom w:val="single" w:sz="4" w:space="0" w:color="auto"/>
              <w:right w:val="single" w:sz="4" w:space="0" w:color="auto"/>
            </w:tcBorders>
            <w:shd w:val="clear" w:color="000000" w:fill="FFFFFF"/>
            <w:noWrap/>
            <w:vAlign w:val="bottom"/>
            <w:hideMark/>
          </w:tcPr>
          <w:p w:rsidR="00691418" w:rsidRPr="00691418" w:rsidRDefault="00691418" w:rsidP="00691418">
            <w:pPr>
              <w:jc w:val="right"/>
              <w:rPr>
                <w:rFonts w:ascii="Calibri" w:hAnsi="Calibri"/>
                <w:color w:val="000000"/>
                <w:sz w:val="16"/>
                <w:szCs w:val="16"/>
                <w:lang w:val="es-MX" w:eastAsia="es-MX"/>
              </w:rPr>
            </w:pPr>
            <w:r w:rsidRPr="00691418">
              <w:rPr>
                <w:rFonts w:ascii="Calibri" w:hAnsi="Calibri"/>
                <w:color w:val="000000"/>
                <w:sz w:val="16"/>
                <w:szCs w:val="16"/>
                <w:lang w:val="es-MX" w:eastAsia="es-MX"/>
              </w:rPr>
              <w:t>799,693</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40"/>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TOTAL:</w:t>
            </w:r>
          </w:p>
        </w:tc>
        <w:tc>
          <w:tcPr>
            <w:tcW w:w="1246" w:type="dxa"/>
            <w:tcBorders>
              <w:top w:val="nil"/>
              <w:left w:val="nil"/>
              <w:bottom w:val="double" w:sz="6" w:space="0" w:color="auto"/>
              <w:right w:val="single" w:sz="4" w:space="0" w:color="auto"/>
            </w:tcBorders>
            <w:shd w:val="clear" w:color="000000" w:fill="FFFFFF"/>
            <w:noWrap/>
            <w:vAlign w:val="bottom"/>
            <w:hideMark/>
          </w:tcPr>
          <w:p w:rsidR="00691418" w:rsidRPr="00691418" w:rsidRDefault="00691418" w:rsidP="00691418">
            <w:pPr>
              <w:jc w:val="right"/>
              <w:rPr>
                <w:rFonts w:ascii="Calibri" w:hAnsi="Calibri"/>
                <w:b/>
                <w:bCs/>
                <w:color w:val="000000"/>
                <w:sz w:val="16"/>
                <w:szCs w:val="16"/>
                <w:lang w:val="es-MX" w:eastAsia="es-MX"/>
              </w:rPr>
            </w:pPr>
            <w:r w:rsidRPr="00691418">
              <w:rPr>
                <w:rFonts w:ascii="Calibri" w:hAnsi="Calibri"/>
                <w:b/>
                <w:bCs/>
                <w:color w:val="000000"/>
                <w:sz w:val="16"/>
                <w:szCs w:val="16"/>
                <w:lang w:val="es-MX" w:eastAsia="es-MX"/>
              </w:rPr>
              <w:t>11,497,082,583</w:t>
            </w:r>
          </w:p>
        </w:tc>
      </w:tr>
      <w:tr w:rsidR="00691418" w:rsidRPr="00691418" w:rsidTr="00691418">
        <w:trPr>
          <w:trHeight w:val="240"/>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nil"/>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246" w:type="dxa"/>
            <w:tcBorders>
              <w:top w:val="nil"/>
              <w:left w:val="nil"/>
              <w:bottom w:val="nil"/>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r w:rsidR="00691418" w:rsidRPr="00691418" w:rsidTr="00691418">
        <w:trPr>
          <w:trHeight w:val="225"/>
        </w:trPr>
        <w:tc>
          <w:tcPr>
            <w:tcW w:w="698" w:type="dxa"/>
            <w:tcBorders>
              <w:top w:val="nil"/>
              <w:left w:val="single" w:sz="4" w:space="0" w:color="auto"/>
              <w:bottom w:val="single" w:sz="4" w:space="0" w:color="auto"/>
              <w:right w:val="single" w:sz="4" w:space="0" w:color="auto"/>
            </w:tcBorders>
            <w:shd w:val="clear" w:color="000000" w:fill="FFFFFF"/>
            <w:noWrap/>
            <w:vAlign w:val="bottom"/>
            <w:hideMark/>
          </w:tcPr>
          <w:p w:rsidR="00691418" w:rsidRPr="00691418" w:rsidRDefault="00691418" w:rsidP="00691418">
            <w:pPr>
              <w:jc w:val="center"/>
              <w:rPr>
                <w:rFonts w:ascii="Calibri" w:hAnsi="Calibri"/>
                <w:b/>
                <w:bCs/>
                <w:color w:val="000000"/>
                <w:sz w:val="16"/>
                <w:szCs w:val="16"/>
                <w:lang w:val="es-MX" w:eastAsia="es-MX"/>
              </w:rPr>
            </w:pPr>
            <w:r w:rsidRPr="00691418">
              <w:rPr>
                <w:rFonts w:ascii="Calibri" w:hAnsi="Calibri"/>
                <w:b/>
                <w:bCs/>
                <w:color w:val="000000"/>
                <w:sz w:val="16"/>
                <w:szCs w:val="16"/>
                <w:lang w:val="es-MX" w:eastAsia="es-MX"/>
              </w:rPr>
              <w:t> </w:t>
            </w:r>
          </w:p>
        </w:tc>
        <w:tc>
          <w:tcPr>
            <w:tcW w:w="6917" w:type="dxa"/>
            <w:tcBorders>
              <w:top w:val="nil"/>
              <w:left w:val="nil"/>
              <w:bottom w:val="single" w:sz="4" w:space="0" w:color="auto"/>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691418" w:rsidRPr="00691418" w:rsidRDefault="00691418" w:rsidP="00691418">
            <w:pPr>
              <w:rPr>
                <w:rFonts w:ascii="Calibri" w:hAnsi="Calibri"/>
                <w:color w:val="000000"/>
                <w:sz w:val="16"/>
                <w:szCs w:val="16"/>
                <w:lang w:val="es-MX" w:eastAsia="es-MX"/>
              </w:rPr>
            </w:pPr>
            <w:r w:rsidRPr="00691418">
              <w:rPr>
                <w:rFonts w:ascii="Calibri" w:hAnsi="Calibri"/>
                <w:color w:val="000000"/>
                <w:sz w:val="16"/>
                <w:szCs w:val="16"/>
                <w:lang w:val="es-MX" w:eastAsia="es-MX"/>
              </w:rPr>
              <w:t> </w:t>
            </w:r>
          </w:p>
        </w:tc>
      </w:tr>
    </w:tbl>
    <w:p w:rsidR="00691418" w:rsidRDefault="00691418">
      <w:pPr>
        <w:rPr>
          <w:rFonts w:ascii="Arial" w:eastAsia="MS Mincho" w:hAnsi="Arial" w:cs="Arial"/>
          <w:b/>
          <w:bCs/>
          <w:lang w:val="es-MX"/>
        </w:rPr>
      </w:pPr>
    </w:p>
    <w:p w:rsidR="003A64A5" w:rsidRDefault="003A64A5" w:rsidP="003A64A5">
      <w:pPr>
        <w:spacing w:after="240"/>
        <w:contextualSpacing/>
        <w:jc w:val="both"/>
        <w:rPr>
          <w:rFonts w:ascii="Arial" w:hAnsi="Arial" w:cs="Arial"/>
          <w:b/>
          <w:kern w:val="2"/>
          <w:lang w:eastAsia="en-US"/>
        </w:rPr>
      </w:pPr>
    </w:p>
    <w:p w:rsidR="00F82EA1" w:rsidRDefault="003A64A5" w:rsidP="004C1D27">
      <w:pPr>
        <w:spacing w:after="240"/>
        <w:contextualSpacing/>
        <w:jc w:val="both"/>
        <w:rPr>
          <w:rFonts w:ascii="Arial" w:eastAsia="MS Mincho" w:hAnsi="Arial" w:cs="Arial"/>
          <w:b/>
          <w:bCs/>
          <w:lang w:val="es-MX"/>
        </w:rPr>
      </w:pPr>
      <w:r>
        <w:rPr>
          <w:rFonts w:ascii="Arial" w:eastAsia="MS Mincho" w:hAnsi="Arial" w:cs="Arial"/>
          <w:b/>
          <w:bCs/>
          <w:lang w:val="es-MX"/>
        </w:rPr>
        <w:t xml:space="preserve">14.3.- </w:t>
      </w:r>
      <w:r w:rsidR="0067472A" w:rsidRPr="0067472A">
        <w:rPr>
          <w:rFonts w:ascii="Arial" w:eastAsia="MS Mincho" w:hAnsi="Arial" w:cs="Arial"/>
          <w:b/>
          <w:bCs/>
          <w:lang w:val="es-MX"/>
        </w:rPr>
        <w:t>RELACIÓN DE CUENTAS BANCARIAS PRODUCTIVAS ESPECIFICAS EN DONDE SE DEPOSITARON LOS RECURSOS FEDERALES TRANSFERIDOS</w:t>
      </w:r>
    </w:p>
    <w:p w:rsidR="00F82EA1" w:rsidRDefault="00F82EA1" w:rsidP="004C1D27">
      <w:pPr>
        <w:spacing w:after="240"/>
        <w:contextualSpacing/>
        <w:jc w:val="both"/>
        <w:rPr>
          <w:rFonts w:ascii="Arial" w:eastAsia="MS Mincho" w:hAnsi="Arial" w:cs="Arial"/>
          <w:b/>
          <w:bCs/>
          <w:lang w:val="es-MX"/>
        </w:rPr>
      </w:pPr>
    </w:p>
    <w:tbl>
      <w:tblPr>
        <w:tblW w:w="9511" w:type="dxa"/>
        <w:tblCellMar>
          <w:left w:w="0" w:type="dxa"/>
          <w:right w:w="0" w:type="dxa"/>
        </w:tblCellMar>
        <w:tblLook w:val="04A0"/>
      </w:tblPr>
      <w:tblGrid>
        <w:gridCol w:w="680"/>
        <w:gridCol w:w="5146"/>
        <w:gridCol w:w="1134"/>
        <w:gridCol w:w="1276"/>
        <w:gridCol w:w="1275"/>
      </w:tblGrid>
      <w:tr w:rsidR="0067472A" w:rsidTr="0067472A">
        <w:trPr>
          <w:trHeight w:val="225"/>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Nº</w:t>
            </w:r>
          </w:p>
        </w:tc>
        <w:tc>
          <w:tcPr>
            <w:tcW w:w="5146" w:type="dxa"/>
            <w:vMerge w:val="restart"/>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pPr>
              <w:jc w:val="center"/>
              <w:rPr>
                <w:rFonts w:ascii="Calibri" w:hAnsi="Calibri"/>
                <w:b/>
                <w:bCs/>
                <w:color w:val="000000"/>
                <w:sz w:val="16"/>
                <w:szCs w:val="16"/>
              </w:rPr>
            </w:pPr>
            <w:r>
              <w:rPr>
                <w:rFonts w:ascii="Calibri" w:hAnsi="Calibri"/>
                <w:b/>
                <w:bCs/>
                <w:color w:val="000000"/>
                <w:sz w:val="16"/>
                <w:szCs w:val="16"/>
              </w:rPr>
              <w:t>P  R  O  G  R  A  M  A</w:t>
            </w:r>
          </w:p>
        </w:tc>
        <w:tc>
          <w:tcPr>
            <w:tcW w:w="3685" w:type="dxa"/>
            <w:gridSpan w:val="3"/>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pPr>
              <w:jc w:val="center"/>
              <w:rPr>
                <w:rFonts w:ascii="Calibri" w:hAnsi="Calibri"/>
                <w:b/>
                <w:bCs/>
                <w:color w:val="000000"/>
                <w:sz w:val="16"/>
                <w:szCs w:val="16"/>
              </w:rPr>
            </w:pPr>
            <w:r>
              <w:rPr>
                <w:rFonts w:ascii="Calibri" w:hAnsi="Calibri"/>
                <w:b/>
                <w:bCs/>
                <w:color w:val="000000"/>
                <w:sz w:val="16"/>
                <w:szCs w:val="16"/>
              </w:rPr>
              <w:t>DATOS DE LA CUENTA BANCARIA</w:t>
            </w:r>
          </w:p>
        </w:tc>
      </w:tr>
      <w:tr w:rsidR="0067472A" w:rsidTr="0067472A">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472A" w:rsidRDefault="0067472A">
            <w:pPr>
              <w:rPr>
                <w:rFonts w:ascii="Calibri" w:hAnsi="Calibri"/>
                <w:color w:val="000000"/>
                <w:sz w:val="16"/>
                <w:szCs w:val="16"/>
              </w:rPr>
            </w:pPr>
          </w:p>
        </w:tc>
        <w:tc>
          <w:tcPr>
            <w:tcW w:w="5146" w:type="dxa"/>
            <w:vMerge/>
            <w:tcBorders>
              <w:top w:val="single" w:sz="4" w:space="0" w:color="auto"/>
              <w:left w:val="single" w:sz="4" w:space="0" w:color="auto"/>
              <w:bottom w:val="single" w:sz="4" w:space="0" w:color="auto"/>
              <w:right w:val="single" w:sz="4" w:space="0" w:color="auto"/>
            </w:tcBorders>
            <w:vAlign w:val="center"/>
            <w:hideMark/>
          </w:tcPr>
          <w:p w:rsidR="0067472A" w:rsidRDefault="0067472A">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pPr>
              <w:jc w:val="center"/>
              <w:rPr>
                <w:rFonts w:ascii="Calibri" w:hAnsi="Calibri"/>
                <w:b/>
                <w:bCs/>
                <w:color w:val="000000"/>
                <w:sz w:val="16"/>
                <w:szCs w:val="16"/>
              </w:rPr>
            </w:pPr>
            <w:r>
              <w:rPr>
                <w:rFonts w:ascii="Calibri" w:hAnsi="Calibri"/>
                <w:b/>
                <w:bCs/>
                <w:color w:val="000000"/>
                <w:sz w:val="16"/>
                <w:szCs w:val="16"/>
              </w:rPr>
              <w:t>FECHA DE APERTURA</w:t>
            </w:r>
          </w:p>
        </w:tc>
        <w:tc>
          <w:tcPr>
            <w:tcW w:w="1276"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pPr>
              <w:jc w:val="center"/>
              <w:rPr>
                <w:rFonts w:ascii="Calibri" w:hAnsi="Calibri"/>
                <w:b/>
                <w:bCs/>
                <w:color w:val="000000"/>
                <w:sz w:val="16"/>
                <w:szCs w:val="16"/>
              </w:rPr>
            </w:pPr>
            <w:r>
              <w:rPr>
                <w:rFonts w:ascii="Calibri" w:hAnsi="Calibri"/>
                <w:b/>
                <w:bCs/>
                <w:color w:val="000000"/>
                <w:sz w:val="16"/>
                <w:szCs w:val="16"/>
              </w:rPr>
              <w:t>INSTITUCION BANCARIA</w:t>
            </w:r>
          </w:p>
        </w:tc>
        <w:tc>
          <w:tcPr>
            <w:tcW w:w="1275"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pPr>
              <w:jc w:val="center"/>
              <w:rPr>
                <w:rFonts w:ascii="Calibri" w:hAnsi="Calibri"/>
                <w:b/>
                <w:bCs/>
                <w:color w:val="000000"/>
                <w:sz w:val="16"/>
                <w:szCs w:val="16"/>
              </w:rPr>
            </w:pPr>
            <w:r>
              <w:rPr>
                <w:rFonts w:ascii="Calibri" w:hAnsi="Calibri"/>
                <w:b/>
                <w:bCs/>
                <w:color w:val="000000"/>
                <w:sz w:val="16"/>
                <w:szCs w:val="16"/>
              </w:rPr>
              <w:t>CUENTA BANCARIA</w:t>
            </w:r>
          </w:p>
        </w:tc>
      </w:tr>
      <w:tr w:rsidR="0067472A" w:rsidTr="0067472A">
        <w:trPr>
          <w:trHeight w:val="225"/>
        </w:trPr>
        <w:tc>
          <w:tcPr>
            <w:tcW w:w="680" w:type="dxa"/>
            <w:tcBorders>
              <w:top w:val="single" w:sz="4" w:space="0" w:color="auto"/>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67472A">
            <w:pPr>
              <w:rPr>
                <w:rFonts w:ascii="Calibri" w:hAnsi="Calibri"/>
                <w:sz w:val="16"/>
                <w:szCs w:val="16"/>
              </w:rPr>
            </w:pPr>
            <w:r>
              <w:rPr>
                <w:rFonts w:ascii="Calibri" w:hAnsi="Calibri"/>
                <w:sz w:val="16"/>
                <w:szCs w:val="16"/>
              </w:rPr>
              <w:t> </w:t>
            </w:r>
          </w:p>
        </w:tc>
        <w:tc>
          <w:tcPr>
            <w:tcW w:w="5146"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67472A">
            <w:pPr>
              <w:rPr>
                <w:rFonts w:ascii="Calibri" w:hAnsi="Calibri"/>
                <w:b/>
                <w:bCs/>
                <w:sz w:val="16"/>
                <w:szCs w:val="16"/>
              </w:rPr>
            </w:pPr>
            <w:r>
              <w:rPr>
                <w:rFonts w:ascii="Calibri" w:hAnsi="Calibri"/>
                <w:b/>
                <w:bCs/>
                <w:sz w:val="16"/>
                <w:szCs w:val="16"/>
              </w:rPr>
              <w:t> </w:t>
            </w:r>
          </w:p>
        </w:tc>
        <w:tc>
          <w:tcPr>
            <w:tcW w:w="1134"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67472A">
            <w:pPr>
              <w:rPr>
                <w:rFonts w:ascii="Calibri" w:hAnsi="Calibri"/>
                <w:b/>
                <w:bCs/>
                <w:sz w:val="16"/>
                <w:szCs w:val="16"/>
              </w:rPr>
            </w:pPr>
            <w:r>
              <w:rPr>
                <w:rFonts w:ascii="Calibri" w:hAnsi="Calibri"/>
                <w:b/>
                <w:bCs/>
                <w:sz w:val="16"/>
                <w:szCs w:val="16"/>
              </w:rPr>
              <w:t> </w:t>
            </w:r>
          </w:p>
        </w:tc>
        <w:tc>
          <w:tcPr>
            <w:tcW w:w="1276"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67472A">
            <w:pPr>
              <w:rPr>
                <w:rFonts w:ascii="Calibri" w:hAnsi="Calibri"/>
                <w:b/>
                <w:bCs/>
                <w:sz w:val="16"/>
                <w:szCs w:val="16"/>
              </w:rPr>
            </w:pPr>
            <w:r>
              <w:rPr>
                <w:rFonts w:ascii="Calibri" w:hAnsi="Calibri"/>
                <w:b/>
                <w:bCs/>
                <w:sz w:val="16"/>
                <w:szCs w:val="16"/>
              </w:rPr>
              <w:t> </w:t>
            </w:r>
          </w:p>
        </w:tc>
        <w:tc>
          <w:tcPr>
            <w:tcW w:w="1275"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67472A">
            <w:pPr>
              <w:rPr>
                <w:rFonts w:ascii="Calibri" w:hAnsi="Calibri"/>
                <w:b/>
                <w:bCs/>
                <w:sz w:val="16"/>
                <w:szCs w:val="16"/>
              </w:rPr>
            </w:pPr>
            <w:r>
              <w:rPr>
                <w:rFonts w:ascii="Calibri" w:hAnsi="Calibri"/>
                <w:b/>
                <w:bCs/>
                <w:sz w:val="16"/>
                <w:szCs w:val="16"/>
              </w:rPr>
              <w:t> </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FAM AS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4058678111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FISE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4058678129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FAFEF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4058678137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SUBSIDIO ICAPET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4058678160</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PROEXOEES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4058678285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PROFOCIE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4058678293</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SUBSIDIO ORDINARIO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4058678301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SANEAMIENTO FINANCIERO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4058678319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SUBSIDIO CECYTEO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4058678277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SEGURO POPULAR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4058678566</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PROSPERA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4058678574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SEGURO MEDICO SIGLO XXI CAPITA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09.01.2015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4058912049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FONDO DE PROTECCION CONTRA GASTOS CATASTROFICOS HNO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4058912437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CAPUFE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 </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FORTALECIMIENTO DE LA POLITICA DE IGUALDAD EN EL ESTADO DE OAXACA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4058942244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PREVENCION DE LA VIOLENCIA CONTRA LAS MUJERES  CDI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HSBC</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4058942251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FONE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BANAMEX</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70103534885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FASSA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BANAMEX</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70103534893</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19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FAETA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BANAMEX</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70103771623</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AFASPE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22.12.2015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BANAMEX</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70103771631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CAPACITACIONES  FONART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22.03.2016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BANAMEX</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70107258408</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FASP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INTERACCIONES</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300169951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SUBSIDIO COBAO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16.12.2015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INTERACCIONES</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300170836</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IMPLEMENTACION DE LA REFORMA DEL SISTEMA DE JUSTICIA PENAL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INTERACCIONES</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300171662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UNIVERIDAD TECNOLOGICA DE LA SIERRA SUR DE OAXACA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19.01.2016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INTERACCIONES</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300172243</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UNIVERSIDAD TECNOLOGICA DE LA MIXTECA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21.01.2016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INTERACCIONES</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300172359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INSTITUTO TECNOLOGICO SUPERIOR DE SAN MIGUEL EL GRANDE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INTERACCIONES</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300175390</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DEL EDO DE OAX SEFIN FORTAMUN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19.11.2015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BANORTE</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0414378159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29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DEL EDO DE OAX SEFIN FISM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19.11.2015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BANORTE</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0414378131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DEL EDO OAX  SEFIN SUBSEMUN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BANORTE</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 </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DEL EDO DE OAX SEFIN SOCORRO DE LEY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12.01.2016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BANORTE</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0420406231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FORTASEG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07.03.2016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BANORTE</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424043344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CONADE ALTO RENDIMIENTO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19.04.2016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BANORTE</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435425571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FAM IEB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103309800</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FAM IES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103310868</w:t>
            </w:r>
          </w:p>
        </w:tc>
      </w:tr>
    </w:tbl>
    <w:p w:rsidR="0067472A" w:rsidRDefault="0067472A"/>
    <w:tbl>
      <w:tblPr>
        <w:tblW w:w="9511" w:type="dxa"/>
        <w:tblCellMar>
          <w:left w:w="0" w:type="dxa"/>
          <w:right w:w="0" w:type="dxa"/>
        </w:tblCellMar>
        <w:tblLook w:val="04A0"/>
      </w:tblPr>
      <w:tblGrid>
        <w:gridCol w:w="680"/>
        <w:gridCol w:w="5146"/>
        <w:gridCol w:w="1134"/>
        <w:gridCol w:w="1276"/>
        <w:gridCol w:w="1275"/>
      </w:tblGrid>
      <w:tr w:rsidR="0067472A" w:rsidTr="000A3F29">
        <w:trPr>
          <w:trHeight w:val="225"/>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color w:val="000000"/>
                <w:sz w:val="16"/>
                <w:szCs w:val="16"/>
              </w:rPr>
            </w:pPr>
            <w:r>
              <w:rPr>
                <w:rFonts w:ascii="Calibri" w:hAnsi="Calibri"/>
                <w:color w:val="000000"/>
                <w:sz w:val="16"/>
                <w:szCs w:val="16"/>
              </w:rPr>
              <w:t>Nº</w:t>
            </w:r>
          </w:p>
        </w:tc>
        <w:tc>
          <w:tcPr>
            <w:tcW w:w="5146" w:type="dxa"/>
            <w:vMerge w:val="restart"/>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P  R  O  G  R  A  M  A</w:t>
            </w:r>
          </w:p>
        </w:tc>
        <w:tc>
          <w:tcPr>
            <w:tcW w:w="3685" w:type="dxa"/>
            <w:gridSpan w:val="3"/>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DATOS DE LA CUENTA BANCARIA</w:t>
            </w:r>
          </w:p>
        </w:tc>
      </w:tr>
      <w:tr w:rsidR="0067472A" w:rsidTr="000A3F29">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472A" w:rsidRDefault="0067472A" w:rsidP="000A3F29">
            <w:pPr>
              <w:rPr>
                <w:rFonts w:ascii="Calibri" w:hAnsi="Calibri"/>
                <w:color w:val="000000"/>
                <w:sz w:val="16"/>
                <w:szCs w:val="16"/>
              </w:rPr>
            </w:pPr>
          </w:p>
        </w:tc>
        <w:tc>
          <w:tcPr>
            <w:tcW w:w="5146" w:type="dxa"/>
            <w:vMerge/>
            <w:tcBorders>
              <w:top w:val="single" w:sz="4" w:space="0" w:color="auto"/>
              <w:left w:val="single" w:sz="4" w:space="0" w:color="auto"/>
              <w:bottom w:val="single" w:sz="4" w:space="0" w:color="auto"/>
              <w:right w:val="single" w:sz="4" w:space="0" w:color="auto"/>
            </w:tcBorders>
            <w:vAlign w:val="center"/>
            <w:hideMark/>
          </w:tcPr>
          <w:p w:rsidR="0067472A" w:rsidRDefault="0067472A" w:rsidP="000A3F29">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FECHA DE APERTURA</w:t>
            </w:r>
          </w:p>
        </w:tc>
        <w:tc>
          <w:tcPr>
            <w:tcW w:w="1276"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INSTITUCION BANCARIA</w:t>
            </w:r>
          </w:p>
        </w:tc>
        <w:tc>
          <w:tcPr>
            <w:tcW w:w="1275"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CUENTA BANCARIA</w:t>
            </w:r>
          </w:p>
        </w:tc>
      </w:tr>
      <w:tr w:rsidR="0067472A" w:rsidTr="000A3F29">
        <w:trPr>
          <w:trHeight w:val="225"/>
        </w:trPr>
        <w:tc>
          <w:tcPr>
            <w:tcW w:w="680" w:type="dxa"/>
            <w:tcBorders>
              <w:top w:val="single" w:sz="4" w:space="0" w:color="auto"/>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sz w:val="16"/>
                <w:szCs w:val="16"/>
              </w:rPr>
            </w:pPr>
          </w:p>
        </w:tc>
        <w:tc>
          <w:tcPr>
            <w:tcW w:w="5146"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c>
          <w:tcPr>
            <w:tcW w:w="1134"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c>
          <w:tcPr>
            <w:tcW w:w="1276"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c>
          <w:tcPr>
            <w:tcW w:w="1275"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FPP CENTRO DE SALUD COLONIA ESTRELLA  EQUIPAMIENTO</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16.12.2015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103482294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PAF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103470202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COMUNIDADES DIFERENTES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104413237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39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CRUZADA NACIONAL CONTRA EL HAMBRE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104413601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DE FORTALECIMIENTO DE LA CALIDAD EDUCATIVA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104285883</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DE INCLUSION Y LA EQUIDAD EDUCATIVA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104286405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NACIONAL DE INGLES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104286731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NACIONAL DE CONVIVENCIA ESCOLAR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104287045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NACIONAL DE BECAS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104287185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ESCUELAS DE TIEMPO COMPLETO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104287525</w:t>
            </w:r>
          </w:p>
        </w:tc>
      </w:tr>
      <w:tr w:rsidR="0067472A" w:rsidTr="0067472A">
        <w:trPr>
          <w:trHeight w:val="450"/>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PARA EL DESARROLLO REGIONAL TURISTICO SUSTENTABLE Y PUEBLOS MAGICOS (PRODERMAGICO)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05.02.2016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104287959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IDENTIFICACIÒN SEMI O AUTOMÀTICA DE DESLAVES CONACYT UMAR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17.02.2016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104477812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TELEBACHILLERATO COMUNITARIO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26.02.2016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104694597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49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“PROYECTO DE DOTACION DE INSTRUMENTOS MUSICALES A BANDAS INFANTILES DEL  ESTADO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26.02.2016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104701291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“DOTACION DE INSTRUMENTOS MUSICALES A COMUNIDADES DE OAXACA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26.02.2016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104701658</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PAIMEF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104865715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CENTROS PARA EL DESARROLLO DE LAS MUJERES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BBVA BANCOMER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104865537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DEL ISTMO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9202818787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 LA SIERRA JUAREZ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9202818795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 LA CAÑADA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17.12.2015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9202818752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COLEGIO SUPERIOR INTERCULTURAL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06.01.2015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9202818868</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GOBE DO OAX SEFIN CECAM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06.01.2016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9202818876</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ATENCION A LA DEMANDA EDUCATIVA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18.01.2016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9202818922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59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SEGURO MEDICO SIGLO XXI  2016  HNO</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18.01.2016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9202818930</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DEL MAR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9202818833</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TECNOLOGICA DE LOS VALLE CENTRALES DE OAXACA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12.01.2016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9202808841</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NACIONAL DE PREVENCION DEL DELITO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26.02.2016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9202845318</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FASP APORTACION ESTATAL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09.03.2016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9202845350</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PREVENCION Y TRATAMIENTO DE ADICCIONES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SCOTIABANK</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9202845342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 LA SIERRA SUR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65505349624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DEL PAPALOAPAN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65505349686</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RECONOCIMIENTO DE PLANTILLAS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65505353372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FECES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65505353415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69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CARRERA DOCENTE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65505353463</w:t>
            </w:r>
          </w:p>
        </w:tc>
      </w:tr>
    </w:tbl>
    <w:p w:rsidR="0067472A" w:rsidRDefault="0067472A"/>
    <w:tbl>
      <w:tblPr>
        <w:tblW w:w="9511" w:type="dxa"/>
        <w:tblCellMar>
          <w:left w:w="0" w:type="dxa"/>
          <w:right w:w="0" w:type="dxa"/>
        </w:tblCellMar>
        <w:tblLook w:val="04A0"/>
      </w:tblPr>
      <w:tblGrid>
        <w:gridCol w:w="680"/>
        <w:gridCol w:w="5146"/>
        <w:gridCol w:w="1134"/>
        <w:gridCol w:w="1276"/>
        <w:gridCol w:w="1275"/>
      </w:tblGrid>
      <w:tr w:rsidR="0067472A" w:rsidTr="000A3F29">
        <w:trPr>
          <w:trHeight w:val="225"/>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color w:val="000000"/>
                <w:sz w:val="16"/>
                <w:szCs w:val="16"/>
              </w:rPr>
            </w:pPr>
            <w:r>
              <w:rPr>
                <w:rFonts w:ascii="Calibri" w:hAnsi="Calibri"/>
                <w:color w:val="000000"/>
                <w:sz w:val="16"/>
                <w:szCs w:val="16"/>
              </w:rPr>
              <w:t>Nº</w:t>
            </w:r>
          </w:p>
        </w:tc>
        <w:tc>
          <w:tcPr>
            <w:tcW w:w="5146" w:type="dxa"/>
            <w:vMerge w:val="restart"/>
            <w:tcBorders>
              <w:top w:val="single" w:sz="4" w:space="0" w:color="auto"/>
              <w:left w:val="single" w:sz="4" w:space="0" w:color="auto"/>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P  R  O  G  R  A  M  A</w:t>
            </w:r>
          </w:p>
        </w:tc>
        <w:tc>
          <w:tcPr>
            <w:tcW w:w="3685" w:type="dxa"/>
            <w:gridSpan w:val="3"/>
            <w:tcBorders>
              <w:top w:val="single" w:sz="4" w:space="0" w:color="auto"/>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DATOS DE LA CUENTA BANCARIA</w:t>
            </w:r>
          </w:p>
        </w:tc>
      </w:tr>
      <w:tr w:rsidR="0067472A" w:rsidTr="000A3F29">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472A" w:rsidRDefault="0067472A" w:rsidP="000A3F29">
            <w:pPr>
              <w:rPr>
                <w:rFonts w:ascii="Calibri" w:hAnsi="Calibri"/>
                <w:color w:val="000000"/>
                <w:sz w:val="16"/>
                <w:szCs w:val="16"/>
              </w:rPr>
            </w:pPr>
          </w:p>
        </w:tc>
        <w:tc>
          <w:tcPr>
            <w:tcW w:w="5146" w:type="dxa"/>
            <w:vMerge/>
            <w:tcBorders>
              <w:top w:val="single" w:sz="4" w:space="0" w:color="auto"/>
              <w:left w:val="single" w:sz="4" w:space="0" w:color="auto"/>
              <w:bottom w:val="single" w:sz="4" w:space="0" w:color="auto"/>
              <w:right w:val="single" w:sz="4" w:space="0" w:color="auto"/>
            </w:tcBorders>
            <w:vAlign w:val="center"/>
            <w:hideMark/>
          </w:tcPr>
          <w:p w:rsidR="0067472A" w:rsidRDefault="0067472A" w:rsidP="000A3F29">
            <w:pPr>
              <w:rPr>
                <w:rFonts w:ascii="Calibri" w:hAnsi="Calibri"/>
                <w:b/>
                <w:bCs/>
                <w:color w:val="000000"/>
                <w:sz w:val="16"/>
                <w:szCs w:val="16"/>
              </w:rPr>
            </w:pPr>
          </w:p>
        </w:tc>
        <w:tc>
          <w:tcPr>
            <w:tcW w:w="1134"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FECHA DE APERTURA</w:t>
            </w:r>
          </w:p>
        </w:tc>
        <w:tc>
          <w:tcPr>
            <w:tcW w:w="1276"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INSTITUCION BANCARIA</w:t>
            </w:r>
          </w:p>
        </w:tc>
        <w:tc>
          <w:tcPr>
            <w:tcW w:w="1275" w:type="dxa"/>
            <w:tcBorders>
              <w:top w:val="nil"/>
              <w:left w:val="nil"/>
              <w:bottom w:val="single" w:sz="4" w:space="0" w:color="auto"/>
              <w:right w:val="single" w:sz="4" w:space="0" w:color="auto"/>
            </w:tcBorders>
            <w:shd w:val="clear" w:color="000000" w:fill="D8D8D8"/>
            <w:tcMar>
              <w:top w:w="14" w:type="dxa"/>
              <w:left w:w="14" w:type="dxa"/>
              <w:bottom w:w="0" w:type="dxa"/>
              <w:right w:w="14" w:type="dxa"/>
            </w:tcMar>
            <w:vAlign w:val="center"/>
            <w:hideMark/>
          </w:tcPr>
          <w:p w:rsidR="0067472A" w:rsidRDefault="0067472A" w:rsidP="000A3F29">
            <w:pPr>
              <w:jc w:val="center"/>
              <w:rPr>
                <w:rFonts w:ascii="Calibri" w:hAnsi="Calibri"/>
                <w:b/>
                <w:bCs/>
                <w:color w:val="000000"/>
                <w:sz w:val="16"/>
                <w:szCs w:val="16"/>
              </w:rPr>
            </w:pPr>
            <w:r>
              <w:rPr>
                <w:rFonts w:ascii="Calibri" w:hAnsi="Calibri"/>
                <w:b/>
                <w:bCs/>
                <w:color w:val="000000"/>
                <w:sz w:val="16"/>
                <w:szCs w:val="16"/>
              </w:rPr>
              <w:t>CUENTA BANCARIA</w:t>
            </w:r>
          </w:p>
        </w:tc>
      </w:tr>
      <w:tr w:rsidR="0067472A" w:rsidTr="000A3F29">
        <w:trPr>
          <w:trHeight w:val="225"/>
        </w:trPr>
        <w:tc>
          <w:tcPr>
            <w:tcW w:w="680" w:type="dxa"/>
            <w:tcBorders>
              <w:top w:val="single" w:sz="4" w:space="0" w:color="auto"/>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sz w:val="16"/>
                <w:szCs w:val="16"/>
              </w:rPr>
            </w:pPr>
            <w:r>
              <w:rPr>
                <w:rFonts w:ascii="Calibri" w:hAnsi="Calibri"/>
                <w:sz w:val="16"/>
                <w:szCs w:val="16"/>
              </w:rPr>
              <w:t> </w:t>
            </w:r>
          </w:p>
        </w:tc>
        <w:tc>
          <w:tcPr>
            <w:tcW w:w="5146"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c>
          <w:tcPr>
            <w:tcW w:w="1134"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c>
          <w:tcPr>
            <w:tcW w:w="1276"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c>
          <w:tcPr>
            <w:tcW w:w="1275" w:type="dxa"/>
            <w:tcBorders>
              <w:top w:val="single" w:sz="4" w:space="0" w:color="auto"/>
              <w:left w:val="nil"/>
              <w:bottom w:val="single" w:sz="4" w:space="0" w:color="auto"/>
              <w:right w:val="nil"/>
            </w:tcBorders>
            <w:shd w:val="clear" w:color="auto" w:fill="auto"/>
            <w:tcMar>
              <w:top w:w="14" w:type="dxa"/>
              <w:left w:w="14" w:type="dxa"/>
              <w:bottom w:w="0" w:type="dxa"/>
              <w:right w:w="14" w:type="dxa"/>
            </w:tcMar>
            <w:vAlign w:val="center"/>
            <w:hideMark/>
          </w:tcPr>
          <w:p w:rsidR="0067472A" w:rsidRDefault="0067472A" w:rsidP="000A3F29">
            <w:pPr>
              <w:rPr>
                <w:rFonts w:ascii="Calibri" w:hAnsi="Calibri"/>
                <w:b/>
                <w:bCs/>
                <w:sz w:val="16"/>
                <w:szCs w:val="16"/>
              </w:rPr>
            </w:pPr>
            <w:r>
              <w:rPr>
                <w:rFonts w:ascii="Calibri" w:hAnsi="Calibri"/>
                <w:b/>
                <w:bCs/>
                <w:sz w:val="16"/>
                <w:szCs w:val="16"/>
              </w:rPr>
              <w:t> </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PRODEP UABJO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65505353494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71</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 LA SIERRA SUR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65505349624</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72</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UNIVERSIDAD DEL PAPALOAPAN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14.12.2015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65505349686</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73</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SEGURO MEDICO SIGLO XXI INTERVENCIONES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65505382697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74</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FONDO DE PROTECCION CONTRA GASTOS CATASTROFICOS 2016 SSO</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08.01.2016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65505382757</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75</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PROGRAMA DE LA REFORMA EDUCATIVA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15.01.2016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65505395945</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76</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rPr>
                <w:rFonts w:ascii="Calibri" w:hAnsi="Calibri"/>
                <w:color w:val="000000"/>
                <w:sz w:val="16"/>
                <w:szCs w:val="16"/>
              </w:rPr>
            </w:pPr>
            <w:r>
              <w:rPr>
                <w:rFonts w:ascii="Calibri" w:hAnsi="Calibri"/>
                <w:color w:val="000000"/>
                <w:sz w:val="16"/>
                <w:szCs w:val="16"/>
              </w:rPr>
              <w:t>GOB EDO OAX SEFIN INSTITUTO TECNOLOGICO SUPERIOR DE TEPOSCOLULA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04.02.2016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65505464232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77</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01CNF/GEO/RC/2016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09.03.2016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65505521562</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78</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DESARROLLO DE DESTINOS TURISTICOS DIVERSIFICADOS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03.03.2016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65505510006</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79</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PROII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15.03.2016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65505530179</w:t>
            </w:r>
          </w:p>
        </w:tc>
      </w:tr>
      <w:tr w:rsidR="0067472A" w:rsidTr="0067472A">
        <w:trPr>
          <w:trHeight w:val="225"/>
        </w:trPr>
        <w:tc>
          <w:tcPr>
            <w:tcW w:w="680" w:type="dxa"/>
            <w:tcBorders>
              <w:top w:val="nil"/>
              <w:left w:val="single" w:sz="4" w:space="0" w:color="auto"/>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jc w:val="center"/>
              <w:rPr>
                <w:rFonts w:ascii="Calibri" w:hAnsi="Calibri"/>
                <w:color w:val="000000"/>
                <w:sz w:val="16"/>
                <w:szCs w:val="16"/>
              </w:rPr>
            </w:pPr>
            <w:r>
              <w:rPr>
                <w:rFonts w:ascii="Calibri" w:hAnsi="Calibri"/>
                <w:color w:val="000000"/>
                <w:sz w:val="16"/>
                <w:szCs w:val="16"/>
              </w:rPr>
              <w:t>80</w:t>
            </w:r>
          </w:p>
        </w:tc>
        <w:tc>
          <w:tcPr>
            <w:tcW w:w="514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bottom"/>
            <w:hideMark/>
          </w:tcPr>
          <w:p w:rsidR="0067472A" w:rsidRDefault="0067472A">
            <w:pPr>
              <w:rPr>
                <w:rFonts w:ascii="Calibri" w:hAnsi="Calibri"/>
                <w:color w:val="000000"/>
                <w:sz w:val="16"/>
                <w:szCs w:val="16"/>
              </w:rPr>
            </w:pPr>
            <w:r>
              <w:rPr>
                <w:rFonts w:ascii="Calibri" w:hAnsi="Calibri"/>
                <w:color w:val="000000"/>
                <w:sz w:val="16"/>
                <w:szCs w:val="16"/>
              </w:rPr>
              <w:t>GOB EDO OAX SEFIN  FONDO PRODUCTORES DE HIDROCARBUROS 2016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17.03.2016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SANTANDER</w:t>
            </w:r>
          </w:p>
        </w:tc>
        <w:tc>
          <w:tcPr>
            <w:tcW w:w="127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472A" w:rsidRDefault="0067472A">
            <w:pPr>
              <w:jc w:val="center"/>
              <w:rPr>
                <w:rFonts w:ascii="Calibri" w:hAnsi="Calibri"/>
                <w:color w:val="000000"/>
                <w:sz w:val="16"/>
                <w:szCs w:val="16"/>
              </w:rPr>
            </w:pPr>
            <w:r>
              <w:rPr>
                <w:rFonts w:ascii="Calibri" w:hAnsi="Calibri"/>
                <w:color w:val="000000"/>
                <w:sz w:val="16"/>
                <w:szCs w:val="16"/>
              </w:rPr>
              <w:t>65505535466</w:t>
            </w:r>
          </w:p>
        </w:tc>
      </w:tr>
    </w:tbl>
    <w:p w:rsidR="003A64A5" w:rsidRDefault="0067472A">
      <w:pPr>
        <w:rPr>
          <w:rFonts w:ascii="Arial" w:eastAsia="MS Mincho" w:hAnsi="Arial" w:cs="Arial"/>
          <w:b/>
          <w:bCs/>
          <w:lang w:val="es-MX"/>
        </w:rPr>
      </w:pPr>
      <w:r>
        <w:rPr>
          <w:rFonts w:ascii="Arial" w:eastAsia="MS Mincho" w:hAnsi="Arial" w:cs="Arial"/>
          <w:b/>
          <w:bCs/>
          <w:lang w:val="es-MX"/>
        </w:rPr>
        <w:t xml:space="preserve"> </w:t>
      </w:r>
    </w:p>
    <w:p w:rsidR="003A64A5" w:rsidRDefault="003A64A5">
      <w:pPr>
        <w:rPr>
          <w:rFonts w:ascii="Arial" w:eastAsia="MS Mincho" w:hAnsi="Arial" w:cs="Arial"/>
          <w:b/>
          <w:bCs/>
          <w:lang w:val="es-MX"/>
        </w:rPr>
      </w:pPr>
      <w:r>
        <w:rPr>
          <w:rFonts w:ascii="Arial" w:eastAsia="MS Mincho" w:hAnsi="Arial" w:cs="Arial"/>
          <w:b/>
          <w:bCs/>
          <w:lang w:val="es-MX"/>
        </w:rPr>
        <w:br w:type="page"/>
      </w:r>
    </w:p>
    <w:p w:rsidR="003A64A5" w:rsidRDefault="003A64A5" w:rsidP="003A64A5">
      <w:pPr>
        <w:spacing w:after="240"/>
        <w:contextualSpacing/>
        <w:jc w:val="both"/>
        <w:rPr>
          <w:rFonts w:ascii="Arial" w:hAnsi="Arial" w:cs="Arial"/>
          <w:b/>
          <w:kern w:val="2"/>
          <w:lang w:eastAsia="en-US"/>
        </w:rPr>
      </w:pPr>
      <w:r>
        <w:rPr>
          <w:rFonts w:ascii="Arial" w:hAnsi="Arial" w:cs="Arial"/>
          <w:b/>
          <w:kern w:val="2"/>
          <w:lang w:eastAsia="en-US"/>
        </w:rPr>
        <w:t>14.4.- PROGRAMAS BIENESTAR</w:t>
      </w:r>
    </w:p>
    <w:p w:rsidR="003A64A5" w:rsidRDefault="003A64A5" w:rsidP="003A64A5">
      <w:pPr>
        <w:spacing w:after="240"/>
        <w:contextualSpacing/>
        <w:jc w:val="both"/>
        <w:rPr>
          <w:rFonts w:ascii="Arial" w:hAnsi="Arial" w:cs="Arial"/>
          <w:b/>
          <w:kern w:val="2"/>
          <w:lang w:eastAsia="en-US"/>
        </w:rPr>
      </w:pPr>
    </w:p>
    <w:p w:rsidR="003A64A5" w:rsidRDefault="003A64A5" w:rsidP="003A64A5">
      <w:pPr>
        <w:spacing w:after="240"/>
        <w:contextualSpacing/>
        <w:jc w:val="both"/>
        <w:rPr>
          <w:rFonts w:ascii="Arial" w:hAnsi="Arial" w:cs="Arial"/>
          <w:b/>
          <w:kern w:val="2"/>
          <w:lang w:eastAsia="en-US"/>
        </w:rPr>
      </w:pPr>
    </w:p>
    <w:p w:rsidR="003A64A5" w:rsidRDefault="003A64A5" w:rsidP="003A64A5">
      <w:pPr>
        <w:spacing w:after="240"/>
        <w:contextualSpacing/>
        <w:jc w:val="both"/>
        <w:rPr>
          <w:rFonts w:ascii="Arial" w:hAnsi="Arial" w:cs="Arial"/>
          <w:b/>
          <w:kern w:val="2"/>
          <w:lang w:eastAsia="en-US"/>
        </w:rPr>
      </w:pPr>
    </w:p>
    <w:p w:rsidR="003A64A5" w:rsidRDefault="003A64A5" w:rsidP="003A64A5">
      <w:pPr>
        <w:spacing w:after="240"/>
        <w:contextualSpacing/>
        <w:jc w:val="both"/>
        <w:rPr>
          <w:rFonts w:ascii="Arial" w:hAnsi="Arial" w:cs="Arial"/>
          <w:b/>
          <w:kern w:val="2"/>
          <w:lang w:eastAsia="en-US"/>
        </w:rPr>
      </w:pPr>
    </w:p>
    <w:p w:rsidR="003A64A5" w:rsidRDefault="003A64A5" w:rsidP="003A64A5">
      <w:pPr>
        <w:spacing w:after="240"/>
        <w:contextualSpacing/>
        <w:jc w:val="both"/>
        <w:rPr>
          <w:rFonts w:ascii="Arial" w:hAnsi="Arial" w:cs="Arial"/>
          <w:b/>
          <w:kern w:val="2"/>
          <w:lang w:eastAsia="en-US"/>
        </w:rPr>
      </w:pPr>
      <w:r w:rsidRPr="00CC2E12">
        <w:rPr>
          <w:noProof/>
          <w:lang w:val="es-MX" w:eastAsia="es-MX"/>
        </w:rPr>
        <w:drawing>
          <wp:inline distT="0" distB="0" distL="0" distR="0">
            <wp:extent cx="5882005" cy="4994263"/>
            <wp:effectExtent l="19050" t="0" r="4445"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srcRect/>
                    <a:stretch>
                      <a:fillRect/>
                    </a:stretch>
                  </pic:blipFill>
                  <pic:spPr bwMode="auto">
                    <a:xfrm>
                      <a:off x="0" y="0"/>
                      <a:ext cx="5882005" cy="4994263"/>
                    </a:xfrm>
                    <a:prstGeom prst="rect">
                      <a:avLst/>
                    </a:prstGeom>
                    <a:noFill/>
                    <a:ln w="9525">
                      <a:noFill/>
                      <a:miter lim="800000"/>
                      <a:headEnd/>
                      <a:tailEnd/>
                    </a:ln>
                  </pic:spPr>
                </pic:pic>
              </a:graphicData>
            </a:graphic>
          </wp:inline>
        </w:drawing>
      </w:r>
    </w:p>
    <w:p w:rsidR="00F82EA1" w:rsidRDefault="003A64A5" w:rsidP="003A64A5">
      <w:pPr>
        <w:rPr>
          <w:rFonts w:ascii="Arial" w:eastAsia="MS Mincho" w:hAnsi="Arial" w:cs="Arial"/>
          <w:b/>
          <w:bCs/>
          <w:lang w:val="es-MX"/>
        </w:rPr>
      </w:pPr>
      <w:r>
        <w:rPr>
          <w:rFonts w:ascii="Arial" w:hAnsi="Arial" w:cs="Arial"/>
          <w:b/>
          <w:kern w:val="2"/>
          <w:lang w:eastAsia="en-US"/>
        </w:rPr>
        <w:br w:type="page"/>
      </w:r>
    </w:p>
    <w:p w:rsidR="00F82EA1" w:rsidRDefault="00F82EA1" w:rsidP="004C1D27">
      <w:pPr>
        <w:spacing w:after="240"/>
        <w:contextualSpacing/>
        <w:jc w:val="both"/>
        <w:rPr>
          <w:rFonts w:ascii="Arial" w:eastAsia="MS Mincho" w:hAnsi="Arial" w:cs="Arial"/>
          <w:b/>
          <w:bCs/>
          <w:lang w:val="es-MX"/>
        </w:rPr>
      </w:pPr>
      <w:r w:rsidRPr="00F82EA1">
        <w:rPr>
          <w:rFonts w:ascii="Arial" w:eastAsia="MS Mincho" w:hAnsi="Arial" w:cs="Arial"/>
          <w:b/>
          <w:bCs/>
          <w:lang w:val="es-MX"/>
        </w:rPr>
        <w:t>1</w:t>
      </w:r>
      <w:r w:rsidR="003A64A5">
        <w:rPr>
          <w:rFonts w:ascii="Arial" w:eastAsia="MS Mincho" w:hAnsi="Arial" w:cs="Arial"/>
          <w:b/>
          <w:bCs/>
          <w:lang w:val="es-MX"/>
        </w:rPr>
        <w:t>4</w:t>
      </w:r>
      <w:r w:rsidRPr="00F82EA1">
        <w:rPr>
          <w:rFonts w:ascii="Arial" w:eastAsia="MS Mincho" w:hAnsi="Arial" w:cs="Arial"/>
          <w:b/>
          <w:bCs/>
          <w:lang w:val="es-MX"/>
        </w:rPr>
        <w:t>.</w:t>
      </w:r>
      <w:r w:rsidR="003A64A5">
        <w:rPr>
          <w:rFonts w:ascii="Arial" w:eastAsia="MS Mincho" w:hAnsi="Arial" w:cs="Arial"/>
          <w:b/>
          <w:bCs/>
          <w:lang w:val="es-MX"/>
        </w:rPr>
        <w:t>6</w:t>
      </w:r>
      <w:r w:rsidRPr="00F82EA1">
        <w:rPr>
          <w:rFonts w:ascii="Arial" w:eastAsia="MS Mincho" w:hAnsi="Arial" w:cs="Arial"/>
          <w:b/>
          <w:bCs/>
          <w:lang w:val="es-MX"/>
        </w:rPr>
        <w:t>.- TÍTULO V DE LA LEY GENERAL DE CONTABILIDAD GUBERNAMENTAL, REFERENTE A LA TRANSPARENCIA Y DIFUSIÓN DE LA INFORMACIÓN FINANCIERA</w:t>
      </w:r>
    </w:p>
    <w:p w:rsidR="00F82EA1" w:rsidRDefault="00F82EA1" w:rsidP="004C1D27">
      <w:pPr>
        <w:spacing w:after="240"/>
        <w:contextualSpacing/>
        <w:jc w:val="both"/>
        <w:rPr>
          <w:rFonts w:ascii="Arial" w:eastAsia="MS Mincho" w:hAnsi="Arial" w:cs="Arial"/>
          <w:b/>
          <w:bCs/>
          <w:lang w:val="es-MX"/>
        </w:rPr>
      </w:pPr>
    </w:p>
    <w:p w:rsidR="0065320B" w:rsidRPr="0015397E" w:rsidRDefault="0065320B" w:rsidP="0065320B">
      <w:pPr>
        <w:jc w:val="both"/>
        <w:rPr>
          <w:rFonts w:cstheme="minorHAnsi"/>
        </w:rPr>
      </w:pPr>
    </w:p>
    <w:p w:rsidR="0065320B" w:rsidRPr="0065320B" w:rsidRDefault="0065320B" w:rsidP="00124C45">
      <w:pPr>
        <w:pStyle w:val="Prrafodelista"/>
        <w:numPr>
          <w:ilvl w:val="0"/>
          <w:numId w:val="12"/>
        </w:numPr>
        <w:spacing w:after="240"/>
        <w:contextualSpacing/>
        <w:jc w:val="both"/>
        <w:rPr>
          <w:rFonts w:ascii="Arial" w:hAnsi="Arial" w:cs="Arial"/>
          <w:kern w:val="2"/>
          <w:sz w:val="24"/>
          <w:szCs w:val="24"/>
          <w:lang w:eastAsia="en-US"/>
        </w:rPr>
      </w:pPr>
      <w:r w:rsidRPr="0065320B">
        <w:rPr>
          <w:rFonts w:ascii="Arial" w:hAnsi="Arial" w:cs="Arial"/>
          <w:kern w:val="2"/>
          <w:lang w:eastAsia="en-US"/>
        </w:rPr>
        <w:t>En apego al artículo 67 de la Ley General de Contabilidad Gubernamental, los entes obligados publicarán en Internet la información sobre los montos efectivamente pagados durante el periodo por concepto de montos pagados de ayudas y subsidios a los sectores económicos y sociales</w:t>
      </w:r>
      <w:r w:rsidRPr="0065320B">
        <w:rPr>
          <w:rFonts w:ascii="Arial" w:hAnsi="Arial" w:cs="Arial"/>
          <w:kern w:val="2"/>
          <w:sz w:val="24"/>
          <w:szCs w:val="24"/>
          <w:lang w:eastAsia="en-US"/>
        </w:rPr>
        <w:t xml:space="preserve">. </w:t>
      </w:r>
    </w:p>
    <w:p w:rsidR="0065320B" w:rsidRPr="0065320B" w:rsidRDefault="000306A2" w:rsidP="0065320B">
      <w:pPr>
        <w:spacing w:after="240"/>
        <w:ind w:firstLine="709"/>
        <w:contextualSpacing/>
        <w:jc w:val="both"/>
        <w:rPr>
          <w:rFonts w:ascii="Arial" w:hAnsi="Arial" w:cs="Arial"/>
          <w:kern w:val="2"/>
          <w:lang w:eastAsia="en-US"/>
        </w:rPr>
      </w:pPr>
      <w:hyperlink r:id="rId111" w:history="1">
        <w:r w:rsidR="0065320B" w:rsidRPr="0065320B">
          <w:rPr>
            <w:rFonts w:ascii="Arial" w:hAnsi="Arial" w:cs="Arial"/>
            <w:kern w:val="2"/>
            <w:lang w:eastAsia="en-US"/>
          </w:rPr>
          <w:t>http://www.finanzasoaxaca.gob.mx/ceaco/infinanciera/montos.html</w:t>
        </w:r>
      </w:hyperlink>
    </w:p>
    <w:p w:rsidR="0065320B" w:rsidRPr="0065320B" w:rsidRDefault="0065320B" w:rsidP="0065320B">
      <w:pPr>
        <w:spacing w:after="240"/>
        <w:contextualSpacing/>
        <w:jc w:val="both"/>
        <w:rPr>
          <w:rFonts w:ascii="Arial" w:hAnsi="Arial" w:cs="Arial"/>
          <w:kern w:val="2"/>
          <w:lang w:eastAsia="en-US"/>
        </w:rPr>
      </w:pPr>
    </w:p>
    <w:p w:rsid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En apego al artículo 68 de la Ley General de Contabilidad Gubernamental en los programas en que concurran recursos federales, de las entidades federativas y, en su caso, municipios y demarcaciones territoriales del Distrito Federal (CDMX), se harán las anotaciones respectivas identificando el monto correspondiente a cada orden de gobierno.</w:t>
      </w:r>
    </w:p>
    <w:p w:rsidR="0065320B" w:rsidRPr="0065320B" w:rsidRDefault="0065320B" w:rsidP="0065320B">
      <w:pPr>
        <w:spacing w:after="240"/>
        <w:ind w:firstLine="360"/>
        <w:contextualSpacing/>
        <w:jc w:val="both"/>
        <w:rPr>
          <w:rFonts w:ascii="Arial" w:hAnsi="Arial" w:cs="Arial"/>
          <w:kern w:val="2"/>
          <w:lang w:eastAsia="en-US"/>
        </w:rPr>
      </w:pPr>
      <w:r w:rsidRPr="0065320B">
        <w:rPr>
          <w:rFonts w:ascii="Arial" w:hAnsi="Arial" w:cs="Arial"/>
          <w:kern w:val="2"/>
          <w:lang w:eastAsia="en-US"/>
        </w:rPr>
        <w:t xml:space="preserve"> </w:t>
      </w:r>
      <w:r>
        <w:rPr>
          <w:rFonts w:ascii="Arial" w:hAnsi="Arial" w:cs="Arial"/>
          <w:kern w:val="2"/>
          <w:lang w:eastAsia="en-US"/>
        </w:rPr>
        <w:tab/>
      </w:r>
      <w:hyperlink r:id="rId112" w:history="1">
        <w:r w:rsidRPr="0065320B">
          <w:rPr>
            <w:rFonts w:ascii="Arial" w:hAnsi="Arial" w:cs="Arial"/>
            <w:kern w:val="2"/>
            <w:lang w:eastAsia="en-US"/>
          </w:rPr>
          <w:t>http://www.finanzasoaxaca.gob.mx/ceaco/infinanciera/programa_recursos.html</w:t>
        </w:r>
      </w:hyperlink>
      <w:r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P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En apego al artículo 69 de la Ley General de Contabilidad Gubernamental, para la presentación de la información financiera y la cuenta pública los entes obligados incluirán la relación de las cuentas bancarias productivas específicas, en las cuales se depositaron los recursos federales transferidos, por cualquier concepto, durante el ejercicio fiscal correspondiente.</w:t>
      </w:r>
    </w:p>
    <w:p w:rsidR="0065320B" w:rsidRPr="0065320B" w:rsidRDefault="000306A2" w:rsidP="0065320B">
      <w:pPr>
        <w:spacing w:after="240"/>
        <w:ind w:firstLine="709"/>
        <w:contextualSpacing/>
        <w:jc w:val="both"/>
        <w:rPr>
          <w:rFonts w:ascii="Arial" w:hAnsi="Arial" w:cs="Arial"/>
          <w:kern w:val="2"/>
          <w:lang w:eastAsia="en-US"/>
        </w:rPr>
      </w:pPr>
      <w:hyperlink r:id="rId113" w:history="1">
        <w:r w:rsidR="0065320B" w:rsidRPr="0065320B">
          <w:rPr>
            <w:rFonts w:ascii="Arial" w:hAnsi="Arial" w:cs="Arial"/>
            <w:kern w:val="2"/>
            <w:lang w:eastAsia="en-US"/>
          </w:rPr>
          <w:t>http://www.finanzasoaxaca.gob.mx/ceaco/infinanciera/cuentas.html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 xml:space="preserve">En apego al artículo 73 de la Ley General de Contabilidad Gubernamental, sin perjuicio de lo dispuesto en otros ordenamientos, las entidades federativas deberán presentar información relativa al Fondo de Aportaciones para la Educación Tecnológica y de Adultos  (FAETA). </w:t>
      </w:r>
    </w:p>
    <w:p w:rsidR="0065320B" w:rsidRPr="0065320B" w:rsidRDefault="000306A2" w:rsidP="0065320B">
      <w:pPr>
        <w:spacing w:after="240"/>
        <w:ind w:firstLine="709"/>
        <w:contextualSpacing/>
        <w:jc w:val="both"/>
        <w:rPr>
          <w:rFonts w:ascii="Arial" w:hAnsi="Arial" w:cs="Arial"/>
          <w:kern w:val="2"/>
          <w:lang w:eastAsia="en-US"/>
        </w:rPr>
      </w:pPr>
      <w:hyperlink r:id="rId114" w:history="1">
        <w:r w:rsidR="0065320B" w:rsidRPr="0065320B">
          <w:rPr>
            <w:rFonts w:ascii="Arial" w:hAnsi="Arial" w:cs="Arial"/>
            <w:kern w:val="2"/>
            <w:lang w:eastAsia="en-US"/>
          </w:rPr>
          <w:t>http://www.finanzasoaxaca.gob.mx/ceaco/infinanciera/aportaciones.html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P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 xml:space="preserve">En apego al artículo 74 de la Ley General de Contabilidad Gubernamental, sin perjuicio de lo dispuesto en otros ordenamientos, las entidades federativas deberán presentar información relativa a las Aportaciones Federales en Materia de Salud. </w:t>
      </w:r>
    </w:p>
    <w:p w:rsidR="0065320B" w:rsidRPr="0065320B" w:rsidRDefault="000306A2" w:rsidP="0065320B">
      <w:pPr>
        <w:spacing w:after="240"/>
        <w:ind w:firstLine="709"/>
        <w:contextualSpacing/>
        <w:jc w:val="both"/>
        <w:rPr>
          <w:rFonts w:ascii="Arial" w:hAnsi="Arial" w:cs="Arial"/>
          <w:kern w:val="2"/>
          <w:lang w:eastAsia="en-US"/>
        </w:rPr>
      </w:pPr>
      <w:hyperlink r:id="rId115" w:history="1">
        <w:r w:rsidR="0065320B" w:rsidRPr="0065320B">
          <w:rPr>
            <w:rFonts w:ascii="Arial" w:hAnsi="Arial" w:cs="Arial"/>
            <w:kern w:val="2"/>
            <w:lang w:eastAsia="en-US"/>
          </w:rPr>
          <w:t>http://www.finanzasoaxaca.gob.mx/ceaco/infinanciera/fondo_salud.html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 xml:space="preserve">En apego al artículo 76 de la Ley General de Contabilidad Gubernamental, los entes públicos difundirán en Internet la información relativa al Fondo de Aportaciones para el Fortalecimiento de los Municipios y de las Demarcaciones Territoriales del Distrito Federal (FORTAMUN), especificando cada uno de los destinos señalados para dicho Fondo en la Ley de Coordinación Fiscal. </w:t>
      </w:r>
    </w:p>
    <w:p w:rsidR="0065320B" w:rsidRPr="0065320B" w:rsidRDefault="000306A2" w:rsidP="0065320B">
      <w:pPr>
        <w:spacing w:after="240"/>
        <w:ind w:firstLine="709"/>
        <w:contextualSpacing/>
        <w:jc w:val="both"/>
        <w:rPr>
          <w:rFonts w:ascii="Arial" w:hAnsi="Arial" w:cs="Arial"/>
          <w:kern w:val="2"/>
          <w:lang w:eastAsia="en-US"/>
        </w:rPr>
      </w:pPr>
      <w:hyperlink r:id="rId116" w:history="1">
        <w:r w:rsidR="0065320B" w:rsidRPr="0065320B">
          <w:rPr>
            <w:rFonts w:ascii="Arial" w:hAnsi="Arial" w:cs="Arial"/>
            <w:kern w:val="2"/>
            <w:lang w:eastAsia="en-US"/>
          </w:rPr>
          <w:t>http://www.finanzasoaxaca.gob.mx/ceaco/infinanciera/aplicacion_recursos.html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 xml:space="preserve">En cumplimiento al artículo 77 de la Ley General de Contabilidad Gubernamental, las entidades federativas incluirán en los reportes periódicos y difundirán en Internet la información relativa a los Fondos de Ayuda Federal para la Seguridad Pública. </w:t>
      </w:r>
    </w:p>
    <w:p w:rsidR="0065320B" w:rsidRPr="0065320B" w:rsidRDefault="000306A2" w:rsidP="0065320B">
      <w:pPr>
        <w:spacing w:after="240"/>
        <w:ind w:firstLine="709"/>
        <w:contextualSpacing/>
        <w:jc w:val="both"/>
        <w:rPr>
          <w:rFonts w:ascii="Arial" w:hAnsi="Arial" w:cs="Arial"/>
          <w:kern w:val="2"/>
          <w:lang w:eastAsia="en-US"/>
        </w:rPr>
      </w:pPr>
      <w:hyperlink r:id="rId117" w:history="1">
        <w:r w:rsidR="0065320B" w:rsidRPr="0065320B">
          <w:rPr>
            <w:rFonts w:ascii="Arial" w:hAnsi="Arial" w:cs="Arial"/>
            <w:kern w:val="2"/>
            <w:lang w:eastAsia="en-US"/>
          </w:rPr>
          <w:t>http://www.finanzasoaxaca.gob.mx/ceaco/infinanciera/fondo_seguridad.html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 xml:space="preserve">De conformidad al artículo 78 de la Ley General de Contabilidad Gubernamental los entes obligados publicaran la información relativa a las características de las obligaciones que se pagan o garantizan con recursos de fondos federales </w:t>
      </w:r>
    </w:p>
    <w:p w:rsidR="0065320B" w:rsidRPr="0065320B" w:rsidRDefault="000306A2" w:rsidP="0065320B">
      <w:pPr>
        <w:spacing w:after="240"/>
        <w:ind w:firstLine="709"/>
        <w:contextualSpacing/>
        <w:jc w:val="both"/>
        <w:rPr>
          <w:rFonts w:ascii="Arial" w:hAnsi="Arial" w:cs="Arial"/>
          <w:kern w:val="2"/>
          <w:lang w:eastAsia="en-US"/>
        </w:rPr>
      </w:pPr>
      <w:hyperlink r:id="rId118" w:history="1">
        <w:r w:rsidR="0065320B" w:rsidRPr="0065320B">
          <w:rPr>
            <w:rFonts w:ascii="Arial" w:hAnsi="Arial" w:cs="Arial"/>
            <w:kern w:val="2"/>
            <w:lang w:eastAsia="en-US"/>
          </w:rPr>
          <w:t>http://www.finanzasoaxaca.gob.mx/ceaco/infinanciera/obligaciones.html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Default="0065320B" w:rsidP="00124C45">
      <w:pPr>
        <w:pStyle w:val="Prrafodelista"/>
        <w:numPr>
          <w:ilvl w:val="0"/>
          <w:numId w:val="12"/>
        </w:numPr>
        <w:spacing w:after="240"/>
        <w:contextualSpacing/>
        <w:jc w:val="both"/>
        <w:rPr>
          <w:rFonts w:ascii="Arial" w:hAnsi="Arial" w:cs="Arial"/>
          <w:kern w:val="2"/>
          <w:lang w:eastAsia="en-US"/>
        </w:rPr>
      </w:pPr>
      <w:r w:rsidRPr="0065320B">
        <w:rPr>
          <w:rFonts w:ascii="Arial" w:hAnsi="Arial" w:cs="Arial"/>
          <w:kern w:val="2"/>
          <w:lang w:eastAsia="en-US"/>
        </w:rPr>
        <w:t xml:space="preserve">De conformidad al artículo 81 de la Ley General de Contabilidad Gubernamental, la información respecto al ejercicio y destino del gasto federalizado, así como respecto al reintegro de los recursos federales no devengados por los entes obligados, para efectos de los informes trimestrales y la cuenta pública, deberá presentarse en los formatos aprobados por el Consejo Nacional de Armonización Contable. </w:t>
      </w:r>
    </w:p>
    <w:p w:rsidR="0065320B" w:rsidRPr="0065320B" w:rsidRDefault="000306A2" w:rsidP="0065320B">
      <w:pPr>
        <w:spacing w:after="240"/>
        <w:ind w:firstLine="709"/>
        <w:contextualSpacing/>
        <w:jc w:val="both"/>
        <w:rPr>
          <w:rFonts w:ascii="Arial" w:hAnsi="Arial" w:cs="Arial"/>
          <w:kern w:val="2"/>
          <w:lang w:eastAsia="en-US"/>
        </w:rPr>
      </w:pPr>
      <w:hyperlink r:id="rId119" w:history="1">
        <w:r w:rsidR="0065320B" w:rsidRPr="0065320B">
          <w:rPr>
            <w:rFonts w:ascii="Arial" w:hAnsi="Arial" w:cs="Arial"/>
            <w:kern w:val="2"/>
            <w:lang w:eastAsia="en-US"/>
          </w:rPr>
          <w:t>http://www.finanzasoaxaca.gob.mx/ceaco/infinanciera/ejercicio.html</w:t>
        </w:r>
      </w:hyperlink>
      <w:r w:rsidR="0065320B" w:rsidRPr="0065320B">
        <w:rPr>
          <w:rFonts w:ascii="Arial" w:hAnsi="Arial" w:cs="Arial"/>
          <w:kern w:val="2"/>
          <w:lang w:eastAsia="en-US"/>
        </w:rPr>
        <w:t xml:space="preserve"> </w:t>
      </w:r>
    </w:p>
    <w:p w:rsidR="0065320B" w:rsidRPr="0065320B" w:rsidRDefault="0065320B" w:rsidP="0065320B">
      <w:pPr>
        <w:spacing w:after="240"/>
        <w:contextualSpacing/>
        <w:jc w:val="both"/>
        <w:rPr>
          <w:rFonts w:ascii="Arial" w:hAnsi="Arial" w:cs="Arial"/>
          <w:kern w:val="2"/>
          <w:lang w:eastAsia="en-US"/>
        </w:rPr>
      </w:pPr>
    </w:p>
    <w:p w:rsidR="0065320B" w:rsidRPr="0065320B" w:rsidRDefault="0065320B" w:rsidP="0065320B">
      <w:pPr>
        <w:spacing w:after="240"/>
        <w:contextualSpacing/>
        <w:jc w:val="both"/>
        <w:rPr>
          <w:rFonts w:ascii="Arial" w:hAnsi="Arial" w:cs="Arial"/>
          <w:kern w:val="2"/>
          <w:lang w:eastAsia="en-US"/>
        </w:rPr>
      </w:pPr>
    </w:p>
    <w:tbl>
      <w:tblPr>
        <w:tblStyle w:val="Tablaconcuadrcula"/>
        <w:tblW w:w="0" w:type="auto"/>
        <w:tblLayout w:type="fixed"/>
        <w:tblLook w:val="04A0"/>
      </w:tblPr>
      <w:tblGrid>
        <w:gridCol w:w="5353"/>
        <w:gridCol w:w="3701"/>
      </w:tblGrid>
      <w:tr w:rsidR="0065320B" w:rsidRPr="0065320B" w:rsidTr="00164B80">
        <w:tc>
          <w:tcPr>
            <w:tcW w:w="5353" w:type="dxa"/>
          </w:tcPr>
          <w:p w:rsidR="0065320B" w:rsidRPr="0065320B" w:rsidRDefault="0065320B" w:rsidP="0065320B">
            <w:pPr>
              <w:spacing w:after="240"/>
              <w:contextualSpacing/>
              <w:jc w:val="center"/>
              <w:rPr>
                <w:rFonts w:ascii="Arial" w:hAnsi="Arial" w:cs="Arial"/>
                <w:kern w:val="2"/>
                <w:sz w:val="20"/>
                <w:szCs w:val="20"/>
                <w:lang w:eastAsia="en-US"/>
              </w:rPr>
            </w:pPr>
            <w:r w:rsidRPr="0065320B">
              <w:rPr>
                <w:rFonts w:ascii="Arial" w:hAnsi="Arial" w:cs="Arial"/>
                <w:kern w:val="2"/>
                <w:sz w:val="20"/>
                <w:szCs w:val="20"/>
                <w:lang w:eastAsia="en-US"/>
              </w:rPr>
              <w:t>FUNDAMENTO</w:t>
            </w:r>
          </w:p>
        </w:tc>
        <w:tc>
          <w:tcPr>
            <w:tcW w:w="3701" w:type="dxa"/>
          </w:tcPr>
          <w:p w:rsidR="0065320B" w:rsidRPr="0065320B" w:rsidRDefault="0065320B" w:rsidP="0065320B">
            <w:pPr>
              <w:spacing w:after="240"/>
              <w:contextualSpacing/>
              <w:jc w:val="center"/>
              <w:rPr>
                <w:rFonts w:ascii="Arial" w:hAnsi="Arial" w:cs="Arial"/>
                <w:kern w:val="2"/>
                <w:sz w:val="20"/>
                <w:szCs w:val="20"/>
                <w:lang w:eastAsia="en-US"/>
              </w:rPr>
            </w:pPr>
            <w:r w:rsidRPr="0065320B">
              <w:rPr>
                <w:rFonts w:ascii="Arial" w:hAnsi="Arial" w:cs="Arial"/>
                <w:kern w:val="2"/>
                <w:sz w:val="20"/>
                <w:szCs w:val="20"/>
                <w:lang w:eastAsia="en-US"/>
              </w:rPr>
              <w:t>SITIO DE LA INFORMACIÓN</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apego al artículo 67 de la Ley General de  Contabilidad Gubernamental, los entes obligados publicarán en Internet la información sobre los montos efectivamente pagados durante el periodo por concepto de ayudas y subsidios a los sectores económicos y sociales.</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0" w:history="1">
              <w:r w:rsidR="0065320B" w:rsidRPr="0065320B">
                <w:rPr>
                  <w:rFonts w:ascii="Arial" w:hAnsi="Arial" w:cs="Arial"/>
                  <w:kern w:val="2"/>
                  <w:sz w:val="20"/>
                  <w:szCs w:val="20"/>
                  <w:lang w:eastAsia="en-US"/>
                </w:rPr>
                <w:t>http://www.finanzasoaxaca.gob.mx/ceaco/infinanciera/montos.html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apego al artículo 68 de la Ley General de Contabilidad Gubernamental en los programas en que concurran recursos federales, de las entidades federativas y, en su caso, municipios y demarcaciones territoriales del Distrito Federal, se harán las anotaciones respectivas identificando el monto correspondiente a cada orden de gobierno.</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1" w:history="1">
              <w:r w:rsidR="0065320B" w:rsidRPr="0065320B">
                <w:rPr>
                  <w:rFonts w:ascii="Arial" w:hAnsi="Arial" w:cs="Arial"/>
                  <w:kern w:val="2"/>
                  <w:sz w:val="20"/>
                  <w:szCs w:val="20"/>
                  <w:lang w:eastAsia="en-US"/>
                </w:rPr>
                <w:t>http://www.finanzasoaxaca.gob.mx/ceaco/infinanciera/programa_recursos.html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apego al artículo 69 de la Ley General de Contabilidad Gubernamental, para la presentación de la información financiera y la cuenta pública los entes obligados incluirán la relación de las cuentas bancarias productivas específicas, en las cuales se depositaron los recursos federales transferidos, por cualquier concepto, durante el ejercicio fiscal correspondiente.</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2" w:history="1">
              <w:r w:rsidR="0065320B" w:rsidRPr="0065320B">
                <w:rPr>
                  <w:rFonts w:ascii="Arial" w:hAnsi="Arial" w:cs="Arial"/>
                  <w:kern w:val="2"/>
                  <w:sz w:val="20"/>
                  <w:szCs w:val="20"/>
                  <w:lang w:eastAsia="en-US"/>
                </w:rPr>
                <w:t>http://www.finanzasoaxaca.gob.mx/ceaco/infinanciera/cuentas.html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apego al artículo 73 de la Ley General de Contabilidad Gubernamental, sin perjuicio de lo dispuesto en otros ordenamientos, las entidades federativas deberán presentar información relativa al FAETA.</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3" w:history="1">
              <w:r w:rsidR="0065320B" w:rsidRPr="0065320B">
                <w:rPr>
                  <w:rFonts w:ascii="Arial" w:hAnsi="Arial" w:cs="Arial"/>
                  <w:kern w:val="2"/>
                  <w:sz w:val="20"/>
                  <w:szCs w:val="20"/>
                  <w:lang w:eastAsia="en-US"/>
                </w:rPr>
                <w:t>http://www.finanzasoaxaca.gob.mx/ceaco/infinanciera/aportaciones.html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apego al artículo 74 de la Ley General de Contabilidad Gubernamental, sin perjuicio de lo dispuesto en otros ordenamientos, las entidades federativas deberán presentar información relativa a las aportaciones federales en materia de salud.</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4" w:history="1">
              <w:r w:rsidR="0065320B" w:rsidRPr="0065320B">
                <w:rPr>
                  <w:rFonts w:ascii="Arial" w:hAnsi="Arial" w:cs="Arial"/>
                  <w:kern w:val="2"/>
                  <w:sz w:val="20"/>
                  <w:szCs w:val="20"/>
                  <w:lang w:eastAsia="en-US"/>
                </w:rPr>
                <w:t>http://www.finanzasoaxaca.gob.mx/ceaco/infinanciera/fondo_salud.html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apego al artículo 76 de la Ley General de Contabilidad Gubernamental, los entes públicos difundirán en Internet la información relativa al FORTAMUN, especificando cada uno de los destinos señalados para dicho Fondo en la Ley de Coordinación Fiscal.</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5" w:history="1">
              <w:r w:rsidR="0065320B" w:rsidRPr="0065320B">
                <w:rPr>
                  <w:rFonts w:ascii="Arial" w:hAnsi="Arial" w:cs="Arial"/>
                  <w:kern w:val="2"/>
                  <w:sz w:val="20"/>
                  <w:szCs w:val="20"/>
                  <w:lang w:eastAsia="en-US"/>
                </w:rPr>
                <w:t>http://www.finanzasoaxaca.gob.mx/ceaco/infinanciera/aplicacion_recursos.html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En cumplimiento al artículo 77 de la Ley General de Contabilidad Gubernamental, las entidades federativas incluirán en los reportes periódicos y difundirán en Internet la información relativa a los fondos de ayuda federal para la seguridad pública.</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6" w:history="1">
              <w:r w:rsidR="0065320B" w:rsidRPr="0065320B">
                <w:rPr>
                  <w:rFonts w:ascii="Arial" w:hAnsi="Arial" w:cs="Arial"/>
                  <w:kern w:val="2"/>
                  <w:sz w:val="20"/>
                  <w:szCs w:val="20"/>
                  <w:lang w:eastAsia="en-US"/>
                </w:rPr>
                <w:t>http://www.finanzasoaxaca.gob.mx/ceaco/infinanciera/fondo_seguridad.html</w:t>
              </w:r>
            </w:hyperlink>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De conformidad al artículo 78 de la Ley General de Contabilidad Gubernamental los entes obligados publicaran la información relativa a las características de las obligaciones que se pagan o garantizan con recursos de fondos federales.</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7" w:history="1">
              <w:r w:rsidR="0065320B" w:rsidRPr="0065320B">
                <w:rPr>
                  <w:rFonts w:ascii="Arial" w:hAnsi="Arial" w:cs="Arial"/>
                  <w:kern w:val="2"/>
                  <w:sz w:val="20"/>
                  <w:szCs w:val="20"/>
                  <w:lang w:eastAsia="en-US"/>
                </w:rPr>
                <w:t>http://www.finanzasoaxaca.gob.mx/ceaco/infinanciera/obligaciones.html</w:t>
              </w:r>
            </w:hyperlink>
            <w:r w:rsidR="0065320B" w:rsidRPr="0065320B">
              <w:rPr>
                <w:rFonts w:ascii="Arial" w:hAnsi="Arial" w:cs="Arial"/>
                <w:kern w:val="2"/>
                <w:sz w:val="20"/>
                <w:szCs w:val="20"/>
                <w:lang w:eastAsia="en-US"/>
              </w:rPr>
              <w:t xml:space="preserve"> </w:t>
            </w:r>
          </w:p>
        </w:tc>
      </w:tr>
      <w:tr w:rsidR="0065320B" w:rsidRPr="0065320B" w:rsidTr="00164B80">
        <w:tc>
          <w:tcPr>
            <w:tcW w:w="5353" w:type="dxa"/>
          </w:tcPr>
          <w:p w:rsidR="0065320B" w:rsidRPr="0065320B" w:rsidRDefault="0065320B" w:rsidP="0065320B">
            <w:pPr>
              <w:spacing w:after="240"/>
              <w:contextualSpacing/>
              <w:jc w:val="both"/>
              <w:rPr>
                <w:rFonts w:ascii="Arial" w:hAnsi="Arial" w:cs="Arial"/>
                <w:kern w:val="2"/>
                <w:sz w:val="20"/>
                <w:szCs w:val="20"/>
                <w:lang w:eastAsia="en-US"/>
              </w:rPr>
            </w:pPr>
            <w:r w:rsidRPr="0065320B">
              <w:rPr>
                <w:rFonts w:ascii="Arial" w:hAnsi="Arial" w:cs="Arial"/>
                <w:kern w:val="2"/>
                <w:sz w:val="20"/>
                <w:szCs w:val="20"/>
                <w:lang w:eastAsia="en-US"/>
              </w:rPr>
              <w:t>De conformidad al artículo 81 de la Ley General de Contabilidad Gubernamental, la información respecto al ejercicio y destino del gasto federalizado, así como respecto al reintegro de los recursos federales no devengados por los entes obligados, para efectos de los informes trimestrales y la cuenta pública, deberá presentarse en los formatos aprobados por el Consejo Nacional de Armonización Contable.</w:t>
            </w:r>
          </w:p>
        </w:tc>
        <w:tc>
          <w:tcPr>
            <w:tcW w:w="3701" w:type="dxa"/>
          </w:tcPr>
          <w:p w:rsidR="0065320B" w:rsidRPr="0065320B" w:rsidRDefault="000306A2" w:rsidP="0065320B">
            <w:pPr>
              <w:spacing w:after="240"/>
              <w:contextualSpacing/>
              <w:jc w:val="both"/>
              <w:rPr>
                <w:rFonts w:ascii="Arial" w:hAnsi="Arial" w:cs="Arial"/>
                <w:kern w:val="2"/>
                <w:sz w:val="20"/>
                <w:szCs w:val="20"/>
                <w:lang w:eastAsia="en-US"/>
              </w:rPr>
            </w:pPr>
            <w:hyperlink r:id="rId128" w:history="1">
              <w:r w:rsidR="0065320B" w:rsidRPr="0065320B">
                <w:rPr>
                  <w:rFonts w:ascii="Arial" w:hAnsi="Arial" w:cs="Arial"/>
                  <w:kern w:val="2"/>
                  <w:sz w:val="20"/>
                  <w:szCs w:val="20"/>
                  <w:lang w:eastAsia="en-US"/>
                </w:rPr>
                <w:t>http://www.finanzasoaxaca.gob.mx/ceaco/infinanciera/ejercicio.html</w:t>
              </w:r>
            </w:hyperlink>
            <w:r w:rsidR="0065320B" w:rsidRPr="0065320B">
              <w:rPr>
                <w:rFonts w:ascii="Arial" w:hAnsi="Arial" w:cs="Arial"/>
                <w:kern w:val="2"/>
                <w:sz w:val="20"/>
                <w:szCs w:val="20"/>
                <w:lang w:eastAsia="en-US"/>
              </w:rPr>
              <w:t xml:space="preserve"> </w:t>
            </w:r>
          </w:p>
        </w:tc>
      </w:tr>
    </w:tbl>
    <w:p w:rsidR="0065320B" w:rsidRDefault="0065320B" w:rsidP="0065320B">
      <w:pPr>
        <w:jc w:val="both"/>
      </w:pPr>
    </w:p>
    <w:p w:rsidR="00E33957" w:rsidRDefault="00E33957">
      <w:pPr>
        <w:rPr>
          <w:rFonts w:ascii="Arial" w:eastAsia="MS Mincho" w:hAnsi="Arial" w:cs="Arial"/>
          <w:b/>
          <w:bCs/>
          <w:lang w:val="es-MX"/>
        </w:rPr>
      </w:pPr>
      <w:r>
        <w:rPr>
          <w:rFonts w:ascii="Arial" w:eastAsia="MS Mincho" w:hAnsi="Arial" w:cs="Arial"/>
          <w:b/>
          <w:bCs/>
          <w:lang w:val="es-MX"/>
        </w:rPr>
        <w:br w:type="page"/>
      </w:r>
    </w:p>
    <w:p w:rsidR="00E33957" w:rsidRPr="00884E1B" w:rsidRDefault="00E33957" w:rsidP="00E33957">
      <w:pPr>
        <w:rPr>
          <w:rFonts w:ascii="Arial" w:hAnsi="Arial" w:cs="Arial"/>
          <w:sz w:val="22"/>
          <w:szCs w:val="22"/>
          <w:lang w:val="es-MX"/>
        </w:rPr>
      </w:pPr>
    </w:p>
    <w:p w:rsidR="00E33957" w:rsidRPr="00884E1B" w:rsidRDefault="00E33957" w:rsidP="00E33957">
      <w:pPr>
        <w:rPr>
          <w:rFonts w:ascii="Arial" w:hAnsi="Arial" w:cs="Arial"/>
          <w:sz w:val="22"/>
          <w:szCs w:val="22"/>
          <w:lang w:val="es-MX"/>
        </w:rPr>
      </w:pPr>
    </w:p>
    <w:p w:rsidR="00E33957" w:rsidRPr="00E33957" w:rsidRDefault="00E33957" w:rsidP="00E33957">
      <w:pPr>
        <w:spacing w:after="240"/>
        <w:contextualSpacing/>
        <w:jc w:val="both"/>
        <w:rPr>
          <w:rFonts w:ascii="Arial" w:hAnsi="Arial" w:cs="Arial"/>
          <w:kern w:val="2"/>
          <w:lang w:eastAsia="en-US"/>
        </w:rPr>
      </w:pPr>
      <w:r w:rsidRPr="00E33957">
        <w:rPr>
          <w:rFonts w:ascii="Arial" w:hAnsi="Arial" w:cs="Arial"/>
          <w:kern w:val="2"/>
          <w:lang w:eastAsia="en-US"/>
        </w:rPr>
        <w:t>En cumplimiento al Título V de la Ley General de Contabilidad Gubernamental, “De la Transparencia y Difusión de la Información Financiera”, la Secretaría de Finanzas conforme al artículo 57 de la ley en comento, a raíz de la obligatoriedad en el ámbito municipal se han  firmado convenios administrativos con los municipios que así lo han convenido, para la publicación de su información financiera en el  micro sitio que la Secretaria puso a disposición en lo relacionado con la Armonización Contable.</w:t>
      </w:r>
    </w:p>
    <w:p w:rsidR="00E33957" w:rsidRPr="00E33957" w:rsidRDefault="00E33957" w:rsidP="00E33957">
      <w:pPr>
        <w:spacing w:after="240"/>
        <w:contextualSpacing/>
        <w:jc w:val="both"/>
        <w:rPr>
          <w:rFonts w:ascii="Arial" w:hAnsi="Arial" w:cs="Arial"/>
          <w:kern w:val="2"/>
          <w:lang w:eastAsia="en-US"/>
        </w:rPr>
      </w:pPr>
    </w:p>
    <w:p w:rsidR="00E33957" w:rsidRPr="00E33957" w:rsidRDefault="00E33957" w:rsidP="00E33957">
      <w:pPr>
        <w:spacing w:after="240"/>
        <w:contextualSpacing/>
        <w:jc w:val="both"/>
        <w:rPr>
          <w:rFonts w:ascii="Arial" w:hAnsi="Arial" w:cs="Arial"/>
          <w:kern w:val="2"/>
          <w:lang w:eastAsia="en-US"/>
        </w:rPr>
      </w:pPr>
      <w:r w:rsidRPr="00E33957">
        <w:rPr>
          <w:rFonts w:ascii="Arial" w:hAnsi="Arial" w:cs="Arial"/>
          <w:kern w:val="2"/>
          <w:lang w:eastAsia="en-US"/>
        </w:rPr>
        <w:t xml:space="preserve">Durante el primer trimestre 2016, de los 570 municipios que conforman el estado, 415 han firmado convenios administrativos, de los 155 restantes, 73 municipios tendrán su propia  página de internet para publicar su información financiera dándonos  a conocer el link de alojamiento de sus datos; y 82 municipios aún  no han definido la forma de publicación. </w:t>
      </w:r>
    </w:p>
    <w:p w:rsidR="00E33957" w:rsidRPr="00E33957" w:rsidRDefault="00E33957" w:rsidP="00E33957">
      <w:pPr>
        <w:spacing w:after="240"/>
        <w:contextualSpacing/>
        <w:jc w:val="both"/>
        <w:rPr>
          <w:rFonts w:ascii="Arial" w:hAnsi="Arial" w:cs="Arial"/>
          <w:kern w:val="2"/>
          <w:lang w:eastAsia="en-US"/>
        </w:rPr>
      </w:pPr>
    </w:p>
    <w:p w:rsidR="00E33957" w:rsidRPr="00E33957" w:rsidRDefault="00E33957" w:rsidP="00E33957">
      <w:pPr>
        <w:spacing w:after="240"/>
        <w:contextualSpacing/>
        <w:jc w:val="both"/>
        <w:rPr>
          <w:rFonts w:ascii="Arial" w:hAnsi="Arial" w:cs="Arial"/>
          <w:kern w:val="2"/>
          <w:lang w:eastAsia="en-US"/>
        </w:rPr>
      </w:pPr>
    </w:p>
    <w:p w:rsidR="00E33957" w:rsidRPr="00E33957" w:rsidRDefault="00E33957" w:rsidP="00E33957">
      <w:pPr>
        <w:spacing w:after="240"/>
        <w:contextualSpacing/>
        <w:jc w:val="both"/>
        <w:rPr>
          <w:rFonts w:ascii="Arial" w:hAnsi="Arial" w:cs="Arial"/>
          <w:kern w:val="2"/>
          <w:lang w:eastAsia="en-US"/>
        </w:rPr>
      </w:pPr>
      <w:r w:rsidRPr="00E33957">
        <w:rPr>
          <w:rFonts w:ascii="Arial" w:hAnsi="Arial" w:cs="Arial"/>
          <w:kern w:val="2"/>
          <w:lang w:eastAsia="en-US"/>
        </w:rPr>
        <w:t xml:space="preserve">Por lo antes expuesto los municipios que signaron convenios o aquellos que tienen su propia página, la información que presentan es revisada conforme a los lineamientos de revisión del CONAC y después de solventar observaciones se publica en el siguiente link: </w:t>
      </w:r>
      <w:hyperlink r:id="rId129" w:history="1">
        <w:r w:rsidRPr="00E33957">
          <w:rPr>
            <w:kern w:val="2"/>
            <w:lang w:eastAsia="en-US"/>
          </w:rPr>
          <w:t>http://www.finanzasoaxaca.gob.mx/ceaco/municipios.html</w:t>
        </w:r>
      </w:hyperlink>
      <w:r w:rsidRPr="00E33957">
        <w:rPr>
          <w:rFonts w:ascii="Arial" w:hAnsi="Arial" w:cs="Arial"/>
          <w:kern w:val="2"/>
          <w:lang w:eastAsia="en-US"/>
        </w:rPr>
        <w:t>.</w:t>
      </w:r>
      <w:r>
        <w:rPr>
          <w:rFonts w:ascii="Arial" w:hAnsi="Arial" w:cs="Arial"/>
          <w:kern w:val="2"/>
          <w:lang w:eastAsia="en-US"/>
        </w:rPr>
        <w:t xml:space="preserve"> </w:t>
      </w:r>
    </w:p>
    <w:p w:rsidR="00E33957" w:rsidRPr="00E33957" w:rsidRDefault="00E33957" w:rsidP="00E33957">
      <w:pPr>
        <w:spacing w:after="240"/>
        <w:contextualSpacing/>
        <w:jc w:val="both"/>
        <w:rPr>
          <w:rFonts w:ascii="Arial" w:hAnsi="Arial" w:cs="Arial"/>
          <w:kern w:val="2"/>
          <w:lang w:eastAsia="en-US"/>
        </w:rPr>
      </w:pPr>
    </w:p>
    <w:p w:rsidR="00E33957" w:rsidRPr="00E33957" w:rsidRDefault="00E33957" w:rsidP="00E33957">
      <w:pPr>
        <w:spacing w:after="240"/>
        <w:contextualSpacing/>
        <w:jc w:val="both"/>
        <w:rPr>
          <w:rFonts w:ascii="Arial" w:hAnsi="Arial" w:cs="Arial"/>
          <w:kern w:val="2"/>
          <w:lang w:eastAsia="en-US"/>
        </w:rPr>
      </w:pPr>
      <w:r w:rsidRPr="00E33957">
        <w:rPr>
          <w:rFonts w:ascii="Arial" w:hAnsi="Arial" w:cs="Arial"/>
          <w:kern w:val="2"/>
          <w:lang w:eastAsia="en-US"/>
        </w:rPr>
        <w:t xml:space="preserve">Se anexa relación de los municipios que a la fecha han dado cumplimiento a las disposiciones del artículo 57 de la LGCG : </w:t>
      </w: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rsidP="00E33957">
      <w:pPr>
        <w:spacing w:line="360" w:lineRule="auto"/>
        <w:rPr>
          <w:rFonts w:ascii="Arial" w:hAnsi="Arial" w:cs="Arial"/>
          <w:sz w:val="22"/>
          <w:szCs w:val="22"/>
          <w:lang w:val="es-MX"/>
        </w:rPr>
      </w:pPr>
    </w:p>
    <w:p w:rsidR="00E33957" w:rsidRDefault="00E33957">
      <w:pPr>
        <w:rPr>
          <w:rFonts w:ascii="Arial" w:hAnsi="Arial" w:cs="Arial"/>
          <w:sz w:val="22"/>
          <w:szCs w:val="22"/>
          <w:lang w:val="es-MX"/>
        </w:rPr>
      </w:pPr>
      <w:r>
        <w:rPr>
          <w:rFonts w:ascii="Arial" w:hAnsi="Arial" w:cs="Arial"/>
          <w:sz w:val="22"/>
          <w:szCs w:val="22"/>
          <w:lang w:val="es-MX"/>
        </w:rPr>
        <w:br w:type="page"/>
      </w:r>
    </w:p>
    <w:p w:rsidR="00E33957" w:rsidRPr="00452EF6" w:rsidRDefault="00E33957" w:rsidP="00E33957">
      <w:pPr>
        <w:jc w:val="center"/>
        <w:rPr>
          <w:rFonts w:ascii="Arial" w:hAnsi="Arial" w:cs="Arial"/>
          <w:sz w:val="22"/>
          <w:szCs w:val="22"/>
          <w:lang w:val="es-MX"/>
        </w:rPr>
      </w:pPr>
      <w:r w:rsidRPr="00452EF6">
        <w:rPr>
          <w:rFonts w:ascii="Arial" w:hAnsi="Arial" w:cs="Arial"/>
          <w:sz w:val="22"/>
          <w:szCs w:val="22"/>
          <w:lang w:val="es-MX"/>
        </w:rPr>
        <w:t>Muni</w:t>
      </w:r>
      <w:r>
        <w:rPr>
          <w:rFonts w:ascii="Arial" w:hAnsi="Arial" w:cs="Arial"/>
          <w:sz w:val="22"/>
          <w:szCs w:val="22"/>
          <w:lang w:val="es-MX"/>
        </w:rPr>
        <w:t>cipios con convenio o página de internet para publicar su información financiera:</w:t>
      </w:r>
    </w:p>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16448D">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33957" w:rsidRPr="00126607" w:rsidRDefault="00E33957" w:rsidP="00E33957">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E33957" w:rsidRPr="00126607" w:rsidRDefault="00E33957"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E33957" w:rsidRPr="00126607" w:rsidRDefault="00E33957"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E33957" w:rsidRPr="00126607" w:rsidRDefault="00E33957"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E33957" w:rsidRPr="00126607" w:rsidRDefault="00E33957"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r w:rsidR="00E33957" w:rsidRPr="00126607" w:rsidTr="0016448D">
        <w:trPr>
          <w:trHeight w:val="51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ABEJONES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AL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ACATLAN DE PEREZ FIGUEROA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0" w:history="1">
              <w:r w:rsidR="00E33957" w:rsidRPr="00126607">
                <w:rPr>
                  <w:rFonts w:ascii="Calibri" w:hAnsi="Calibri"/>
                  <w:color w:val="0000FF"/>
                  <w:sz w:val="16"/>
                  <w:szCs w:val="16"/>
                  <w:u w:val="single"/>
                  <w:lang w:val="es-MX" w:eastAsia="es-MX"/>
                </w:rPr>
                <w:t>HTTP://WWW.ACATLANDEPEREZAYUNTAMIENTO.COM.MX/TRANSPARENCIA/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Y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ASUNCION CACALOTEPEC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AL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ASUNCION CUYOTEPEJI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AL 1ER. TRIM.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ASUNCION IXTALTEPEC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04/11/2014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SOLO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ASUNCION OCOTLAN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Arial" w:hAnsi="Arial" w:cs="Arial"/>
                <w:sz w:val="16"/>
                <w:szCs w:val="16"/>
                <w:lang w:val="es-MX" w:eastAsia="es-MX"/>
              </w:rPr>
            </w:pPr>
            <w:r w:rsidRPr="00126607">
              <w:rPr>
                <w:rFonts w:ascii="Arial" w:hAnsi="Arial" w:cs="Arial"/>
                <w:sz w:val="16"/>
                <w:szCs w:val="16"/>
                <w:lang w:val="es-MX" w:eastAsia="es-MX"/>
              </w:rPr>
              <w:t>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ASUNCION TLACOLULITA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AL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AYOTZINTEPEC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EL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EL BARRIO DE LA SOLEDAD</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AL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CALIHUALA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EL 2DO TRIM. 2015. INFORMACIÓN PUBLICADA: HASTA EL 2DO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CIENEGA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CONVRNIO FIRMADO 14/04/14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EL 3ER TRIM.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 xml:space="preserve">COATECAS ALTAS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1" w:history="1">
              <w:r w:rsidR="00E33957" w:rsidRPr="00126607">
                <w:rPr>
                  <w:rFonts w:ascii="Calibri" w:hAnsi="Calibri"/>
                  <w:color w:val="0000FF"/>
                  <w:sz w:val="16"/>
                  <w:szCs w:val="16"/>
                  <w:u w:val="single"/>
                  <w:lang w:val="es-MX" w:eastAsia="es-MX"/>
                </w:rPr>
                <w:t>WWW.MUNICIPIODECOATECASALTAS.GOB.MX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1ER TRIM. 2015. INFORMACIÓN PUBLICADA: HASTA 1ER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LA COMPAÑÍA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CONCEPCION BUENAVISTA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SOLO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CONCEPCION PAPALO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CONSTANCIA DEL ROSARIO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2" w:history="1">
              <w:r w:rsidR="00E33957" w:rsidRPr="00126607">
                <w:rPr>
                  <w:rFonts w:ascii="Calibri" w:hAnsi="Calibri"/>
                  <w:color w:val="0000FF"/>
                  <w:sz w:val="16"/>
                  <w:szCs w:val="16"/>
                  <w:u w:val="single"/>
                  <w:lang w:val="es-MX" w:eastAsia="es-MX"/>
                </w:rPr>
                <w:t>HTTP://WWW.CONSTANCIADELROSARIO.GOB.MX/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COSOLTEPEC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AL 4TO. TRIM. 2015. INFORMACIÓN PUBLICADA: AL 4TO.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 xml:space="preserve">CUILAPAM DE GUERRERO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3" w:history="1">
              <w:r w:rsidR="00E33957" w:rsidRPr="00126607">
                <w:rPr>
                  <w:rFonts w:ascii="Calibri" w:hAnsi="Calibri"/>
                  <w:color w:val="0000FF"/>
                  <w:sz w:val="16"/>
                  <w:szCs w:val="16"/>
                  <w:u w:val="single"/>
                  <w:lang w:val="es-MX" w:eastAsia="es-MX"/>
                </w:rPr>
                <w:t>HTTP://CUILAPAM.GOB.MX/TRANSPARENCIA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CUYAMECALCO VILLA DE ZARAGOZA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11/06/15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CHAHUITES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02/10/14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EL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CHALCATONGO DE HIDALGO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CHIQUIHUITLAN DE BENITO JUAREZ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EJUTLA DE CRESPO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AL 2DO TRIM. 2015. INFORMACIÓN PUBLICADA: SOLO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EL ESPINAL</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4" w:history="1">
              <w:r w:rsidR="00E33957" w:rsidRPr="00126607">
                <w:rPr>
                  <w:rFonts w:ascii="Calibri" w:hAnsi="Calibri"/>
                  <w:color w:val="0000FF"/>
                  <w:sz w:val="16"/>
                  <w:szCs w:val="16"/>
                  <w:u w:val="single"/>
                  <w:lang w:val="es-MX" w:eastAsia="es-MX"/>
                </w:rPr>
                <w:t>WWW.ELESPINAL.GOB.MX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TAMAZULAPAM DEL ESPIRITU SANTO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FRESNILLO DE TRUJANO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GUADALUPE DE RAMIREZ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GUELATAO DE JUAREZ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30/10/15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EL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MESONES HIDALGO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VILLA HIDALGO YALALAG</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ANUAL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HUAJUAPAN DE LEON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5" w:history="1">
              <w:r w:rsidR="00E33957" w:rsidRPr="00126607">
                <w:rPr>
                  <w:rFonts w:ascii="Calibri" w:hAnsi="Calibri"/>
                  <w:color w:val="0000FF"/>
                  <w:sz w:val="16"/>
                  <w:szCs w:val="16"/>
                  <w:u w:val="single"/>
                  <w:lang w:val="es-MX" w:eastAsia="es-MX"/>
                </w:rPr>
                <w:t>HTTP://WWW.HUAJUAPANDELEON.GOB.MX/TRANSPARENCIA/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JUCHITAN DE ZARAGOZA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6" w:history="1">
              <w:r w:rsidR="00E33957" w:rsidRPr="00126607">
                <w:rPr>
                  <w:rFonts w:ascii="Calibri" w:hAnsi="Calibri"/>
                  <w:color w:val="0000FF"/>
                  <w:sz w:val="16"/>
                  <w:szCs w:val="16"/>
                  <w:u w:val="single"/>
                  <w:lang w:val="es-MX" w:eastAsia="es-MX"/>
                </w:rPr>
                <w:t>HTTP://WWW.JUCHITANDEZARAGOZA.GOB.MX/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LOMA BONITA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APASCO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JALTEPEC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MAGDALENA JICOTLAN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14/08/12015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1ER. TRIM.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OCOTLAN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00"/>
                <w:sz w:val="16"/>
                <w:szCs w:val="16"/>
                <w:lang w:val="es-MX" w:eastAsia="es-MX"/>
              </w:rPr>
            </w:pPr>
            <w:hyperlink r:id="rId137" w:history="1">
              <w:r w:rsidR="00E33957" w:rsidRPr="00126607">
                <w:rPr>
                  <w:rFonts w:ascii="Calibri" w:hAnsi="Calibri"/>
                  <w:color w:val="000000"/>
                  <w:sz w:val="16"/>
                  <w:szCs w:val="16"/>
                  <w:lang w:val="es-MX" w:eastAsia="es-MX"/>
                </w:rPr>
                <w:t>CONVENIO FIRMADO 04/05/15</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PEÑASCO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TEITIPAC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AL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TEQUISISTLAN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31/03/14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MAGDALENA ZAHUATLAN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MARISCALA DE JUAREZ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MARTIRES DE TACUBAYA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MATIAS ROMERO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MAZATLAN VILLA DE FLORES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MIAHUATLAN DE PORFIRIO DIAZ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8" w:history="1">
              <w:r w:rsidR="00E33957" w:rsidRPr="00126607">
                <w:rPr>
                  <w:rFonts w:ascii="Calibri" w:hAnsi="Calibri"/>
                  <w:color w:val="0000FF"/>
                  <w:sz w:val="16"/>
                  <w:szCs w:val="16"/>
                  <w:u w:val="single"/>
                  <w:lang w:val="es-MX" w:eastAsia="es-MX"/>
                </w:rPr>
                <w:t>HTTP://WWW.MIAHUATLAN.MX/TRANSPARENCIA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MIXISTLAN DE LA REFORMA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MONJAS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NATIVIDAD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12/08/2015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NAZARENO ETLA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39" w:history="1">
              <w:r w:rsidR="00E33957" w:rsidRPr="00126607">
                <w:rPr>
                  <w:rFonts w:ascii="Calibri" w:hAnsi="Calibri"/>
                  <w:color w:val="0000FF"/>
                  <w:sz w:val="16"/>
                  <w:szCs w:val="16"/>
                  <w:u w:val="single"/>
                  <w:lang w:val="es-MX" w:eastAsia="es-MX"/>
                </w:rPr>
                <w:t>HTTP://NAZARENOETLA.GOB.MX/TRANSPARENCIA/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NEJAPA DE MADERO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IXPANTEPEC NIEVES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EL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NILTEPEC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OAXACA DE JUAREZ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0" w:history="1">
              <w:r w:rsidR="00E33957" w:rsidRPr="00126607">
                <w:rPr>
                  <w:rFonts w:ascii="Calibri" w:hAnsi="Calibri"/>
                  <w:color w:val="0000FF"/>
                  <w:sz w:val="16"/>
                  <w:szCs w:val="16"/>
                  <w:u w:val="single"/>
                  <w:lang w:val="es-MX" w:eastAsia="es-MX"/>
                </w:rPr>
                <w:t>HTTP://MUNICIPIODEOAXACA.GOB.MX/TRANSPARENCIA/2014-2016</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OCOTLAN DE MORELOS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1" w:history="1">
              <w:r w:rsidR="00E33957" w:rsidRPr="00126607">
                <w:rPr>
                  <w:rFonts w:ascii="Calibri" w:hAnsi="Calibri"/>
                  <w:color w:val="0000FF"/>
                  <w:sz w:val="16"/>
                  <w:szCs w:val="16"/>
                  <w:u w:val="single"/>
                  <w:lang w:val="es-MX" w:eastAsia="es-MX"/>
                </w:rPr>
                <w:t>HTTP://WWW.MUNICIPIODEOCOTLANDEMORELOS.GOB.MX/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69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LA PE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31/03/14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PINOTEPA DE DON LUIS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PLUMA HIDALGO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PUTLA VILLA DE GUERRERO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HATA 3ER.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QUIOQUITANI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LA REFORMA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20/02/14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REYES ETLA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78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ROJAS DE CUAUHTEMOC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2" w:history="1">
              <w:r w:rsidR="00E33957" w:rsidRPr="00126607">
                <w:rPr>
                  <w:rFonts w:ascii="Calibri" w:hAnsi="Calibri"/>
                  <w:color w:val="0000FF"/>
                  <w:sz w:val="16"/>
                  <w:szCs w:val="16"/>
                  <w:u w:val="single"/>
                  <w:lang w:val="es-MX" w:eastAsia="es-MX"/>
                </w:rPr>
                <w:t>HTTP://ROJASDECUAUHTEMOC.GOB.MX/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 AGUSTIN AMATENGO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 AGUSTIN ATENANGO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AGUSTIN ETLA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AGUSTIN TLACOTEPEC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AGUSTIN YATARENI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03/09/15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INFORMACIÓN PUBLICADA: HASTA ANUAL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CABECERA NUEVA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INFORMACIÓN PUBLICADA: ANUAL 2014.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89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DINICUITI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INFORMACIÓN PUBLICADA: ANUAL 2014.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HUAXPALTEPEC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ANDRES HUAYAPAM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3" w:history="1">
              <w:r w:rsidR="00E33957" w:rsidRPr="00126607">
                <w:rPr>
                  <w:rFonts w:ascii="Calibri" w:hAnsi="Calibri"/>
                  <w:color w:val="0000FF"/>
                  <w:sz w:val="16"/>
                  <w:szCs w:val="16"/>
                  <w:u w:val="single"/>
                  <w:lang w:val="es-MX" w:eastAsia="es-MX"/>
                </w:rPr>
                <w:t>HTTP://WWW.SANANDRESHUAYAPAM.GOB.MX/FINANZAS</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INFORMACIÓN PUBLICADA: ANUAL 2014 Y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LAGUNAS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NUXIÑO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PAXTLAN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INFORMACIÓN PUBLICADA: HASTA ANUAL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SINAXTLA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bl>
    <w:p w:rsidR="00BC6B8B" w:rsidRDefault="00BC6B8B"/>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SOLAGA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22/01/16</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INFORMACIÓN PUBLICADA: ANUAL 2014.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99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TEPETLAPA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ZABACHE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ANDRES ZAUTLA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ANTONINO EL ALTO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ANTONIO MONTE VERDE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2015 Y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ANTONIO ACUTLA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20/04/16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109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ANTONIO NANAHUATIPAM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ANTONIO SINICAHUA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ANTONIO TEPETLAPA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BALTAZAR CHICHICAPAM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BALTAZAR LOXICHA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INFORMACIÓN PUBLICADA: ANUAL 2014 Y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BALTAZAR YATZACHI EL BAJO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BARTOLO COYOTEPEC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INFORMACIÓN PUBLICADA: ANUAL 2014 Y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BARTOLOME AYAUTLA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BARTOLOME QUIALANA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119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BARTOLOME YUCUAÑE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4" w:history="1">
              <w:r w:rsidR="00E33957" w:rsidRPr="00126607">
                <w:rPr>
                  <w:rFonts w:ascii="Calibri" w:hAnsi="Calibri"/>
                  <w:color w:val="0000FF"/>
                  <w:sz w:val="16"/>
                  <w:szCs w:val="16"/>
                  <w:u w:val="single"/>
                  <w:lang w:val="es-MX" w:eastAsia="es-MX"/>
                </w:rPr>
                <w:t>HTTP://MUNICIPIODESANBARTOLOMEYUCUANE.GOB.MX/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BARTOLOME ZOOGOCHO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3ER. TRIM.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BARTOLO SOYALTEPEC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4TO. TRIM. 2015. </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BARTOLO YAUTEPEC</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13/03/14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ANUAL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BERNARDO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BLAS ATEMPA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CARLOS YAUTEPEC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FORMADO 05/08/14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CRISTOBAL AMATLAN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5" w:history="1">
              <w:r w:rsidR="00E33957" w:rsidRPr="00126607">
                <w:rPr>
                  <w:rFonts w:ascii="Calibri" w:hAnsi="Calibri"/>
                  <w:color w:val="0000FF"/>
                  <w:sz w:val="16"/>
                  <w:szCs w:val="16"/>
                  <w:u w:val="single"/>
                  <w:lang w:val="es-MX" w:eastAsia="es-MX"/>
                </w:rPr>
                <w:t>HTTP://SANCRISTOBALAMATLAN.ORG/</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CRISTOBAL AMOLTEPEC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CRISTOBAL LACHIRIOAG</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129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CRISTOBAL SUCHIXTLAHUACA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DIONISIO DEL MAR</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DIONISIO OCOTEPEC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DIONISIO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ESTEBAN ATATLAHUACA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FELIPE JALAPA DE DIAZ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FELIPE TEJALAPAM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FELIPE USILA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FRANCISCO CAHUACUA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6" w:history="1">
              <w:r w:rsidR="00E33957" w:rsidRPr="00126607">
                <w:rPr>
                  <w:rFonts w:ascii="Calibri" w:hAnsi="Calibri"/>
                  <w:color w:val="0000FF"/>
                  <w:sz w:val="16"/>
                  <w:szCs w:val="16"/>
                  <w:u w:val="single"/>
                  <w:lang w:val="es-MX" w:eastAsia="es-MX"/>
                </w:rPr>
                <w:t>HTTP://WWW.SANFRANCISCOCAHUACUA.GOB.MX/TRANSPARENCIA.HTML</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INFORMACIÓN PUBLICADA: HASTA 4TO. TRIM.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138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CAJONOS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w:t>
            </w:r>
          </w:p>
          <w:p w:rsidR="00E33957" w:rsidRPr="00C93BF3" w:rsidRDefault="00E33957" w:rsidP="000A3F29">
            <w:pPr>
              <w:jc w:val="center"/>
              <w:rPr>
                <w:rFonts w:ascii="Calibri" w:hAnsi="Calibri"/>
                <w:color w:val="000000"/>
                <w:sz w:val="16"/>
                <w:szCs w:val="16"/>
              </w:rPr>
            </w:pPr>
            <w:r>
              <w:rPr>
                <w:rFonts w:ascii="Calibri" w:hAnsi="Calibri"/>
                <w:color w:val="000000"/>
                <w:sz w:val="16"/>
                <w:szCs w:val="16"/>
              </w:rPr>
              <w:t>CONVENIO FIRMADO 09/02/15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INFORMACIÓN PUBLICADA: ANUAL 2014 Y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CHINDUA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FRANCISCO DEL MAR</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7" w:history="1">
              <w:r w:rsidR="00E33957" w:rsidRPr="00126607">
                <w:rPr>
                  <w:rFonts w:ascii="Calibri" w:hAnsi="Calibri"/>
                  <w:color w:val="0000FF"/>
                  <w:sz w:val="16"/>
                  <w:szCs w:val="16"/>
                  <w:u w:val="single"/>
                  <w:lang w:val="es-MX" w:eastAsia="es-MX"/>
                </w:rPr>
                <w:t>HTTP://WWW.MUNICIPIOSANFRANCISCODELMAR.COM/</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HUEHUETLAN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JALTEPETONGO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15/08/14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FRANCISCO LACHIGOLO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8" w:history="1">
              <w:r w:rsidR="00E33957" w:rsidRPr="00126607">
                <w:rPr>
                  <w:rFonts w:ascii="Calibri" w:hAnsi="Calibri"/>
                  <w:color w:val="0000FF"/>
                  <w:sz w:val="16"/>
                  <w:szCs w:val="16"/>
                  <w:u w:val="single"/>
                  <w:lang w:val="es-MX" w:eastAsia="es-MX"/>
                </w:rPr>
                <w:t>HTTP://WWW.SANFRANCISCOLACHIGOLO.GOB.MX/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FRANCISCO LOGUECHE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49" w:history="1">
              <w:r w:rsidR="00E33957" w:rsidRPr="00126607">
                <w:rPr>
                  <w:rFonts w:ascii="Calibri" w:hAnsi="Calibri"/>
                  <w:color w:val="0000FF"/>
                  <w:sz w:val="16"/>
                  <w:szCs w:val="16"/>
                  <w:u w:val="single"/>
                  <w:lang w:val="es-MX" w:eastAsia="es-MX"/>
                </w:rPr>
                <w:t>HTTP://SANFRANCISCOLOGUECHE.ORG/</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INFORMACIÓN PUBLICADA: ANUAL 2014 Y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NUXAÑO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ANUAL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OZOLOTEPEC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149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SOLA DE VEGA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TELIXTLAHUACA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TEOPAN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FRANCISCO TLAPANCINGO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GABRIEL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0" w:history="1">
              <w:r w:rsidR="00E33957" w:rsidRPr="00126607">
                <w:rPr>
                  <w:rFonts w:ascii="Calibri" w:hAnsi="Calibri"/>
                  <w:color w:val="0000FF"/>
                  <w:sz w:val="16"/>
                  <w:szCs w:val="16"/>
                  <w:u w:val="single"/>
                  <w:lang w:val="es-MX" w:eastAsia="es-MX"/>
                </w:rPr>
                <w:t>HTTP://SANGABRIELMIXTEPEC.GOB.MX/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ILDEFONSO AMATLAN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ILDEFONSO SOLA DE VEGA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ILDEFONSO VILLA ALTA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JACINTO TLACOTEPEC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159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JERONIMO COATLAN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JERONIMO SILACAYOAPILLA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JERONIMO SOSOLA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JERONIMO TAVICHE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3ER- TRIM.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JERONIMO TECOATL</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01/04/16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BC6B8B" w:rsidRPr="00126607" w:rsidTr="00BC6B8B">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r w:rsidR="00BC6B8B" w:rsidRPr="00126607" w:rsidTr="00BC6B8B">
        <w:trPr>
          <w:trHeight w:val="675"/>
        </w:trPr>
        <w:tc>
          <w:tcPr>
            <w:tcW w:w="496" w:type="dxa"/>
            <w:tcBorders>
              <w:top w:val="single" w:sz="4" w:space="0" w:color="auto"/>
              <w:bottom w:val="single" w:sz="4" w:space="0" w:color="auto"/>
            </w:tcBorders>
            <w:shd w:val="clear" w:color="auto" w:fill="auto"/>
            <w:noWrap/>
            <w:vAlign w:val="center"/>
            <w:hideMark/>
          </w:tcPr>
          <w:p w:rsidR="00BC6B8B" w:rsidRPr="00BC6B8B" w:rsidRDefault="00BC6B8B" w:rsidP="000A3F29">
            <w:pPr>
              <w:jc w:val="center"/>
              <w:rPr>
                <w:rFonts w:ascii="Calibri" w:hAnsi="Calibri"/>
                <w:color w:val="000000"/>
                <w:sz w:val="10"/>
                <w:szCs w:val="10"/>
                <w:lang w:val="es-MX" w:eastAsia="es-MX"/>
              </w:rPr>
            </w:pPr>
          </w:p>
        </w:tc>
        <w:tc>
          <w:tcPr>
            <w:tcW w:w="1984" w:type="dxa"/>
            <w:tcBorders>
              <w:top w:val="single" w:sz="4" w:space="0" w:color="auto"/>
              <w:bottom w:val="single" w:sz="4" w:space="0" w:color="auto"/>
            </w:tcBorders>
            <w:shd w:val="clear" w:color="auto" w:fill="auto"/>
            <w:vAlign w:val="center"/>
            <w:hideMark/>
          </w:tcPr>
          <w:p w:rsidR="00BC6B8B" w:rsidRPr="00BC6B8B" w:rsidRDefault="00BC6B8B" w:rsidP="000A3F29">
            <w:pPr>
              <w:rPr>
                <w:rFonts w:ascii="Calibri" w:hAnsi="Calibri"/>
                <w:color w:val="000000"/>
                <w:sz w:val="10"/>
                <w:szCs w:val="10"/>
                <w:lang w:val="es-MX" w:eastAsia="es-MX"/>
              </w:rPr>
            </w:pPr>
          </w:p>
        </w:tc>
        <w:tc>
          <w:tcPr>
            <w:tcW w:w="1276" w:type="dxa"/>
            <w:tcBorders>
              <w:top w:val="single" w:sz="4" w:space="0" w:color="auto"/>
              <w:bottom w:val="single" w:sz="4" w:space="0" w:color="auto"/>
            </w:tcBorders>
            <w:shd w:val="clear" w:color="auto" w:fill="auto"/>
            <w:vAlign w:val="center"/>
            <w:hideMark/>
          </w:tcPr>
          <w:p w:rsidR="00BC6B8B" w:rsidRPr="00BC6B8B" w:rsidRDefault="00BC6B8B" w:rsidP="000A3F29">
            <w:pPr>
              <w:jc w:val="center"/>
              <w:rPr>
                <w:rFonts w:ascii="Calibri" w:hAnsi="Calibri"/>
                <w:color w:val="000000"/>
                <w:sz w:val="10"/>
                <w:szCs w:val="10"/>
                <w:lang w:val="es-MX" w:eastAsia="es-MX"/>
              </w:rPr>
            </w:pPr>
          </w:p>
        </w:tc>
        <w:tc>
          <w:tcPr>
            <w:tcW w:w="1984" w:type="dxa"/>
            <w:tcBorders>
              <w:top w:val="single" w:sz="4" w:space="0" w:color="auto"/>
              <w:bottom w:val="single" w:sz="4" w:space="0" w:color="auto"/>
            </w:tcBorders>
            <w:shd w:val="clear" w:color="auto" w:fill="auto"/>
            <w:vAlign w:val="center"/>
            <w:hideMark/>
          </w:tcPr>
          <w:p w:rsidR="00BC6B8B" w:rsidRPr="00BC6B8B" w:rsidRDefault="00BC6B8B" w:rsidP="000A3F29">
            <w:pPr>
              <w:jc w:val="center"/>
              <w:rPr>
                <w:rFonts w:ascii="Calibri" w:hAnsi="Calibri"/>
                <w:color w:val="000000"/>
                <w:sz w:val="10"/>
                <w:szCs w:val="10"/>
                <w:lang w:val="es-MX" w:eastAsia="es-MX"/>
              </w:rPr>
            </w:pPr>
          </w:p>
        </w:tc>
        <w:tc>
          <w:tcPr>
            <w:tcW w:w="3969" w:type="dxa"/>
            <w:tcBorders>
              <w:top w:val="single" w:sz="4" w:space="0" w:color="auto"/>
              <w:bottom w:val="single" w:sz="4" w:space="0" w:color="auto"/>
            </w:tcBorders>
            <w:shd w:val="clear" w:color="auto" w:fill="auto"/>
            <w:vAlign w:val="center"/>
            <w:hideMark/>
          </w:tcPr>
          <w:p w:rsidR="00BC6B8B" w:rsidRPr="00BC6B8B" w:rsidRDefault="00BC6B8B" w:rsidP="000A3F29">
            <w:pPr>
              <w:rPr>
                <w:rFonts w:ascii="Calibri" w:hAnsi="Calibri"/>
                <w:color w:val="000000"/>
                <w:sz w:val="10"/>
                <w:szCs w:val="10"/>
                <w:lang w:val="es-MX" w:eastAsia="es-MX"/>
              </w:rPr>
            </w:pP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JORGE NUCHITA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2DO.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JOSE AYUQUILA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JOSE PEÑASCO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168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JOSE ESTANCIA GRANDE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JOSE LACHIGUIRI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JOSE TENANGO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11/06/15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ACHIUTLA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ATEPEC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20/04/16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2DO.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ATATLAHUCA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COIXTLAHUACA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CUICATLAN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179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JAYACATLAN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LO DE SOTO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SUCHITEPEC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04/03/15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BAUTISTA TLACHICHILCO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BAUTISTA TUXTEPEC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1" w:history="1">
              <w:r w:rsidR="00E33957" w:rsidRPr="00126607">
                <w:rPr>
                  <w:rFonts w:ascii="Calibri" w:hAnsi="Calibri"/>
                  <w:color w:val="0000FF"/>
                  <w:sz w:val="16"/>
                  <w:szCs w:val="16"/>
                  <w:u w:val="single"/>
                  <w:lang w:val="es-MX" w:eastAsia="es-MX"/>
                </w:rPr>
                <w:t>HTTP://WWW.TUXTEPEC.GOB.MX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CIENEGUILLA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COATZOSPAM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COLORADO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189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COMALTEPEC</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CHOAPAM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18/04/16</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COTZOCON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CUENTA PÚBLICA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CHICOMEZUCHIL</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w:t>
            </w:r>
          </w:p>
          <w:p w:rsidR="00E33957" w:rsidRPr="00C93BF3" w:rsidRDefault="00E33957" w:rsidP="000A3F29">
            <w:pPr>
              <w:jc w:val="center"/>
              <w:rPr>
                <w:rFonts w:ascii="Calibri" w:hAnsi="Calibri"/>
                <w:color w:val="000000"/>
                <w:sz w:val="16"/>
                <w:szCs w:val="16"/>
              </w:rPr>
            </w:pPr>
            <w:r>
              <w:rPr>
                <w:rFonts w:ascii="Calibri" w:hAnsi="Calibri"/>
                <w:color w:val="000000"/>
                <w:sz w:val="16"/>
                <w:szCs w:val="16"/>
              </w:rPr>
              <w:t>CONVENIO FIRMADO 26/09/14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CHILATECA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DEL ESTADO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11/03/15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DEL RIO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DIUXI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EVANGELISTA ANALCO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GUELAVIA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2" w:history="1">
              <w:r w:rsidR="00E33957" w:rsidRPr="00126607">
                <w:rPr>
                  <w:rFonts w:ascii="Calibri" w:hAnsi="Calibri"/>
                  <w:color w:val="0000FF"/>
                  <w:sz w:val="16"/>
                  <w:szCs w:val="16"/>
                  <w:u w:val="single"/>
                  <w:lang w:val="es-MX" w:eastAsia="es-MX"/>
                </w:rPr>
                <w:t>HTTP://SANJUANGUELAVIA.GOB.MX/TRANSPARENCIA/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GUICHICOVI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3" w:history="1">
              <w:r w:rsidR="00E33957" w:rsidRPr="00126607">
                <w:rPr>
                  <w:rFonts w:ascii="Calibri" w:hAnsi="Calibri"/>
                  <w:color w:val="0000FF"/>
                  <w:sz w:val="16"/>
                  <w:szCs w:val="16"/>
                  <w:u w:val="single"/>
                  <w:lang w:val="es-MX" w:eastAsia="es-MX"/>
                </w:rPr>
                <w:t>HTTP://MUNICIPIOSANJUANGUICHICOVI.GOB.MX/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199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IHUALTEPEC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JUQUILA MIXES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JUQUILA VIJANOS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CUENTA PÚBLICA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LACHAO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LACHIGALLA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LAJARCIA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LALANA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CHOAPAM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DE LOS CUES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bl>
    <w:p w:rsidR="00BC6B8B" w:rsidRDefault="00BC6B8B"/>
    <w:p w:rsidR="00BC6B8B" w:rsidRDefault="00BC6B8B"/>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MAZATLAN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14/01/16</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209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1ER. TRIM.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ÑUMI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OZOLOTEPEC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17/09/2015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PETLAPA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CHOAPAM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QUIAHIJE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SAYULTEPEC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TABAA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4" w:history="1">
              <w:r w:rsidR="00E33957" w:rsidRPr="00126607">
                <w:rPr>
                  <w:rFonts w:ascii="Calibri" w:hAnsi="Calibri"/>
                  <w:color w:val="0000FF"/>
                  <w:sz w:val="16"/>
                  <w:szCs w:val="16"/>
                  <w:u w:val="single"/>
                  <w:lang w:val="es-MX" w:eastAsia="es-MX"/>
                </w:rPr>
                <w:t>WWW.SANJUANTABAA.ORG.MX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219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JUAN TEITIPAC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5" w:history="1">
              <w:r w:rsidR="00E33957" w:rsidRPr="00126607">
                <w:rPr>
                  <w:rFonts w:ascii="Calibri" w:hAnsi="Calibri"/>
                  <w:color w:val="0000FF"/>
                  <w:sz w:val="16"/>
                  <w:szCs w:val="16"/>
                  <w:u w:val="single"/>
                  <w:lang w:val="es-MX" w:eastAsia="es-MX"/>
                </w:rPr>
                <w:t>HTTP://SANJUANTEITIPAC.GOB.MX/TRANSPARENCIA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TEPEUXILA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TEPOSCOLULA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ANUAL 2016.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YAEE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YATZONA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JUAN YUCUITA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2016. INFORMACIÓN PUBLICADA: HASTA  1ER. TRIM.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 LORENZO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LORENZO ALBARRADAS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6" w:history="1">
              <w:r w:rsidR="00E33957" w:rsidRPr="00126607">
                <w:rPr>
                  <w:rFonts w:ascii="Calibri" w:hAnsi="Calibri"/>
                  <w:color w:val="0000FF"/>
                  <w:sz w:val="16"/>
                  <w:szCs w:val="16"/>
                  <w:u w:val="single"/>
                  <w:lang w:val="es-MX" w:eastAsia="es-MX"/>
                </w:rPr>
                <w:t>HTTP://MUNICIPIODESANLORENZOALBARRADAS.GOB.MX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LORENZO CACAOTEPEC</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30/06/14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LORENZO CUAUNECUILTITLA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229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LORENZO TEXMELUCAN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LORENZO VICTORIA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1ER.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LUCAS CAMOTLAN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LUCAS OJITLAN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LUCAS QUIAVINI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7" w:history="1">
              <w:r w:rsidR="00E33957" w:rsidRPr="00126607">
                <w:rPr>
                  <w:rFonts w:ascii="Calibri" w:hAnsi="Calibri"/>
                  <w:color w:val="0000FF"/>
                  <w:sz w:val="16"/>
                  <w:szCs w:val="16"/>
                  <w:u w:val="single"/>
                  <w:lang w:val="es-MX" w:eastAsia="es-MX"/>
                </w:rPr>
                <w:t>HTTP://WWW.MUNICIPIOSTRANSPARENTES.ORG/SAN-LUCAS-QUIAVINI.HTML</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LUCAS ZOQUIAPAM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LUIS AMATLAN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22/06/15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MARCIAL OZOLOTEPEC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MARCOS ARTEAGA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DE LOS CANSECOS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239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HUAMELULPAM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ITUNYOSO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02/06/15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LACHILA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PERAS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TILCAJETE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23/10/2014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MARTIN ZACATEPEC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CAPULALPAM DE MENDEZ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29/10/15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EL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248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 xml:space="preserve">SAN MATEO DEL MAR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sz w:val="16"/>
                <w:szCs w:val="16"/>
                <w:lang w:val="es-MX" w:eastAsia="es-MX"/>
              </w:rPr>
            </w:pPr>
            <w:r w:rsidRPr="00126607">
              <w:rPr>
                <w:rFonts w:ascii="Calibri" w:hAnsi="Calibri"/>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8" w:history="1">
              <w:r w:rsidR="00E33957" w:rsidRPr="00126607">
                <w:rPr>
                  <w:rFonts w:ascii="Calibri" w:hAnsi="Calibri"/>
                  <w:color w:val="0000FF"/>
                  <w:sz w:val="16"/>
                  <w:szCs w:val="16"/>
                  <w:u w:val="single"/>
                  <w:lang w:val="es-MX" w:eastAsia="es-MX"/>
                </w:rPr>
                <w:t>HTTP://WWW.SANMATEODELMAR.COM.MX/TRANSPARENCIA/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SOLO ANUAL 2015. INFORMACIÓN PUBLICADA: SOLO ANUAL 2015. </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ETLATONGO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15/04/14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NEJAPAM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PIÑAS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RIO HONDO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SINDIHUI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TLAPILTEPEC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MELCHOR BETAZA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ACHIUTLA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259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AHUEHUETITLAN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ALOAPAM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AMATITLAN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AMATLAN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COATLAN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MIGUEL CHICAHUA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sz w:val="16"/>
                <w:szCs w:val="16"/>
                <w:lang w:val="es-MX" w:eastAsia="es-MX"/>
              </w:rPr>
            </w:pPr>
            <w:r w:rsidRPr="00126607">
              <w:rPr>
                <w:rFonts w:ascii="Calibri" w:hAnsi="Calibri"/>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59" w:history="1">
              <w:r w:rsidR="00E33957" w:rsidRPr="00126607">
                <w:rPr>
                  <w:rFonts w:ascii="Calibri" w:hAnsi="Calibri"/>
                  <w:color w:val="0000FF"/>
                  <w:sz w:val="16"/>
                  <w:szCs w:val="16"/>
                  <w:u w:val="single"/>
                  <w:lang w:val="es-MX" w:eastAsia="es-MX"/>
                </w:rPr>
                <w:t>HTTP://SANMIGUELCHICAHUA.GOB.MX/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PAGINA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CHIMALAPA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DEL RIO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1ER.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MIGUEL EJUTLA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0" w:history="1">
              <w:r w:rsidR="00E33957" w:rsidRPr="00126607">
                <w:rPr>
                  <w:rFonts w:ascii="Calibri" w:hAnsi="Calibri"/>
                  <w:color w:val="0000FF"/>
                  <w:sz w:val="16"/>
                  <w:szCs w:val="16"/>
                  <w:u w:val="single"/>
                  <w:lang w:val="es-MX" w:eastAsia="es-MX"/>
                </w:rPr>
                <w:t>HTTP://WWW.SANMIGUELEJUTLA.GOB.MX/TRANSPARENCIA.PHP</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269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EL GRANDE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HUAUTLA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PANIXTLAHUACA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 MIGUEL PERAS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ZAACHILA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01/10/14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PIEDRAS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QUETZALTEPEC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CUENTA PÚBLICA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VILLA SOLA DE VEGA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SOYALTEPEC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279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SUCHIXTEPEC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VILLA TALEA DE CASTRO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sz w:val="16"/>
                <w:szCs w:val="16"/>
                <w:lang w:val="es-MX" w:eastAsia="es-MX"/>
              </w:rPr>
            </w:pPr>
            <w:r w:rsidRPr="00126607">
              <w:rPr>
                <w:rFonts w:ascii="Calibri" w:hAnsi="Calibri"/>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INFORMACIÓN PUBLICADA: HASTA 4TO. TRIM.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TECOMATLAN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TENANGO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TEQUIXTEPEC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24/01/14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1ER.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TILQUIAPAM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TLACAMAMA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TLACOTEPEC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TULANCINGO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HASTA 1ER.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288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MIGUEL YOTAO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CUATRO VENADOS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ZAACHILA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17/02/14 Y 02/05/14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 PABLO ETLA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HUITZO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HUIXTEPEC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MACUILTIANGUIS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07/04/16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ANUAL 2015.</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TIJALTEPEC</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25/02/14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VILLA DE MITLA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299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PABLO YAGANIZA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18/04/16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AMUZGOS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 PEDRO APOSTOL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CAJONOS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COXCALTEPEC CANTAROS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COMITANCILLO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EL ALTO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309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IXCATLAN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TUXTEPEC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PEDRO 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1" w:history="1">
              <w:r w:rsidR="00E33957" w:rsidRPr="00126607">
                <w:rPr>
                  <w:rFonts w:ascii="Calibri" w:hAnsi="Calibri"/>
                  <w:color w:val="0000FF"/>
                  <w:sz w:val="16"/>
                  <w:szCs w:val="16"/>
                  <w:u w:val="single"/>
                  <w:lang w:val="es-MX" w:eastAsia="es-MX"/>
                </w:rPr>
                <w:t>HTTP://WWW.SANPEDROIXTLAHUACA.GOB.MX/PORTAL-DE-TRANSPARENCIA/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JALTEPETONGO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JOCOTIPAC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JUCHATENGO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MARTIR</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MARTIR QUIECHAPA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MARTIR YUCUXACO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FIRMADO28/10/14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319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PEDRO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ANUAL  2014.</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 xml:space="preserve">SAN PEDRO MOLINOS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2" w:history="1">
              <w:r w:rsidR="00E33957" w:rsidRPr="00126607">
                <w:rPr>
                  <w:rFonts w:ascii="Calibri" w:hAnsi="Calibri"/>
                  <w:color w:val="0000FF"/>
                  <w:sz w:val="16"/>
                  <w:szCs w:val="16"/>
                  <w:u w:val="single"/>
                  <w:lang w:val="es-MX" w:eastAsia="es-MX"/>
                </w:rPr>
                <w:t>HTTP://SANPEDROMOLINOS.GOB.MX/</w:t>
              </w:r>
            </w:hyperlink>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INFORMACIÓN PUBLICADA: HASTA 2DO. TRIM.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NOPALA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PEDRO OCOPETATILLO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3" w:anchor="!transparencia/c1iwz" w:history="1">
              <w:r w:rsidR="00E33957" w:rsidRPr="00126607">
                <w:rPr>
                  <w:rFonts w:ascii="Calibri" w:hAnsi="Calibri"/>
                  <w:color w:val="0000FF"/>
                  <w:sz w:val="16"/>
                  <w:szCs w:val="16"/>
                  <w:u w:val="single"/>
                  <w:lang w:val="es-MX" w:eastAsia="es-MX"/>
                </w:rPr>
                <w:t>HTTP://WWW.SANPEDROOCOPETATILLO.ORG/#!TRANSPARENCIA/C1IWZ</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OCOTEPEC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PEDRO POCHUTLA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4" w:history="1">
              <w:r w:rsidR="00E33957" w:rsidRPr="00126607">
                <w:rPr>
                  <w:rFonts w:ascii="Calibri" w:hAnsi="Calibri"/>
                  <w:color w:val="0000FF"/>
                  <w:sz w:val="16"/>
                  <w:szCs w:val="16"/>
                  <w:u w:val="single"/>
                  <w:lang w:val="es-MX" w:eastAsia="es-MX"/>
                </w:rPr>
                <w:t>HTTP://WWW.SANPEDROPOCHUTLA.GOB.MX/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Y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QUIATONI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SOCHIAPAM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PEDRO TAPANATEPEC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5" w:history="1">
              <w:r w:rsidR="00E33957" w:rsidRPr="00126607">
                <w:rPr>
                  <w:rFonts w:ascii="Calibri" w:hAnsi="Calibri"/>
                  <w:color w:val="0000FF"/>
                  <w:sz w:val="16"/>
                  <w:szCs w:val="16"/>
                  <w:u w:val="single"/>
                  <w:lang w:val="es-MX" w:eastAsia="es-MX"/>
                </w:rPr>
                <w:t>HTTP://WWW.MUNICIPIODESANPEDROTAPANATEPEC.GOB.MX/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TAVICHE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329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TEOZACOALCO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1ER.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TEUTILA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TIDAA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TOPILTEPEC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1ER. TRIM. 2015.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TOTOLAPAM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VILLA DE TUTUTEPEC DE MELCHOR OCAMPO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6" w:history="1">
              <w:r w:rsidR="00E33957" w:rsidRPr="00126607">
                <w:rPr>
                  <w:rFonts w:ascii="Calibri" w:hAnsi="Calibri"/>
                  <w:color w:val="0000FF"/>
                  <w:sz w:val="16"/>
                  <w:szCs w:val="16"/>
                  <w:u w:val="single"/>
                  <w:lang w:val="es-MX" w:eastAsia="es-MX"/>
                </w:rPr>
                <w:t>HTTP://WWW.TUTUTEPEC.OAXACA.GOB.MX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YOLOX</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VILLA DE ETLA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339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PEDRO Y SAN PABLO TESPOSCOLULA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17/06/14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PEDRO YUCUNAMA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17/11/15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RAYMUNDO JALPAN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7" w:history="1">
              <w:r w:rsidR="00E33957" w:rsidRPr="00126607">
                <w:rPr>
                  <w:rFonts w:ascii="Calibri" w:hAnsi="Calibri"/>
                  <w:color w:val="0000FF"/>
                  <w:sz w:val="16"/>
                  <w:szCs w:val="16"/>
                  <w:u w:val="single"/>
                  <w:lang w:val="es-MX" w:eastAsia="es-MX"/>
                </w:rPr>
                <w:t>HTTP://MUNICIPIOSANRAYMUNDOJALPAN.GOB.MX/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Y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ABASOLO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COATLAN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 SEBASTIAN IXCAPA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8" w:history="1">
              <w:r w:rsidR="00E33957" w:rsidRPr="00126607">
                <w:rPr>
                  <w:rFonts w:ascii="Calibri" w:hAnsi="Calibri"/>
                  <w:color w:val="0000FF"/>
                  <w:sz w:val="16"/>
                  <w:szCs w:val="16"/>
                  <w:u w:val="single"/>
                  <w:lang w:val="es-MX" w:eastAsia="es-MX"/>
                </w:rPr>
                <w:t>HTTP://WWW.IXCAPA.COM.MX/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NICANANDUTA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RIO HONDO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4TO.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TECOMAXTLAHUACA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349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TEITIPAC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SEBASTIAN TUTLA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SIMON ALMOLONGAS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SIMON ZAHUATLAN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ANA MIAHUATLAN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69" w:history="1">
              <w:r w:rsidR="00E33957" w:rsidRPr="00126607">
                <w:rPr>
                  <w:rFonts w:ascii="Calibri" w:hAnsi="Calibri"/>
                  <w:color w:val="0000FF"/>
                  <w:sz w:val="16"/>
                  <w:szCs w:val="16"/>
                  <w:u w:val="single"/>
                  <w:lang w:val="es-MX" w:eastAsia="es-MX"/>
                </w:rPr>
                <w:t>HTTP://SANTAANAMIAHUATLAN.GOB.MX/WEB/TRANSPARENCIA/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ANA ATEIXTLAHUACA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FF"/>
                <w:sz w:val="16"/>
                <w:szCs w:val="16"/>
                <w:u w:val="single"/>
                <w:lang w:val="es-MX" w:eastAsia="es-MX"/>
              </w:rPr>
            </w:pPr>
            <w:r w:rsidRPr="00126607">
              <w:rPr>
                <w:rFonts w:ascii="Calibri" w:hAnsi="Calibri"/>
                <w:color w:val="0000FF"/>
                <w:sz w:val="16"/>
                <w:szCs w:val="16"/>
                <w:u w:val="single"/>
                <w:lang w:val="es-MX" w:eastAsia="es-MX"/>
              </w:rPr>
              <w:t>HTTP://WWW.SANTAANAATEIXTLAHUACA.ORG/</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ANA CUAUHTEMOC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SANTA ANA DEL VALLE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ANA TAVELA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ANA TLAPACOYAN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0" w:history="1">
              <w:r w:rsidR="00E33957" w:rsidRPr="00126607">
                <w:rPr>
                  <w:rFonts w:ascii="Calibri" w:hAnsi="Calibri"/>
                  <w:color w:val="0000FF"/>
                  <w:sz w:val="16"/>
                  <w:szCs w:val="16"/>
                  <w:u w:val="single"/>
                  <w:lang w:val="es-MX" w:eastAsia="es-MX"/>
                </w:rPr>
                <w:t>HTTP://SANTAANATLAPACOYAN.GOB.MX/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359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ANA YARENI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ANA ZEGACHE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30/05/14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ANUAL 2014.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CATALINA QUIERI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CUIXTLA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IXTEPEJI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08/09/15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CATARINA LOXICHA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1" w:history="1">
              <w:r w:rsidR="00E33957" w:rsidRPr="00126607">
                <w:rPr>
                  <w:rFonts w:ascii="Calibri" w:hAnsi="Calibri"/>
                  <w:color w:val="0000FF"/>
                  <w:sz w:val="16"/>
                  <w:szCs w:val="16"/>
                  <w:u w:val="single"/>
                  <w:lang w:val="es-MX" w:eastAsia="es-MX"/>
                </w:rPr>
                <w:t>HTTP://WWW.SANTACATARINALOXICHA.GOB.MX/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MECHOACAN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3ER.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MINAS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369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QUIANE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TAYATA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ANUAL 2016.</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TICUA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CATARINA YOSONOTU</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ACATEPEC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CRUZ AMILPAS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2" w:history="1">
              <w:r w:rsidR="00E33957" w:rsidRPr="00126607">
                <w:rPr>
                  <w:rFonts w:ascii="Calibri" w:hAnsi="Calibri"/>
                  <w:color w:val="0000FF"/>
                  <w:sz w:val="16"/>
                  <w:szCs w:val="16"/>
                  <w:u w:val="single"/>
                  <w:lang w:val="es-MX" w:eastAsia="es-MX"/>
                </w:rPr>
                <w:t>HTTP://WWW.SANTACRUZAMILPAS.COM/</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DE BRAVO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ITUNDUJIA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CRUZ MIXTEPEC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3" w:history="1">
              <w:r w:rsidR="00E33957" w:rsidRPr="00126607">
                <w:rPr>
                  <w:rFonts w:ascii="Calibri" w:hAnsi="Calibri"/>
                  <w:color w:val="0000FF"/>
                  <w:sz w:val="16"/>
                  <w:szCs w:val="16"/>
                  <w:u w:val="single"/>
                  <w:lang w:val="es-MX" w:eastAsia="es-MX"/>
                </w:rPr>
                <w:t>HTTP://MUNICIPIOSANTACRUZMIXTEPEC.COM/</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379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NUNDACO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PAPALUTLA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TACACHE DE MINA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INFORMACIÓN PUBLICADA: HASTA 2DO. TRIM. 2015. </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TACAHUA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07/10/14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TAYATA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XITLA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CRUZ XOXOCOTLAN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4" w:anchor="presupuesto" w:history="1">
              <w:r w:rsidR="00E33957" w:rsidRPr="00126607">
                <w:rPr>
                  <w:rFonts w:ascii="Calibri" w:hAnsi="Calibri"/>
                  <w:color w:val="0000FF"/>
                  <w:sz w:val="16"/>
                  <w:szCs w:val="16"/>
                  <w:u w:val="single"/>
                  <w:lang w:val="es-MX" w:eastAsia="es-MX"/>
                </w:rPr>
                <w:t>HTTP://TRANSPARENCIA.XOXOCOTLAN.GOB.MX/#PRESUPUESTO</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CRUZ ZENZONTEPEC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19/05/15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INES DEL MONTE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ZAACHILA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389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INES YATZECHE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LUCIA MIAHUTLAN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4TO.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LUCIA MONTE VERDE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LUCIA OCOTLAN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ALOTEPEC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APAZCO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LA ASUNCION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HEROICA CIUDAD DE TLAXIACO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5" w:history="1">
              <w:r w:rsidR="00E33957" w:rsidRPr="00126607">
                <w:rPr>
                  <w:rFonts w:ascii="Calibri" w:hAnsi="Calibri"/>
                  <w:color w:val="0000FF"/>
                  <w:sz w:val="16"/>
                  <w:szCs w:val="16"/>
                  <w:u w:val="single"/>
                  <w:lang w:val="es-MX" w:eastAsia="es-MX"/>
                </w:rPr>
                <w:t>HTTP://WWW.MUNICIPIOTLAXIACO.GOB.MX/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398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AYOQUEZCO DE ALDAMA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CAMOTLAN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6" w:history="1">
              <w:r w:rsidR="00E33957" w:rsidRPr="00126607">
                <w:rPr>
                  <w:rFonts w:ascii="Calibri" w:hAnsi="Calibri"/>
                  <w:color w:val="0000FF"/>
                  <w:sz w:val="16"/>
                  <w:szCs w:val="16"/>
                  <w:u w:val="single"/>
                  <w:lang w:val="es-MX" w:eastAsia="es-MX"/>
                </w:rPr>
                <w:t>HTTP://WWW.SANTAMARIACAMOTLAN.GOB.MX/TRANSPARENCIA.PHP</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COLOTEPEC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CORTIJO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COYOTEPEC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31/01/14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1ER. TRIM. 2015. INFORMACIÓN PUBLICADA: HASTA 1ER.TRIM. 2015.</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CHACHOAPAM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7" w:history="1">
              <w:r w:rsidR="00E33957" w:rsidRPr="00126607">
                <w:rPr>
                  <w:rFonts w:ascii="Calibri" w:hAnsi="Calibri"/>
                  <w:color w:val="0000FF"/>
                  <w:sz w:val="16"/>
                  <w:szCs w:val="16"/>
                  <w:u w:val="single"/>
                  <w:lang w:val="es-MX" w:eastAsia="es-MX"/>
                </w:rPr>
                <w:t>HTTP://SANTAMARIACHACHOAPAM.GOB.MX/</w:t>
              </w:r>
            </w:hyperlink>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VILLA DE CHILAPA DE DIAZ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CHILCHOTLA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SANTA MARIA DEL ROSARIO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409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EL TULE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8" w:history="1">
              <w:r w:rsidR="00E33957" w:rsidRPr="00126607">
                <w:rPr>
                  <w:rFonts w:ascii="Calibri" w:hAnsi="Calibri"/>
                  <w:color w:val="0000FF"/>
                  <w:sz w:val="16"/>
                  <w:szCs w:val="16"/>
                  <w:u w:val="single"/>
                  <w:lang w:val="es-MX" w:eastAsia="es-MX"/>
                </w:rPr>
                <w:t>WWW.MUNICIPIOTULE.COM.MX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GUELACE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GUIENAGATI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30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HUATULCO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79" w:history="1">
              <w:r w:rsidR="00E33957" w:rsidRPr="00126607">
                <w:rPr>
                  <w:rFonts w:ascii="Calibri" w:hAnsi="Calibri"/>
                  <w:color w:val="0000FF"/>
                  <w:sz w:val="16"/>
                  <w:szCs w:val="16"/>
                  <w:u w:val="single"/>
                  <w:lang w:val="es-MX" w:eastAsia="es-MX"/>
                </w:rPr>
                <w:t>HTTP://HUATULCO.GOB.MX/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HUAZOLOTITLAN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0" w:history="1">
              <w:r w:rsidR="00E33957" w:rsidRPr="00126607">
                <w:rPr>
                  <w:rFonts w:ascii="Calibri" w:hAnsi="Calibri"/>
                  <w:color w:val="0000FF"/>
                  <w:sz w:val="16"/>
                  <w:szCs w:val="16"/>
                  <w:u w:val="single"/>
                  <w:lang w:val="es-MX" w:eastAsia="es-MX"/>
                </w:rPr>
                <w:t>HTTP://HUAZOLOTITLAN.GOB.MX/HACIENDAPUBLICA.PHP</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INFORMACIÓN PUBLICADA: ANUAL 2014.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IPALAPA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IXCATLAN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JALAPA DEL MARQUES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419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JALTIANGUIS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LACHIXIO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NATIVITAS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ANUAL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NDUAYACO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OZOLOTEPEC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17/09/2015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PAPALO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CUENTA PÚBLICA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PEÑOLES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1" w:history="1">
              <w:r w:rsidR="00E33957" w:rsidRPr="00126607">
                <w:rPr>
                  <w:rFonts w:ascii="Calibri" w:hAnsi="Calibri"/>
                  <w:color w:val="0000FF"/>
                  <w:sz w:val="16"/>
                  <w:szCs w:val="16"/>
                  <w:u w:val="single"/>
                  <w:lang w:val="es-MX" w:eastAsia="es-MX"/>
                </w:rPr>
                <w:t>HTTP://WWW.MUNICIPIOSANTAMARIAPENOLES.GOB.MX/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PETAPA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26/11/14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SANTA MARIA QUIEGOLANI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YAUTEPEC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429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SOLA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TATALTEPEC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TECOMAVACA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TEMAXCALAPA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TEMAXCALTEPEC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2" w:history="1">
              <w:r w:rsidR="00E33957" w:rsidRPr="00126607">
                <w:rPr>
                  <w:rFonts w:ascii="Calibri" w:hAnsi="Calibri"/>
                  <w:color w:val="0000FF"/>
                  <w:sz w:val="16"/>
                  <w:szCs w:val="16"/>
                  <w:u w:val="single"/>
                  <w:lang w:val="es-MX" w:eastAsia="es-MX"/>
                </w:rPr>
                <w:t>HTTP://WWW.MUNICIPIOSTRANSPARENTES.ORG/INICIOTEMAXCALTEPEC.HTML</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TEOPOXCO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TEXCATITLAN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TLAHUITOLTEPEC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05/10/15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439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TONAMECA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TOTOLAPILLA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XADANI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YALINA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07/03/16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SANTA MARIA YAVESIA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YOLOTEPEC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YOSOYUA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31/03/14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1ER.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MARIA YUCUHITI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449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SANTA MARIA ZOQUITLAN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APOALA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APOSTOL</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01/07/14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ASTATA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AYUQUILILLA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CACALOXTEPEC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CAMOTLAN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17/03/16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COMALTEPEC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459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CHAZUMBA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Y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CHOAPAM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CHOAPAM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3ER. Y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DEL RIO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HUAJOLOTITLAN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HUAUCLILLA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IHUITLAN PLUMAS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ANUAL 2016.</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IXCUINTEPEC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JOCOTEPEC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CHOAPAM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469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SANTIAGO JUXTLAHUACA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3" w:history="1">
              <w:r w:rsidR="00E33957" w:rsidRPr="00126607">
                <w:rPr>
                  <w:rFonts w:ascii="Calibri" w:hAnsi="Calibri"/>
                  <w:color w:val="0000FF"/>
                  <w:sz w:val="16"/>
                  <w:szCs w:val="16"/>
                  <w:u w:val="single"/>
                  <w:lang w:val="es-MX" w:eastAsia="es-MX"/>
                </w:rPr>
                <w:t>HTTP://WWW.JUXTLAHUACA-MUNICIPIO.MX/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LACHIGUIRI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LALOPA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SANTIAGO LAOLLAGA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4" w:history="1">
              <w:r w:rsidR="00E33957" w:rsidRPr="00126607">
                <w:rPr>
                  <w:rFonts w:ascii="Calibri" w:hAnsi="Calibri"/>
                  <w:color w:val="0000FF"/>
                  <w:sz w:val="16"/>
                  <w:szCs w:val="16"/>
                  <w:u w:val="single"/>
                  <w:lang w:val="es-MX" w:eastAsia="es-MX"/>
                </w:rPr>
                <w:t>HTTP://SANTIAGOLAOLLAGA.COM/</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LAXOPA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LLANO GRANDE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CONVENIO FIRMADO 09/02/15 </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PUBLICADA: HASTA 4TO. TRIM. 2015. INFORMACIÓN PUBLICADA: HASTA  ANUAL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SANTIAGO MATATLAN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5" w:history="1">
              <w:r w:rsidR="00E33957" w:rsidRPr="00126607">
                <w:rPr>
                  <w:rFonts w:ascii="Calibri" w:hAnsi="Calibri"/>
                  <w:color w:val="0000FF"/>
                  <w:sz w:val="16"/>
                  <w:szCs w:val="16"/>
                  <w:u w:val="single"/>
                  <w:lang w:val="es-MX" w:eastAsia="es-MX"/>
                </w:rPr>
                <w:t>HTTP://MUNICIPIOMATATLAN.GOB.MX/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MILTEPEC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03/09/15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MINAS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21/04/15</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NACALTEPEC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11/11/14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479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NEJAPILLA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NUNDICHE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SUCHILQUITONGO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03/09/14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INFORMACIÓN PUBLICADA: HASTA ANUAL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TAMAZOLA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22/08/14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INFORMACIÓN PUBLICADA: HASTA 4TO. TRIM. 2014.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TAPEXTLA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31/03/14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INFORMACIÓN PUBLICADA: HASTA ANUAL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VILLA TEJUPAM DE LA UNION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SANTIAGO TENANGO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TEPETLAPA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489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TETEPEC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INFORMACIÓN PUBLICADA: ANUAL 2014 Y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TEXCALCINGO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TEOTITLAN </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02/12/14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TEXTITLAN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TILANTONGO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HASTA 4TO.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SANTIAGO TILLO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6" w:history="1">
              <w:r w:rsidR="00E33957" w:rsidRPr="00126607">
                <w:rPr>
                  <w:rFonts w:ascii="Calibri" w:hAnsi="Calibri"/>
                  <w:color w:val="0000FF"/>
                  <w:sz w:val="16"/>
                  <w:szCs w:val="16"/>
                  <w:u w:val="single"/>
                  <w:lang w:val="es-MX" w:eastAsia="es-MX"/>
                </w:rPr>
                <w:t>HTTP://SANTIAGOTILLO.GOB.MX/TRANSPARENCIA-2014/</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TLAZOYALTEPEC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21/05/15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8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SANTIAGO XANICA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926690" w:rsidRDefault="000306A2" w:rsidP="000A3F29">
            <w:pPr>
              <w:jc w:val="center"/>
              <w:rPr>
                <w:rFonts w:ascii="Calibri" w:hAnsi="Calibri"/>
                <w:color w:val="0000FF"/>
                <w:sz w:val="18"/>
                <w:szCs w:val="18"/>
                <w:u w:val="single"/>
                <w:lang w:val="en-US" w:eastAsia="es-MX"/>
              </w:rPr>
            </w:pPr>
            <w:hyperlink r:id="rId187" w:history="1">
              <w:r w:rsidR="00E33957" w:rsidRPr="00926690">
                <w:rPr>
                  <w:rFonts w:ascii="Calibri" w:hAnsi="Calibri"/>
                  <w:color w:val="0000FF"/>
                  <w:sz w:val="18"/>
                  <w:szCs w:val="18"/>
                  <w:u w:val="single"/>
                  <w:lang w:val="en-US" w:eastAsia="es-MX"/>
                </w:rPr>
                <w:t>HTTP://WWW.SANTIAGOXANICA.COM.MX/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45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XIACUI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25/02/14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YAITEPEC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16/05/14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YAVEO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CHOAPAM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499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SANTIAGO YOLOMECATL</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8" w:history="1">
              <w:r w:rsidR="00E33957" w:rsidRPr="00126607">
                <w:rPr>
                  <w:rFonts w:ascii="Calibri" w:hAnsi="Calibri"/>
                  <w:color w:val="0000FF"/>
                  <w:sz w:val="16"/>
                  <w:szCs w:val="16"/>
                  <w:u w:val="single"/>
                  <w:lang w:val="es-MX" w:eastAsia="es-MX"/>
                </w:rPr>
                <w:t>HTTP://WWW.SANTIAGOYOLOMECATL.COM.MX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YOSONDUA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YUCUYACHI</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SANTIAGO ZACATEPEC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NUEVO ZOQUIAPAM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B050"/>
                <w:sz w:val="16"/>
                <w:szCs w:val="16"/>
                <w:lang w:val="es-MX" w:eastAsia="es-MX"/>
              </w:rPr>
            </w:pPr>
            <w:r w:rsidRPr="00126607">
              <w:rPr>
                <w:rFonts w:ascii="Calibri" w:hAnsi="Calibri"/>
                <w:color w:val="00B050"/>
                <w:sz w:val="16"/>
                <w:szCs w:val="16"/>
                <w:lang w:val="es-MX" w:eastAsia="es-MX"/>
              </w:rPr>
              <w:t>SANTO DOMINGO INGENIO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20/04/16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ARMENTA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JAMILTEPEC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06/06/14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CHIHUITAN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23/02/15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509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DE MORELOS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POCHUTLA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IXCATLAN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INFORMACIÓN PUBLICADA: HASTA 3ER. TRIM. 2015.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NUXAA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03/03/15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 DOMINGO OZOLOTEPEC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89" w:history="1">
              <w:r w:rsidR="00E33957" w:rsidRPr="00126607">
                <w:rPr>
                  <w:rFonts w:ascii="Calibri" w:hAnsi="Calibri"/>
                  <w:color w:val="0000FF"/>
                  <w:sz w:val="16"/>
                  <w:szCs w:val="16"/>
                  <w:u w:val="single"/>
                  <w:lang w:val="es-MX" w:eastAsia="es-MX"/>
                </w:rPr>
                <w:t>HTTP://SANTODOMINGOOZOLOTEPEC.ORG/</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Y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PETAPA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sz w:val="16"/>
                <w:szCs w:val="16"/>
                <w:lang w:val="es-MX" w:eastAsia="es-MX"/>
              </w:rPr>
            </w:pPr>
            <w:r w:rsidRPr="00126607">
              <w:rPr>
                <w:rFonts w:ascii="Calibri" w:hAnsi="Calibri"/>
                <w:sz w:val="16"/>
                <w:szCs w:val="16"/>
                <w:lang w:val="es-MX" w:eastAsia="es-MX"/>
              </w:rPr>
              <w:t>CONVENIO FIRMADO 05/12/14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ROAYAGA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 DOMINGO TEHUANTEPEC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TEHUANTEPEC</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0" w:history="1">
              <w:r w:rsidR="00E33957" w:rsidRPr="00126607">
                <w:rPr>
                  <w:rFonts w:ascii="Calibri" w:hAnsi="Calibri"/>
                  <w:color w:val="0000FF"/>
                  <w:sz w:val="16"/>
                  <w:szCs w:val="16"/>
                  <w:u w:val="single"/>
                  <w:lang w:val="es-MX" w:eastAsia="es-MX"/>
                </w:rPr>
                <w:t>HTTP://WWW.TEHUANTEPEC.GOB.MX/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TEOJOMULCO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10/04/14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TEPUXTEPEC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21/01/16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ANUAL 2015.</w:t>
            </w:r>
          </w:p>
        </w:tc>
      </w:tr>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518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TLATAYAPAM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15/10/14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TONALA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HASTA CUENTA PÚBLICA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 DOMINGO TONALTEPEC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XAGACIA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VILLA ALTA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09/02/16</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DOMINGO YODOHINO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16/02/15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 DOMINGO ZANATEPEC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1" w:history="1">
              <w:r w:rsidR="00E33957" w:rsidRPr="00126607">
                <w:rPr>
                  <w:rFonts w:ascii="Calibri" w:hAnsi="Calibri"/>
                  <w:color w:val="0000FF"/>
                  <w:sz w:val="16"/>
                  <w:szCs w:val="16"/>
                  <w:u w:val="single"/>
                  <w:lang w:val="es-MX" w:eastAsia="es-MX"/>
                </w:rPr>
                <w:t>HTTP://WWW.MUNICIPIOZANATEPEC.COM.MX/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SANTOS REYES NOPALA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29/07/14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SANTOS REYES PAPALO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2" w:history="1">
              <w:r w:rsidR="00E33957" w:rsidRPr="00126607">
                <w:rPr>
                  <w:rFonts w:ascii="Calibri" w:hAnsi="Calibri"/>
                  <w:color w:val="0000FF"/>
                  <w:sz w:val="16"/>
                  <w:szCs w:val="16"/>
                  <w:u w:val="single"/>
                  <w:lang w:val="es-MX" w:eastAsia="es-MX"/>
                </w:rPr>
                <w:t>HTTP://WWW.SANTOSREYESPAPALO.ORG.MX/INDEX.PHP/TRANSPARENCIA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SANTOS REYES TEPEJILLO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04/02/14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529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SANTOS REYES YUCUNA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27/03/14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HASTA 4TO. TRIM.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 TOMAS JALIEZA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3" w:history="1">
              <w:r w:rsidR="00E33957" w:rsidRPr="00126607">
                <w:rPr>
                  <w:rFonts w:ascii="Calibri" w:hAnsi="Calibri"/>
                  <w:color w:val="0000FF"/>
                  <w:sz w:val="16"/>
                  <w:szCs w:val="16"/>
                  <w:u w:val="single"/>
                  <w:lang w:val="es-MX" w:eastAsia="es-MX"/>
                </w:rPr>
                <w:t>HTTP://WWW.SANTOTOMASJALIEZA.COM/</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TOMAS MAZALTEPEC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14/11/14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SANTO TOMAS OCOTEPEC</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TLAXIACO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 Y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SANTO TOMAS TAMAZULAPAN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4" w:history="1">
              <w:r w:rsidR="00E33957" w:rsidRPr="00126607">
                <w:rPr>
                  <w:rFonts w:ascii="Calibri" w:hAnsi="Calibri"/>
                  <w:color w:val="0000FF"/>
                  <w:sz w:val="16"/>
                  <w:szCs w:val="16"/>
                  <w:u w:val="single"/>
                  <w:lang w:val="es-MX" w:eastAsia="es-MX"/>
                </w:rPr>
                <w:t>HTTP://SANTOTOMASTAMAZULAPAN.ORG/</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VICENTE COATLAN</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1ER. TRIM. 2015. INFORMACIÓN PUBLICADA: HASTA 1ER...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VICENTE LACHIXIO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28/01/14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2DO. TRIM. 2015. INFORMACIÓN PUBLICADA: ANUAL 2014. </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VICENTE NUÑU</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17/10/14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19/03/15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SITIO DE XITLAPEHUA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MIAHUATLAN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08/08/14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HASTA 4TO. TRIM.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539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SOLEDAD ETLA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VILLA DE TAMAZULAPAM DEL PROGRESO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10/02/15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TANICHE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12/02/14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1ER. TRIM.2015,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TATALTEPEC DE VALDES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JUQUILA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CUENTA PÚBLICA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TEOCOCUILCO DE MARCOS PEREZ</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03/08/15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CUENTA PÚBLICA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TEOTITLAN DEL VALLE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CONVENO FIRMADO 13/11/14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HASTA ANUAL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TEOTONGO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25/02/14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2016. INFORMACIÓN PUBLICADA: ANUAL 2014.</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TEPELMEME VILLA DE MORELOS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30/10/14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ANUAL 2015. INFORMACIÓN PUBLICADA: HASTA CUENTA PÚBLICA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549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TEZOATLAN DE SEGURA Y LUNA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JERONIMO TLACOCHAHUAYA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8/07/14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TLACOTEPEC PLUMAS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COIXTLAHUACA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18/11/14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TLALIXTAC DE CABRERA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CENTRO</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06/02/15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TOTONTEPEC VILLA DE MORELOS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MIXE</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06/04/15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TRINIDAD ZAACHILA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ZAACHILA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LA TRINIDAD VISTA HERMOSA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TEPOSCOLULA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21/07/15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UNION HIDALGO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JUCHITAN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27/04/15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558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VALERIO TRUJANO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CUICATLAN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4TO. TRIM. 2014.  INFORMACIÓN PUBLICADA: HASTA 4TO. TRIM. 2014</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BC6B8B" w:rsidRPr="00126607" w:rsidTr="000A3F29">
        <w:trPr>
          <w:trHeight w:val="300"/>
        </w:trPr>
        <w:tc>
          <w:tcPr>
            <w:tcW w:w="49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N° </w:t>
            </w:r>
          </w:p>
        </w:tc>
        <w:tc>
          <w:tcPr>
            <w:tcW w:w="1984"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MUNICIPIO</w:t>
            </w:r>
          </w:p>
        </w:tc>
        <w:tc>
          <w:tcPr>
            <w:tcW w:w="1276" w:type="dxa"/>
            <w:tcBorders>
              <w:top w:val="single" w:sz="4" w:space="0" w:color="auto"/>
              <w:left w:val="nil"/>
              <w:bottom w:val="single" w:sz="4" w:space="0" w:color="auto"/>
              <w:right w:val="single" w:sz="4" w:space="0" w:color="auto"/>
            </w:tcBorders>
            <w:shd w:val="clear" w:color="auto" w:fill="FDE9D9"/>
            <w:noWrap/>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DISTRITO</w:t>
            </w:r>
          </w:p>
        </w:tc>
        <w:tc>
          <w:tcPr>
            <w:tcW w:w="1984"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 xml:space="preserve">FORMA DE PUBLICACIÓN </w:t>
            </w:r>
          </w:p>
        </w:tc>
        <w:tc>
          <w:tcPr>
            <w:tcW w:w="3969" w:type="dxa"/>
            <w:tcBorders>
              <w:top w:val="single" w:sz="4" w:space="0" w:color="auto"/>
              <w:left w:val="nil"/>
              <w:bottom w:val="single" w:sz="4" w:space="0" w:color="auto"/>
              <w:right w:val="single" w:sz="4" w:space="0" w:color="auto"/>
            </w:tcBorders>
            <w:shd w:val="clear" w:color="auto" w:fill="FDE9D9"/>
            <w:vAlign w:val="center"/>
            <w:hideMark/>
          </w:tcPr>
          <w:p w:rsidR="00BC6B8B" w:rsidRPr="00126607" w:rsidRDefault="00BC6B8B" w:rsidP="000A3F29">
            <w:pPr>
              <w:jc w:val="center"/>
              <w:rPr>
                <w:rFonts w:ascii="Calibri" w:hAnsi="Calibri"/>
                <w:b/>
                <w:bCs/>
                <w:color w:val="000000"/>
                <w:sz w:val="16"/>
                <w:szCs w:val="16"/>
                <w:lang w:val="es-MX" w:eastAsia="es-MX"/>
              </w:rPr>
            </w:pPr>
            <w:r w:rsidRPr="00126607">
              <w:rPr>
                <w:rFonts w:ascii="Calibri" w:hAnsi="Calibri"/>
                <w:b/>
                <w:bCs/>
                <w:color w:val="000000"/>
                <w:sz w:val="16"/>
                <w:szCs w:val="16"/>
                <w:lang w:val="es-MX" w:eastAsia="es-MX"/>
              </w:rPr>
              <w:t>ESTATUS DE LA INFORMACIÓN</w:t>
            </w:r>
          </w:p>
        </w:tc>
      </w:tr>
    </w:tbl>
    <w:p w:rsidR="00BC6B8B" w:rsidRDefault="00BC6B8B"/>
    <w:tbl>
      <w:tblPr>
        <w:tblpPr w:leftFromText="141" w:rightFromText="141" w:vertAnchor="text" w:horzAnchor="margin" w:tblpY="195"/>
        <w:tblW w:w="9709" w:type="dxa"/>
        <w:tblLayout w:type="fixed"/>
        <w:tblCellMar>
          <w:left w:w="70" w:type="dxa"/>
          <w:right w:w="70" w:type="dxa"/>
        </w:tblCellMar>
        <w:tblLook w:val="04A0"/>
      </w:tblPr>
      <w:tblGrid>
        <w:gridCol w:w="496"/>
        <w:gridCol w:w="1984"/>
        <w:gridCol w:w="1276"/>
        <w:gridCol w:w="1984"/>
        <w:gridCol w:w="3969"/>
      </w:tblGrid>
      <w:tr w:rsidR="00E33957" w:rsidRPr="00126607" w:rsidTr="00BC6B8B">
        <w:trPr>
          <w:trHeight w:val="67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VILLA DE DIAZ ORDAZ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TLACOLULA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5" w:history="1">
              <w:r w:rsidR="00E33957" w:rsidRPr="00126607">
                <w:rPr>
                  <w:rFonts w:ascii="Calibri" w:hAnsi="Calibri"/>
                  <w:color w:val="0000FF"/>
                  <w:sz w:val="16"/>
                  <w:szCs w:val="16"/>
                  <w:u w:val="single"/>
                  <w:lang w:val="es-MX" w:eastAsia="es-MX"/>
                </w:rPr>
                <w:t>HTTP://MUNICIPIODIAZORDAZ.GOB.MX/</w:t>
              </w:r>
            </w:hyperlink>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3ER. TRIM. 2015.  INFORMACIÓN PUBLICADA: HASTA 3ER. TRIM. 2015. </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561</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YAXE</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OCOTLAN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6" w:history="1">
              <w:r w:rsidR="00E33957" w:rsidRPr="00126607">
                <w:rPr>
                  <w:rFonts w:ascii="Calibri" w:hAnsi="Calibri"/>
                  <w:color w:val="0000FF"/>
                  <w:sz w:val="16"/>
                  <w:szCs w:val="16"/>
                  <w:u w:val="single"/>
                  <w:lang w:val="es-MX" w:eastAsia="es-MX"/>
                </w:rPr>
                <w:t>HTTP://YAXE2014-2016.WIX.COM/YAXE</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ANUAL 2014 Y 2015.  INFORMACIÓN PUBLICADA: ANUAL 2014 Y 2015.</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562</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MAGDALENA YODOCONO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7" w:history="1">
              <w:r w:rsidR="00E33957" w:rsidRPr="00126607">
                <w:rPr>
                  <w:rFonts w:ascii="Calibri" w:hAnsi="Calibri"/>
                  <w:color w:val="0000FF"/>
                  <w:sz w:val="16"/>
                  <w:szCs w:val="16"/>
                  <w:u w:val="single"/>
                  <w:lang w:val="es-MX" w:eastAsia="es-MX"/>
                </w:rPr>
                <w:t>HTTP://WWW.MUNICIPIOYODOCONO.GOB.MX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3ER. TRIM. 2015. INFORMACIÓN PUBLICADA: HASTA 3ER. TRIM. 2015.</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563</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YOGANA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EJUTLA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05/12/14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NO HAN PRESENTADO INFORMACIÓN.</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564</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YUTANDUCHI DE GUERRERO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13/10/14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HASTA 4TO. TRIM. 2014,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565</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VILLA DE ZAACHILA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ZAACHILA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8" w:history="1">
              <w:r w:rsidR="00E33957" w:rsidRPr="00126607">
                <w:rPr>
                  <w:rFonts w:ascii="Calibri" w:hAnsi="Calibri"/>
                  <w:color w:val="0000FF"/>
                  <w:sz w:val="16"/>
                  <w:szCs w:val="16"/>
                  <w:u w:val="single"/>
                  <w:lang w:val="es-MX" w:eastAsia="es-MX"/>
                </w:rPr>
                <w:t>HTTP://WWW.ZAACHILA.GOB.MX</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566</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SAN MATEO YUCUTINDO</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SOLA DE VEGA</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26/11/14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2016,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567</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ZAPOTITLAN LAGUNAS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SILACAYOAPAM</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20/01/15</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INFORMACIÓN PRESENTADA: HASTA 2DO. TRIM. 2015.  INFORMACIÓN PUBLICADA: ANUAL 2014.</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568</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ZAPOTITLAN PALMAS</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HUAJUAPAN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CONVENIO FIRMADO 22/10/14</w:t>
            </w:r>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 xml:space="preserve">INFORMACIÓN PRESENTADA: ANUAL 2014 Y 2015, </w:t>
            </w:r>
            <w:r>
              <w:rPr>
                <w:rFonts w:ascii="Calibri" w:hAnsi="Calibri"/>
                <w:color w:val="000000"/>
                <w:sz w:val="16"/>
                <w:szCs w:val="16"/>
                <w:lang w:val="es-MX" w:eastAsia="es-MX"/>
              </w:rPr>
              <w:t>CON OBSERVACIONES POR SOLVENTAR</w:t>
            </w:r>
            <w:r w:rsidRPr="00126607">
              <w:rPr>
                <w:rFonts w:ascii="Calibri" w:hAnsi="Calibri"/>
                <w:color w:val="000000"/>
                <w:sz w:val="16"/>
                <w:szCs w:val="16"/>
                <w:lang w:val="es-MX" w:eastAsia="es-MX"/>
              </w:rPr>
              <w:t>.</w:t>
            </w:r>
          </w:p>
        </w:tc>
      </w:tr>
      <w:tr w:rsidR="00E33957" w:rsidRPr="00126607" w:rsidTr="0016448D">
        <w:trPr>
          <w:trHeight w:val="675"/>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569</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SANTA INES DE ZARAGOZA</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NOCHIXTLAN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199" w:history="1">
              <w:r w:rsidR="00E33957" w:rsidRPr="00126607">
                <w:rPr>
                  <w:rFonts w:ascii="Calibri" w:hAnsi="Calibri"/>
                  <w:color w:val="0000FF"/>
                  <w:sz w:val="16"/>
                  <w:szCs w:val="16"/>
                  <w:u w:val="single"/>
                  <w:lang w:val="es-MX" w:eastAsia="es-MX"/>
                </w:rPr>
                <w:t>HTTP://COGO.COM.MX/SANTAINESDEZARAGOZA.GOB.MX/INDEX.PHP/TRANSPARENCIA#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r w:rsidR="00E33957" w:rsidRPr="00126607" w:rsidTr="0016448D">
        <w:trPr>
          <w:trHeight w:val="45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570</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sz w:val="16"/>
                <w:szCs w:val="16"/>
                <w:lang w:val="es-MX" w:eastAsia="es-MX"/>
              </w:rPr>
            </w:pPr>
            <w:r w:rsidRPr="00126607">
              <w:rPr>
                <w:rFonts w:ascii="Calibri" w:hAnsi="Calibri"/>
                <w:sz w:val="16"/>
                <w:szCs w:val="16"/>
                <w:lang w:val="es-MX" w:eastAsia="es-MX"/>
              </w:rPr>
              <w:t xml:space="preserve">ZIMATLAN DE ALVAREZ </w:t>
            </w:r>
          </w:p>
        </w:tc>
        <w:tc>
          <w:tcPr>
            <w:tcW w:w="1276"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jc w:val="center"/>
              <w:rPr>
                <w:rFonts w:ascii="Calibri" w:hAnsi="Calibri"/>
                <w:color w:val="000000"/>
                <w:sz w:val="16"/>
                <w:szCs w:val="16"/>
                <w:lang w:val="es-MX" w:eastAsia="es-MX"/>
              </w:rPr>
            </w:pPr>
            <w:r w:rsidRPr="00126607">
              <w:rPr>
                <w:rFonts w:ascii="Calibri" w:hAnsi="Calibri"/>
                <w:color w:val="000000"/>
                <w:sz w:val="16"/>
                <w:szCs w:val="16"/>
                <w:lang w:val="es-MX" w:eastAsia="es-MX"/>
              </w:rPr>
              <w:t>ZIMATLAN</w:t>
            </w:r>
          </w:p>
        </w:tc>
        <w:tc>
          <w:tcPr>
            <w:tcW w:w="1984" w:type="dxa"/>
            <w:tcBorders>
              <w:top w:val="nil"/>
              <w:left w:val="nil"/>
              <w:bottom w:val="single" w:sz="4" w:space="0" w:color="auto"/>
              <w:right w:val="single" w:sz="4" w:space="0" w:color="auto"/>
            </w:tcBorders>
            <w:shd w:val="clear" w:color="auto" w:fill="auto"/>
            <w:vAlign w:val="center"/>
            <w:hideMark/>
          </w:tcPr>
          <w:p w:rsidR="00E33957" w:rsidRPr="00126607" w:rsidRDefault="000306A2" w:rsidP="000A3F29">
            <w:pPr>
              <w:jc w:val="center"/>
              <w:rPr>
                <w:rFonts w:ascii="Calibri" w:hAnsi="Calibri"/>
                <w:color w:val="0000FF"/>
                <w:sz w:val="16"/>
                <w:szCs w:val="16"/>
                <w:u w:val="single"/>
                <w:lang w:val="es-MX" w:eastAsia="es-MX"/>
              </w:rPr>
            </w:pPr>
            <w:hyperlink r:id="rId200" w:history="1">
              <w:r w:rsidR="00E33957" w:rsidRPr="00126607">
                <w:rPr>
                  <w:rFonts w:ascii="Calibri" w:hAnsi="Calibri"/>
                  <w:color w:val="0000FF"/>
                  <w:sz w:val="16"/>
                  <w:szCs w:val="16"/>
                  <w:u w:val="single"/>
                  <w:lang w:val="es-MX" w:eastAsia="es-MX"/>
                </w:rPr>
                <w:t>HTTP://MUNICIPIODEZIMATLAN.GOB.MX/TRANSPARENCIA/</w:t>
              </w:r>
            </w:hyperlink>
          </w:p>
        </w:tc>
        <w:tc>
          <w:tcPr>
            <w:tcW w:w="3969" w:type="dxa"/>
            <w:tcBorders>
              <w:top w:val="nil"/>
              <w:left w:val="nil"/>
              <w:bottom w:val="single" w:sz="4" w:space="0" w:color="auto"/>
              <w:right w:val="single" w:sz="4" w:space="0" w:color="auto"/>
            </w:tcBorders>
            <w:shd w:val="clear" w:color="auto" w:fill="auto"/>
            <w:vAlign w:val="center"/>
            <w:hideMark/>
          </w:tcPr>
          <w:p w:rsidR="00E33957" w:rsidRPr="00126607" w:rsidRDefault="00E33957" w:rsidP="000A3F29">
            <w:pPr>
              <w:rPr>
                <w:rFonts w:ascii="Calibri" w:hAnsi="Calibri"/>
                <w:color w:val="000000"/>
                <w:sz w:val="16"/>
                <w:szCs w:val="16"/>
                <w:lang w:val="es-MX" w:eastAsia="es-MX"/>
              </w:rPr>
            </w:pPr>
            <w:r w:rsidRPr="00126607">
              <w:rPr>
                <w:rFonts w:ascii="Calibri" w:hAnsi="Calibri"/>
                <w:color w:val="000000"/>
                <w:sz w:val="16"/>
                <w:szCs w:val="16"/>
                <w:lang w:val="es-MX" w:eastAsia="es-MX"/>
              </w:rPr>
              <w:t>PÁGINA CON INFORMACIÓN NO ACTUALIZADA.</w:t>
            </w:r>
          </w:p>
        </w:tc>
      </w:tr>
    </w:tbl>
    <w:p w:rsidR="00E33957" w:rsidRPr="000C380C" w:rsidRDefault="00E33957" w:rsidP="00E33957">
      <w:pPr>
        <w:ind w:left="2040"/>
        <w:jc w:val="right"/>
        <w:rPr>
          <w:rFonts w:ascii="Tahoma" w:hAnsi="Tahoma" w:cs="Tahoma"/>
          <w:bCs/>
          <w:sz w:val="28"/>
          <w:szCs w:val="20"/>
        </w:rPr>
      </w:pPr>
      <w:r w:rsidRPr="000C380C">
        <w:rPr>
          <w:rFonts w:ascii="Tahoma" w:hAnsi="Tahoma" w:cs="Tahoma"/>
          <w:bCs/>
          <w:sz w:val="28"/>
          <w:szCs w:val="20"/>
        </w:rPr>
        <w:tab/>
      </w:r>
    </w:p>
    <w:p w:rsidR="00E33957" w:rsidRPr="000C380C" w:rsidRDefault="00E33957" w:rsidP="00E33957">
      <w:pPr>
        <w:pStyle w:val="Textoindependiente3"/>
        <w:tabs>
          <w:tab w:val="left" w:pos="5642"/>
          <w:tab w:val="right" w:pos="9639"/>
        </w:tabs>
        <w:jc w:val="left"/>
        <w:rPr>
          <w:rFonts w:ascii="Tahoma" w:hAnsi="Tahoma" w:cs="Tahoma"/>
          <w:b/>
          <w:sz w:val="22"/>
        </w:rPr>
      </w:pPr>
    </w:p>
    <w:p w:rsidR="00E33957" w:rsidRPr="00452EF6" w:rsidRDefault="00E33957" w:rsidP="00E33957">
      <w:pPr>
        <w:spacing w:line="360" w:lineRule="auto"/>
        <w:rPr>
          <w:rFonts w:ascii="Arial" w:hAnsi="Arial" w:cs="Arial"/>
          <w:sz w:val="22"/>
          <w:szCs w:val="22"/>
        </w:rPr>
      </w:pPr>
    </w:p>
    <w:p w:rsidR="00E33957" w:rsidRPr="00884E1B" w:rsidRDefault="00E33957" w:rsidP="00E33957">
      <w:pPr>
        <w:spacing w:line="360" w:lineRule="auto"/>
        <w:rPr>
          <w:rFonts w:ascii="Arial" w:hAnsi="Arial" w:cs="Arial"/>
          <w:sz w:val="22"/>
          <w:szCs w:val="22"/>
          <w:lang w:val="es-MX"/>
        </w:rPr>
      </w:pPr>
    </w:p>
    <w:p w:rsidR="00E33957" w:rsidRPr="00884E1B" w:rsidRDefault="00E33957" w:rsidP="00E33957">
      <w:pPr>
        <w:rPr>
          <w:rFonts w:ascii="Arial" w:hAnsi="Arial" w:cs="Arial"/>
          <w:sz w:val="22"/>
          <w:szCs w:val="22"/>
          <w:lang w:val="es-MX"/>
        </w:rPr>
      </w:pPr>
    </w:p>
    <w:p w:rsidR="00E33957" w:rsidRPr="00884E1B" w:rsidRDefault="00E33957" w:rsidP="00E33957">
      <w:pPr>
        <w:rPr>
          <w:rFonts w:ascii="Arial" w:hAnsi="Arial" w:cs="Arial"/>
          <w:sz w:val="22"/>
          <w:szCs w:val="22"/>
          <w:lang w:val="es-MX"/>
        </w:rPr>
      </w:pPr>
    </w:p>
    <w:p w:rsidR="00E33957" w:rsidRPr="00884E1B" w:rsidRDefault="00E33957" w:rsidP="00E33957">
      <w:pPr>
        <w:rPr>
          <w:rFonts w:ascii="Arial" w:hAnsi="Arial" w:cs="Arial"/>
          <w:sz w:val="22"/>
          <w:szCs w:val="22"/>
          <w:lang w:val="es-MX"/>
        </w:rPr>
      </w:pPr>
    </w:p>
    <w:p w:rsidR="00E33957" w:rsidRPr="00884E1B" w:rsidRDefault="00E33957" w:rsidP="00E33957">
      <w:pPr>
        <w:rPr>
          <w:rFonts w:ascii="Arial" w:hAnsi="Arial" w:cs="Arial"/>
          <w:sz w:val="22"/>
          <w:szCs w:val="22"/>
          <w:lang w:val="es-MX"/>
        </w:rPr>
      </w:pPr>
    </w:p>
    <w:p w:rsidR="00F82EA1" w:rsidRDefault="00F82EA1" w:rsidP="004C1D27">
      <w:pPr>
        <w:spacing w:after="240"/>
        <w:contextualSpacing/>
        <w:jc w:val="both"/>
        <w:rPr>
          <w:rFonts w:ascii="Arial" w:eastAsia="MS Mincho" w:hAnsi="Arial" w:cs="Arial"/>
          <w:b/>
          <w:bCs/>
          <w:lang w:val="es-MX"/>
        </w:rPr>
      </w:pPr>
    </w:p>
    <w:sectPr w:rsidR="00F82EA1" w:rsidSect="00B3054E">
      <w:headerReference w:type="even" r:id="rId201"/>
      <w:headerReference w:type="default" r:id="rId202"/>
      <w:footerReference w:type="even" r:id="rId203"/>
      <w:footerReference w:type="default" r:id="rId204"/>
      <w:pgSz w:w="12240" w:h="15840" w:code="1"/>
      <w:pgMar w:top="2835" w:right="1276" w:bottom="567" w:left="1701" w:header="1985" w:footer="7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ED5" w:rsidRDefault="000E3ED5" w:rsidP="00BF7222">
      <w:r>
        <w:separator/>
      </w:r>
    </w:p>
  </w:endnote>
  <w:endnote w:type="continuationSeparator" w:id="0">
    <w:p w:rsidR="000E3ED5" w:rsidRDefault="000E3ED5" w:rsidP="00BF72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00000000" w:usb2="00000000" w:usb3="00000000" w:csb0="000001FF"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C7" w:rsidRDefault="00B570C7" w:rsidP="00A446BA">
    <w:pPr>
      <w:pStyle w:val="Piedepgina"/>
      <w:jc w:val="right"/>
      <w:rPr>
        <w:noProof/>
        <w:sz w:val="16"/>
        <w:szCs w:val="16"/>
      </w:rPr>
    </w:pPr>
    <w:r>
      <w:rPr>
        <w:noProof/>
        <w:sz w:val="16"/>
        <w:szCs w:val="16"/>
        <w:lang w:val="es-MX" w:eastAsia="es-MX"/>
      </w:rPr>
      <w:drawing>
        <wp:inline distT="0" distB="0" distL="0" distR="0">
          <wp:extent cx="6115050" cy="16192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srcRect/>
                  <a:stretch>
                    <a:fillRect/>
                  </a:stretch>
                </pic:blipFill>
                <pic:spPr bwMode="auto">
                  <a:xfrm>
                    <a:off x="0" y="0"/>
                    <a:ext cx="6115050" cy="161925"/>
                  </a:xfrm>
                  <a:prstGeom prst="rect">
                    <a:avLst/>
                  </a:prstGeom>
                  <a:noFill/>
                  <a:ln w="9525">
                    <a:noFill/>
                    <a:miter lim="800000"/>
                    <a:headEnd/>
                    <a:tailEnd/>
                  </a:ln>
                </pic:spPr>
              </pic:pic>
            </a:graphicData>
          </a:graphic>
        </wp:inline>
      </w:drawing>
    </w:r>
  </w:p>
  <w:p w:rsidR="00B570C7" w:rsidRDefault="000306A2" w:rsidP="007B3D21">
    <w:pPr>
      <w:pStyle w:val="Piedepgina"/>
      <w:framePr w:wrap="around" w:vAnchor="text" w:hAnchor="page" w:x="5963" w:y="12"/>
      <w:rPr>
        <w:rStyle w:val="Nmerodepgina"/>
      </w:rPr>
    </w:pPr>
    <w:r>
      <w:rPr>
        <w:rStyle w:val="Nmerodepgina"/>
      </w:rPr>
      <w:fldChar w:fldCharType="begin"/>
    </w:r>
    <w:r w:rsidR="00B570C7">
      <w:rPr>
        <w:rStyle w:val="Nmerodepgina"/>
      </w:rPr>
      <w:instrText xml:space="preserve">PAGE  </w:instrText>
    </w:r>
    <w:r>
      <w:rPr>
        <w:rStyle w:val="Nmerodepgina"/>
      </w:rPr>
      <w:fldChar w:fldCharType="separate"/>
    </w:r>
    <w:r w:rsidR="00B570C7">
      <w:rPr>
        <w:rStyle w:val="Nmerodepgina"/>
        <w:noProof/>
      </w:rPr>
      <w:t>2</w:t>
    </w:r>
    <w:r>
      <w:rPr>
        <w:rStyle w:val="Nmerodepgina"/>
      </w:rPr>
      <w:fldChar w:fldCharType="end"/>
    </w:r>
  </w:p>
  <w:p w:rsidR="00B570C7" w:rsidRDefault="00B570C7" w:rsidP="00A446BA">
    <w:pPr>
      <w:pStyle w:val="Piedepgina"/>
      <w:jc w:val="right"/>
      <w:rPr>
        <w:noProof/>
        <w:sz w:val="16"/>
        <w:szCs w:val="16"/>
      </w:rPr>
    </w:pPr>
    <w:r w:rsidRPr="00F62BA2">
      <w:rPr>
        <w:noProof/>
        <w:sz w:val="16"/>
        <w:szCs w:val="16"/>
      </w:rPr>
      <w:t>Cuenta Pública del Estado</w:t>
    </w:r>
  </w:p>
  <w:p w:rsidR="00B570C7" w:rsidRDefault="00B570C7" w:rsidP="00A446BA">
    <w:pPr>
      <w:pStyle w:val="Piedepgina"/>
      <w:jc w:val="right"/>
    </w:pPr>
    <w:r w:rsidRPr="00F62BA2">
      <w:rPr>
        <w:noProof/>
        <w:sz w:val="16"/>
        <w:szCs w:val="16"/>
      </w:rPr>
      <w:t>Periodo noviembre-diciembre del ejercicio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C7" w:rsidRDefault="00B570C7" w:rsidP="007357EE">
    <w:pPr>
      <w:pStyle w:val="Piedepgina"/>
      <w:jc w:val="right"/>
      <w:rPr>
        <w:noProof/>
        <w:sz w:val="16"/>
        <w:szCs w:val="16"/>
      </w:rPr>
    </w:pPr>
    <w:r>
      <w:rPr>
        <w:noProof/>
        <w:sz w:val="16"/>
        <w:szCs w:val="16"/>
        <w:lang w:val="es-MX" w:eastAsia="es-MX"/>
      </w:rPr>
      <w:drawing>
        <wp:inline distT="0" distB="0" distL="0" distR="0">
          <wp:extent cx="5200650" cy="180975"/>
          <wp:effectExtent l="19050" t="0" r="0" b="0"/>
          <wp:docPr id="79"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1"/>
                  <a:srcRect t="-97197" b="-68510"/>
                  <a:stretch>
                    <a:fillRect/>
                  </a:stretch>
                </pic:blipFill>
                <pic:spPr bwMode="auto">
                  <a:xfrm>
                    <a:off x="0" y="0"/>
                    <a:ext cx="5200650" cy="180975"/>
                  </a:xfrm>
                  <a:prstGeom prst="rect">
                    <a:avLst/>
                  </a:prstGeom>
                  <a:noFill/>
                  <a:ln w="9525">
                    <a:noFill/>
                    <a:miter lim="800000"/>
                    <a:headEnd/>
                    <a:tailEnd/>
                  </a:ln>
                </pic:spPr>
              </pic:pic>
            </a:graphicData>
          </a:graphic>
        </wp:inline>
      </w:drawing>
    </w:r>
  </w:p>
  <w:p w:rsidR="00B570C7" w:rsidRDefault="00B570C7" w:rsidP="00E44C8B">
    <w:pPr>
      <w:pStyle w:val="Piedepgina"/>
      <w:jc w:val="right"/>
      <w:rPr>
        <w:noProof/>
        <w:sz w:val="16"/>
        <w:szCs w:val="16"/>
      </w:rPr>
    </w:pPr>
    <w:r w:rsidRPr="003F44EF">
      <w:rPr>
        <w:noProof/>
        <w:sz w:val="16"/>
        <w:szCs w:val="16"/>
      </w:rPr>
      <w:t>Primer Informe de Avance de la Cuenta Pública</w:t>
    </w:r>
  </w:p>
  <w:p w:rsidR="00B570C7" w:rsidRPr="00A722C6" w:rsidRDefault="00B570C7" w:rsidP="00A722C6">
    <w:pPr>
      <w:pStyle w:val="Piedepgina"/>
      <w:ind w:left="851"/>
      <w:jc w:val="right"/>
      <w:rPr>
        <w:noProof/>
        <w:sz w:val="16"/>
        <w:szCs w:val="16"/>
      </w:rPr>
    </w:pPr>
    <w:r w:rsidRPr="00F62BA2">
      <w:rPr>
        <w:noProof/>
        <w:sz w:val="16"/>
        <w:szCs w:val="16"/>
      </w:rPr>
      <w:t xml:space="preserve">Periodo </w:t>
    </w:r>
    <w:r>
      <w:rPr>
        <w:noProof/>
        <w:sz w:val="16"/>
        <w:szCs w:val="16"/>
      </w:rPr>
      <w:t>enero</w:t>
    </w:r>
    <w:r w:rsidRPr="00F62BA2">
      <w:rPr>
        <w:noProof/>
        <w:sz w:val="16"/>
        <w:szCs w:val="16"/>
      </w:rPr>
      <w:t>-</w:t>
    </w:r>
    <w:r>
      <w:rPr>
        <w:noProof/>
        <w:sz w:val="16"/>
        <w:szCs w:val="16"/>
      </w:rPr>
      <w:t>marzo</w:t>
    </w:r>
    <w:r w:rsidRPr="00F62BA2">
      <w:rPr>
        <w:noProof/>
        <w:sz w:val="16"/>
        <w:szCs w:val="16"/>
      </w:rPr>
      <w:t xml:space="preserve"> del ejercicio 201</w:t>
    </w:r>
    <w:r>
      <w:rPr>
        <w:noProof/>
        <w:sz w:val="16"/>
        <w:szCs w:val="16"/>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ED5" w:rsidRDefault="000E3ED5" w:rsidP="00BF7222">
      <w:r>
        <w:separator/>
      </w:r>
    </w:p>
  </w:footnote>
  <w:footnote w:type="continuationSeparator" w:id="0">
    <w:p w:rsidR="000E3ED5" w:rsidRDefault="000E3ED5" w:rsidP="00BF7222">
      <w:r>
        <w:continuationSeparator/>
      </w:r>
    </w:p>
  </w:footnote>
  <w:footnote w:id="1">
    <w:p w:rsidR="00B570C7" w:rsidRPr="00B36E10" w:rsidRDefault="00B570C7" w:rsidP="00461035">
      <w:pPr>
        <w:pStyle w:val="Textonotapie"/>
        <w:rPr>
          <w:rFonts w:ascii="Arial" w:hAnsi="Arial" w:cs="Arial"/>
          <w:sz w:val="16"/>
          <w:szCs w:val="16"/>
        </w:rPr>
      </w:pPr>
      <w:r>
        <w:rPr>
          <w:rStyle w:val="Refdenotaalpie"/>
        </w:rPr>
        <w:footnoteRef/>
      </w:r>
      <w:r>
        <w:t xml:space="preserve"> </w:t>
      </w:r>
      <w:r w:rsidRPr="00B36E10">
        <w:rPr>
          <w:rFonts w:ascii="Arial" w:hAnsi="Arial" w:cs="Arial"/>
          <w:sz w:val="16"/>
          <w:szCs w:val="16"/>
        </w:rPr>
        <w:t>De acuerdo al diagnóstico ofrecido por la Secretaría de Hacienda en sus Criterios Generales de Política Económica para el Ejercicio Fiscal 2016.</w:t>
      </w:r>
    </w:p>
  </w:footnote>
  <w:footnote w:id="2">
    <w:p w:rsidR="00B570C7" w:rsidRPr="00FA74BC" w:rsidRDefault="00B570C7" w:rsidP="00461035">
      <w:pPr>
        <w:pStyle w:val="Textonotapie"/>
        <w:rPr>
          <w:rFonts w:ascii="Arial" w:hAnsi="Arial" w:cs="Arial"/>
          <w:sz w:val="16"/>
        </w:rPr>
      </w:pPr>
      <w:r>
        <w:rPr>
          <w:rStyle w:val="Refdenotaalpie"/>
        </w:rPr>
        <w:footnoteRef/>
      </w:r>
      <w:r>
        <w:t xml:space="preserve"> </w:t>
      </w:r>
      <w:r w:rsidRPr="00FA74BC">
        <w:rPr>
          <w:rFonts w:ascii="Arial" w:hAnsi="Arial" w:cs="Arial"/>
          <w:sz w:val="16"/>
        </w:rPr>
        <w:t>INEGI, http://www3.inegi.org.mx/sistemas/saladeprensa/noticia.aspx?id=2471 consultada el 24 de febrero de 2016</w:t>
      </w:r>
    </w:p>
  </w:footnote>
  <w:footnote w:id="3">
    <w:p w:rsidR="00B570C7" w:rsidRDefault="00B570C7" w:rsidP="00461035">
      <w:pPr>
        <w:pStyle w:val="Textonotapie"/>
      </w:pPr>
      <w:r>
        <w:rPr>
          <w:rStyle w:val="Refdenotaalpie"/>
        </w:rPr>
        <w:footnoteRef/>
      </w:r>
      <w:r>
        <w:t xml:space="preserve"> Con base en datos al tercer trimestre 2015 del </w:t>
      </w:r>
      <w:r w:rsidRPr="00972D0A">
        <w:t>Indicador Trimestral de la Actividad Económica Estatal (ITAEE)</w:t>
      </w:r>
    </w:p>
  </w:footnote>
  <w:footnote w:id="4">
    <w:p w:rsidR="00B570C7" w:rsidRPr="00474103" w:rsidRDefault="00B570C7" w:rsidP="00461035">
      <w:pPr>
        <w:pStyle w:val="Textonotapie"/>
        <w:jc w:val="both"/>
        <w:rPr>
          <w:rFonts w:ascii="Arial" w:hAnsi="Arial" w:cs="Arial"/>
          <w:sz w:val="16"/>
        </w:rPr>
      </w:pPr>
      <w:r>
        <w:rPr>
          <w:rStyle w:val="Refdenotaalpie"/>
        </w:rPr>
        <w:footnoteRef/>
      </w:r>
      <w:r>
        <w:t xml:space="preserve"> </w:t>
      </w:r>
      <w:r w:rsidRPr="00474103">
        <w:rPr>
          <w:rFonts w:ascii="Arial" w:hAnsi="Arial" w:cs="Arial"/>
          <w:sz w:val="16"/>
        </w:rPr>
        <w:t xml:space="preserve">De acuerdo con INEGI, la PEA se define como el número de personas en edad de trabajar (más de 15 años) y que </w:t>
      </w:r>
      <w:r>
        <w:rPr>
          <w:rFonts w:ascii="Arial" w:hAnsi="Arial" w:cs="Arial"/>
          <w:sz w:val="16"/>
        </w:rPr>
        <w:t>tienen</w:t>
      </w:r>
      <w:r w:rsidRPr="00474103">
        <w:rPr>
          <w:rFonts w:ascii="Arial" w:hAnsi="Arial" w:cs="Arial"/>
          <w:sz w:val="16"/>
        </w:rPr>
        <w:t xml:space="preserve"> o tuvieron una actividad económica o buscaron activamente realizar una en algún momento del mes anterior al día de la entrevista</w:t>
      </w:r>
      <w:r>
        <w:rPr>
          <w:rFonts w:ascii="Arial" w:hAnsi="Arial" w:cs="Arial"/>
          <w:sz w:val="16"/>
        </w:rPr>
        <w:t>.</w:t>
      </w:r>
    </w:p>
  </w:footnote>
  <w:footnote w:id="5">
    <w:p w:rsidR="00B570C7" w:rsidRPr="00EB203C" w:rsidRDefault="00B570C7" w:rsidP="00461035">
      <w:pPr>
        <w:spacing w:after="240"/>
        <w:jc w:val="both"/>
        <w:rPr>
          <w:rFonts w:ascii="Arial" w:hAnsi="Arial" w:cs="Arial"/>
          <w:sz w:val="22"/>
        </w:rPr>
      </w:pPr>
      <w:r w:rsidRPr="000A4E8A">
        <w:rPr>
          <w:rStyle w:val="Refdenotaalpie"/>
          <w:sz w:val="22"/>
        </w:rPr>
        <w:footnoteRef/>
      </w:r>
      <w:r>
        <w:rPr>
          <w:sz w:val="22"/>
        </w:rPr>
        <w:t xml:space="preserve"> </w:t>
      </w:r>
      <w:r w:rsidRPr="00EB203C">
        <w:rPr>
          <w:rFonts w:ascii="Arial" w:hAnsi="Arial" w:cs="Arial"/>
          <w:sz w:val="16"/>
          <w:szCs w:val="16"/>
        </w:rPr>
        <w:t>De acuerdo con el INEGI, el término población desocupada se refiere a las personas que no estando ocupadas en la semana de referencia, buscaron activamente incorporarse a alguna actividad económica en algún momento del último mes transcurrido.</w:t>
      </w:r>
      <w:r w:rsidRPr="00EB203C">
        <w:rPr>
          <w:rFonts w:ascii="Arial" w:hAnsi="Arial" w:cs="Arial"/>
          <w:sz w:val="18"/>
          <w:szCs w:val="22"/>
        </w:rPr>
        <w:t xml:space="preserve"> </w:t>
      </w:r>
    </w:p>
  </w:footnote>
  <w:footnote w:id="6">
    <w:p w:rsidR="00B570C7" w:rsidRDefault="00B570C7" w:rsidP="00FB23BE">
      <w:pPr>
        <w:pStyle w:val="Textonotapie"/>
      </w:pPr>
      <w:r>
        <w:rPr>
          <w:rStyle w:val="Refdenotaalpie"/>
        </w:rPr>
        <w:footnoteRef/>
      </w:r>
      <w:r>
        <w:t xml:space="preserve"> </w:t>
      </w:r>
      <w:r w:rsidRPr="000B5ED2">
        <w:t>http://www.bancomundial.org/es/country/mexico/overview</w:t>
      </w:r>
    </w:p>
  </w:footnote>
  <w:footnote w:id="7">
    <w:p w:rsidR="00B570C7" w:rsidRDefault="00B570C7" w:rsidP="00FB23BE">
      <w:pPr>
        <w:pStyle w:val="Textonotapie"/>
      </w:pPr>
      <w:r>
        <w:rPr>
          <w:rStyle w:val="Refdenotaalpie"/>
        </w:rPr>
        <w:footnoteRef/>
      </w:r>
      <w:r>
        <w:t xml:space="preserve"> Criterios Generales de Política Económico 2016, SHCP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C7" w:rsidRDefault="00B570C7" w:rsidP="00A446BA">
    <w:pPr>
      <w:pStyle w:val="Encabezado"/>
      <w:tabs>
        <w:tab w:val="clear" w:pos="4252"/>
        <w:tab w:val="clear" w:pos="8504"/>
        <w:tab w:val="center" w:pos="4561"/>
        <w:tab w:val="right" w:pos="9122"/>
      </w:tabs>
    </w:pPr>
    <w:r>
      <w:rPr>
        <w:noProof/>
        <w:lang w:val="es-MX" w:eastAsia="es-MX"/>
      </w:rPr>
      <w:drawing>
        <wp:anchor distT="0" distB="0" distL="114300" distR="114300" simplePos="0" relativeHeight="251655680" behindDoc="1" locked="0" layoutInCell="1" allowOverlap="1">
          <wp:simplePos x="0" y="0"/>
          <wp:positionH relativeFrom="column">
            <wp:posOffset>1262380</wp:posOffset>
          </wp:positionH>
          <wp:positionV relativeFrom="paragraph">
            <wp:posOffset>633095</wp:posOffset>
          </wp:positionV>
          <wp:extent cx="4246880" cy="6116320"/>
          <wp:effectExtent l="1905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4246880" cy="6116320"/>
                  </a:xfrm>
                  <a:prstGeom prst="rect">
                    <a:avLst/>
                  </a:prstGeom>
                  <a:noFill/>
                </pic:spPr>
              </pic:pic>
            </a:graphicData>
          </a:graphic>
        </wp:anchor>
      </w:drawing>
    </w:r>
    <w:r>
      <w:rPr>
        <w:noProof/>
        <w:lang w:val="es-MX" w:eastAsia="es-MX"/>
      </w:rPr>
      <w:drawing>
        <wp:anchor distT="0" distB="0" distL="114300" distR="114300" simplePos="0" relativeHeight="251656704" behindDoc="1" locked="0" layoutInCell="1" allowOverlap="1">
          <wp:simplePos x="0" y="0"/>
          <wp:positionH relativeFrom="column">
            <wp:posOffset>0</wp:posOffset>
          </wp:positionH>
          <wp:positionV relativeFrom="paragraph">
            <wp:posOffset>-900430</wp:posOffset>
          </wp:positionV>
          <wp:extent cx="2832100" cy="901700"/>
          <wp:effectExtent l="19050" t="0" r="6350" b="0"/>
          <wp:wrapThrough wrapText="bothSides">
            <wp:wrapPolygon edited="0">
              <wp:start x="9153" y="0"/>
              <wp:lineTo x="6393" y="0"/>
              <wp:lineTo x="4649" y="2738"/>
              <wp:lineTo x="5085" y="14603"/>
              <wp:lineTo x="145" y="16885"/>
              <wp:lineTo x="-145" y="16885"/>
              <wp:lineTo x="-145" y="20535"/>
              <wp:lineTo x="21648" y="20535"/>
              <wp:lineTo x="21648" y="16885"/>
              <wp:lineTo x="20922" y="16885"/>
              <wp:lineTo x="9880" y="14603"/>
              <wp:lineTo x="18888" y="13234"/>
              <wp:lineTo x="19469" y="11865"/>
              <wp:lineTo x="17871" y="7301"/>
              <wp:lineTo x="18161" y="5476"/>
              <wp:lineTo x="16709" y="4107"/>
              <wp:lineTo x="9880" y="0"/>
              <wp:lineTo x="915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2832100" cy="901700"/>
                  </a:xfrm>
                  <a:prstGeom prst="rect">
                    <a:avLst/>
                  </a:prstGeom>
                  <a:noFill/>
                </pic:spPr>
              </pic:pic>
            </a:graphicData>
          </a:graphic>
        </wp:anchor>
      </w:drawing>
    </w:r>
    <w:r>
      <w:rPr>
        <w:noProof/>
        <w:lang w:val="es-MX" w:eastAsia="es-MX"/>
      </w:rPr>
      <w:drawing>
        <wp:anchor distT="0" distB="0" distL="114300" distR="114300" simplePos="0" relativeHeight="251658752" behindDoc="1" locked="0" layoutInCell="1" allowOverlap="1">
          <wp:simplePos x="0" y="0"/>
          <wp:positionH relativeFrom="column">
            <wp:posOffset>5014595</wp:posOffset>
          </wp:positionH>
          <wp:positionV relativeFrom="paragraph">
            <wp:posOffset>-900430</wp:posOffset>
          </wp:positionV>
          <wp:extent cx="1116965" cy="899795"/>
          <wp:effectExtent l="19050" t="0" r="6985" b="0"/>
          <wp:wrapThrough wrapText="bothSides">
            <wp:wrapPolygon edited="0">
              <wp:start x="-368" y="0"/>
              <wp:lineTo x="-368" y="21036"/>
              <wp:lineTo x="21735" y="21036"/>
              <wp:lineTo x="21735" y="0"/>
              <wp:lineTo x="-368"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srcRect/>
                  <a:stretch>
                    <a:fillRect/>
                  </a:stretch>
                </pic:blipFill>
                <pic:spPr bwMode="auto">
                  <a:xfrm>
                    <a:off x="0" y="0"/>
                    <a:ext cx="1116965" cy="89979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C7" w:rsidRDefault="00B570C7" w:rsidP="00AD36CE">
    <w:r>
      <w:rPr>
        <w:noProof/>
        <w:lang w:val="es-MX" w:eastAsia="es-MX"/>
      </w:rPr>
      <w:drawing>
        <wp:anchor distT="0" distB="0" distL="114300" distR="114300" simplePos="0" relativeHeight="251659776" behindDoc="1" locked="0" layoutInCell="1" allowOverlap="1">
          <wp:simplePos x="0" y="0"/>
          <wp:positionH relativeFrom="column">
            <wp:posOffset>-348615</wp:posOffset>
          </wp:positionH>
          <wp:positionV relativeFrom="paragraph">
            <wp:posOffset>-999490</wp:posOffset>
          </wp:positionV>
          <wp:extent cx="1452880" cy="1448435"/>
          <wp:effectExtent l="19050" t="0" r="0" b="0"/>
          <wp:wrapTight wrapText="bothSides">
            <wp:wrapPolygon edited="0">
              <wp:start x="8780" y="284"/>
              <wp:lineTo x="6797" y="852"/>
              <wp:lineTo x="3115" y="3977"/>
              <wp:lineTo x="2832" y="9375"/>
              <wp:lineTo x="5381" y="13920"/>
              <wp:lineTo x="-283" y="18466"/>
              <wp:lineTo x="-283" y="18750"/>
              <wp:lineTo x="3965" y="21022"/>
              <wp:lineTo x="4815" y="21022"/>
              <wp:lineTo x="16710" y="21022"/>
              <wp:lineTo x="17559" y="21022"/>
              <wp:lineTo x="21524" y="19034"/>
              <wp:lineTo x="21524" y="18466"/>
              <wp:lineTo x="15860" y="13920"/>
              <wp:lineTo x="17843" y="10227"/>
              <wp:lineTo x="18126" y="9375"/>
              <wp:lineTo x="18126" y="3977"/>
              <wp:lineTo x="14727" y="1136"/>
              <wp:lineTo x="12462" y="284"/>
              <wp:lineTo x="8780" y="284"/>
            </wp:wrapPolygon>
          </wp:wrapTight>
          <wp:docPr id="23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1"/>
                  <a:srcRect/>
                  <a:stretch>
                    <a:fillRect/>
                  </a:stretch>
                </pic:blipFill>
                <pic:spPr bwMode="auto">
                  <a:xfrm>
                    <a:off x="0" y="0"/>
                    <a:ext cx="1452880" cy="14484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B026F36"/>
    <w:multiLevelType w:val="hybridMultilevel"/>
    <w:tmpl w:val="5FD870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E57D59"/>
    <w:multiLevelType w:val="hybridMultilevel"/>
    <w:tmpl w:val="1B807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FA30FD"/>
    <w:multiLevelType w:val="hybridMultilevel"/>
    <w:tmpl w:val="49B05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3578C8"/>
    <w:multiLevelType w:val="hybridMultilevel"/>
    <w:tmpl w:val="DED65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4E0233"/>
    <w:multiLevelType w:val="hybridMultilevel"/>
    <w:tmpl w:val="2ADED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500A2E"/>
    <w:multiLevelType w:val="hybridMultilevel"/>
    <w:tmpl w:val="933E3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253A6F"/>
    <w:multiLevelType w:val="hybridMultilevel"/>
    <w:tmpl w:val="D6A29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97B371E"/>
    <w:multiLevelType w:val="hybridMultilevel"/>
    <w:tmpl w:val="8E9EB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C919F7"/>
    <w:multiLevelType w:val="hybridMultilevel"/>
    <w:tmpl w:val="8A6CF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AA72BC1"/>
    <w:multiLevelType w:val="hybridMultilevel"/>
    <w:tmpl w:val="72D4A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F4A0EC3"/>
    <w:multiLevelType w:val="hybridMultilevel"/>
    <w:tmpl w:val="EBEA1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9"/>
  </w:num>
  <w:num w:numId="6">
    <w:abstractNumId w:val="10"/>
  </w:num>
  <w:num w:numId="7">
    <w:abstractNumId w:val="4"/>
  </w:num>
  <w:num w:numId="8">
    <w:abstractNumId w:val="6"/>
  </w:num>
  <w:num w:numId="9">
    <w:abstractNumId w:val="13"/>
  </w:num>
  <w:num w:numId="10">
    <w:abstractNumId w:val="3"/>
  </w:num>
  <w:num w:numId="11">
    <w:abstractNumId w:val="11"/>
  </w:num>
  <w:num w:numId="12">
    <w:abstractNumId w:val="12"/>
  </w:num>
  <w:num w:numId="13">
    <w:abstractNumId w:val="8"/>
  </w:num>
  <w:num w:numId="14">
    <w:abstractNumId w:val="14"/>
  </w:num>
  <w:num w:numId="15">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9"/>
  <w:hyphenationZone w:val="425"/>
  <w:drawingGridHorizontalSpacing w:val="120"/>
  <w:drawingGridVerticalSpacing w:val="142"/>
  <w:displayHorizontalDrawingGridEvery w:val="2"/>
  <w:characterSpacingControl w:val="doNotCompress"/>
  <w:hdrShapeDefaults>
    <o:shapedefaults v:ext="edit" spidmax="125954"/>
  </w:hdrShapeDefaults>
  <w:footnotePr>
    <w:footnote w:id="-1"/>
    <w:footnote w:id="0"/>
  </w:footnotePr>
  <w:endnotePr>
    <w:endnote w:id="-1"/>
    <w:endnote w:id="0"/>
  </w:endnotePr>
  <w:compat>
    <w:useFELayout/>
  </w:compat>
  <w:rsids>
    <w:rsidRoot w:val="00BF7222"/>
    <w:rsid w:val="000001E0"/>
    <w:rsid w:val="00000481"/>
    <w:rsid w:val="00002BB9"/>
    <w:rsid w:val="00005292"/>
    <w:rsid w:val="00006DA8"/>
    <w:rsid w:val="000073A9"/>
    <w:rsid w:val="00010238"/>
    <w:rsid w:val="00011C31"/>
    <w:rsid w:val="000122C1"/>
    <w:rsid w:val="00012B4B"/>
    <w:rsid w:val="00013556"/>
    <w:rsid w:val="00014A9D"/>
    <w:rsid w:val="00014F94"/>
    <w:rsid w:val="0001545E"/>
    <w:rsid w:val="00015BA3"/>
    <w:rsid w:val="00015F8B"/>
    <w:rsid w:val="000163CA"/>
    <w:rsid w:val="00016733"/>
    <w:rsid w:val="000170E7"/>
    <w:rsid w:val="0001773E"/>
    <w:rsid w:val="000201D1"/>
    <w:rsid w:val="0002074A"/>
    <w:rsid w:val="00020EC7"/>
    <w:rsid w:val="000217AC"/>
    <w:rsid w:val="000227F8"/>
    <w:rsid w:val="00022C2D"/>
    <w:rsid w:val="00023888"/>
    <w:rsid w:val="00024E16"/>
    <w:rsid w:val="00025295"/>
    <w:rsid w:val="0002592E"/>
    <w:rsid w:val="00025D72"/>
    <w:rsid w:val="00026A76"/>
    <w:rsid w:val="00027FEF"/>
    <w:rsid w:val="000306A2"/>
    <w:rsid w:val="0003076B"/>
    <w:rsid w:val="000312C5"/>
    <w:rsid w:val="00031588"/>
    <w:rsid w:val="00034620"/>
    <w:rsid w:val="0003529A"/>
    <w:rsid w:val="00035AC0"/>
    <w:rsid w:val="00035E12"/>
    <w:rsid w:val="00037263"/>
    <w:rsid w:val="00037C58"/>
    <w:rsid w:val="00037F83"/>
    <w:rsid w:val="000408D3"/>
    <w:rsid w:val="000411A3"/>
    <w:rsid w:val="00041D63"/>
    <w:rsid w:val="00042001"/>
    <w:rsid w:val="00042793"/>
    <w:rsid w:val="00042B11"/>
    <w:rsid w:val="000430A3"/>
    <w:rsid w:val="00043240"/>
    <w:rsid w:val="00045215"/>
    <w:rsid w:val="000503BB"/>
    <w:rsid w:val="00051A39"/>
    <w:rsid w:val="00051A91"/>
    <w:rsid w:val="00052743"/>
    <w:rsid w:val="0005470D"/>
    <w:rsid w:val="00055AD8"/>
    <w:rsid w:val="00055AF9"/>
    <w:rsid w:val="000614CA"/>
    <w:rsid w:val="00062061"/>
    <w:rsid w:val="000636FC"/>
    <w:rsid w:val="00063C94"/>
    <w:rsid w:val="0006754D"/>
    <w:rsid w:val="00067F62"/>
    <w:rsid w:val="000708E7"/>
    <w:rsid w:val="00070CFC"/>
    <w:rsid w:val="00070FEF"/>
    <w:rsid w:val="000714F4"/>
    <w:rsid w:val="000716F4"/>
    <w:rsid w:val="0007276A"/>
    <w:rsid w:val="0007547A"/>
    <w:rsid w:val="00076682"/>
    <w:rsid w:val="00077A75"/>
    <w:rsid w:val="00080A6C"/>
    <w:rsid w:val="00080CA5"/>
    <w:rsid w:val="00080EA0"/>
    <w:rsid w:val="0008203C"/>
    <w:rsid w:val="00085514"/>
    <w:rsid w:val="00086AF4"/>
    <w:rsid w:val="0008759E"/>
    <w:rsid w:val="00087EFC"/>
    <w:rsid w:val="000915BF"/>
    <w:rsid w:val="00093036"/>
    <w:rsid w:val="0009408F"/>
    <w:rsid w:val="00094AE2"/>
    <w:rsid w:val="00094C01"/>
    <w:rsid w:val="00095115"/>
    <w:rsid w:val="000978CA"/>
    <w:rsid w:val="0009793B"/>
    <w:rsid w:val="000A0C27"/>
    <w:rsid w:val="000A172C"/>
    <w:rsid w:val="000A28B0"/>
    <w:rsid w:val="000A2B73"/>
    <w:rsid w:val="000A34CE"/>
    <w:rsid w:val="000A3F29"/>
    <w:rsid w:val="000A53F6"/>
    <w:rsid w:val="000B2083"/>
    <w:rsid w:val="000B2B76"/>
    <w:rsid w:val="000B4692"/>
    <w:rsid w:val="000B496E"/>
    <w:rsid w:val="000B6E8C"/>
    <w:rsid w:val="000B735B"/>
    <w:rsid w:val="000B78BF"/>
    <w:rsid w:val="000B7B25"/>
    <w:rsid w:val="000C0461"/>
    <w:rsid w:val="000C0C50"/>
    <w:rsid w:val="000C0F5D"/>
    <w:rsid w:val="000C1199"/>
    <w:rsid w:val="000C169F"/>
    <w:rsid w:val="000C25A1"/>
    <w:rsid w:val="000C340E"/>
    <w:rsid w:val="000C4674"/>
    <w:rsid w:val="000D0905"/>
    <w:rsid w:val="000D0D0F"/>
    <w:rsid w:val="000D11AB"/>
    <w:rsid w:val="000D1477"/>
    <w:rsid w:val="000D19D2"/>
    <w:rsid w:val="000D496E"/>
    <w:rsid w:val="000D5CC7"/>
    <w:rsid w:val="000D61C1"/>
    <w:rsid w:val="000E1387"/>
    <w:rsid w:val="000E2E2B"/>
    <w:rsid w:val="000E3ED5"/>
    <w:rsid w:val="000E4710"/>
    <w:rsid w:val="000E5B0A"/>
    <w:rsid w:val="000E654E"/>
    <w:rsid w:val="000E7030"/>
    <w:rsid w:val="000F122F"/>
    <w:rsid w:val="000F2003"/>
    <w:rsid w:val="000F4D01"/>
    <w:rsid w:val="000F6B41"/>
    <w:rsid w:val="000F73BE"/>
    <w:rsid w:val="000F76D2"/>
    <w:rsid w:val="000F7907"/>
    <w:rsid w:val="0010126F"/>
    <w:rsid w:val="00101717"/>
    <w:rsid w:val="00102F5D"/>
    <w:rsid w:val="00103F99"/>
    <w:rsid w:val="00105C78"/>
    <w:rsid w:val="00106E96"/>
    <w:rsid w:val="00112782"/>
    <w:rsid w:val="001133DC"/>
    <w:rsid w:val="001136F1"/>
    <w:rsid w:val="00113AC2"/>
    <w:rsid w:val="0011433D"/>
    <w:rsid w:val="001162B1"/>
    <w:rsid w:val="00117556"/>
    <w:rsid w:val="00121B55"/>
    <w:rsid w:val="00122143"/>
    <w:rsid w:val="00122E51"/>
    <w:rsid w:val="00122F9C"/>
    <w:rsid w:val="00124C45"/>
    <w:rsid w:val="001255A5"/>
    <w:rsid w:val="0012587F"/>
    <w:rsid w:val="001263DB"/>
    <w:rsid w:val="00131209"/>
    <w:rsid w:val="0013120A"/>
    <w:rsid w:val="00131D66"/>
    <w:rsid w:val="00131E28"/>
    <w:rsid w:val="001326A4"/>
    <w:rsid w:val="00133065"/>
    <w:rsid w:val="001346AB"/>
    <w:rsid w:val="001348D5"/>
    <w:rsid w:val="00134D94"/>
    <w:rsid w:val="001359A8"/>
    <w:rsid w:val="00135E35"/>
    <w:rsid w:val="00137086"/>
    <w:rsid w:val="00137533"/>
    <w:rsid w:val="001404E3"/>
    <w:rsid w:val="00144F68"/>
    <w:rsid w:val="00144F95"/>
    <w:rsid w:val="001455E7"/>
    <w:rsid w:val="00145ED7"/>
    <w:rsid w:val="001474FF"/>
    <w:rsid w:val="00147F96"/>
    <w:rsid w:val="00150312"/>
    <w:rsid w:val="001505AC"/>
    <w:rsid w:val="00150B80"/>
    <w:rsid w:val="00152ECF"/>
    <w:rsid w:val="00153AB9"/>
    <w:rsid w:val="00153C28"/>
    <w:rsid w:val="0015573C"/>
    <w:rsid w:val="00157919"/>
    <w:rsid w:val="00161951"/>
    <w:rsid w:val="001621B5"/>
    <w:rsid w:val="00162A2F"/>
    <w:rsid w:val="0016448D"/>
    <w:rsid w:val="0016472F"/>
    <w:rsid w:val="001648F1"/>
    <w:rsid w:val="00164B80"/>
    <w:rsid w:val="00165085"/>
    <w:rsid w:val="00165112"/>
    <w:rsid w:val="00165288"/>
    <w:rsid w:val="00165CF7"/>
    <w:rsid w:val="00165F01"/>
    <w:rsid w:val="00166C1D"/>
    <w:rsid w:val="001702E2"/>
    <w:rsid w:val="00171882"/>
    <w:rsid w:val="00174694"/>
    <w:rsid w:val="001752C9"/>
    <w:rsid w:val="001758B0"/>
    <w:rsid w:val="00175BA7"/>
    <w:rsid w:val="001765D9"/>
    <w:rsid w:val="00177228"/>
    <w:rsid w:val="00180ECB"/>
    <w:rsid w:val="00182678"/>
    <w:rsid w:val="00183839"/>
    <w:rsid w:val="00183E23"/>
    <w:rsid w:val="0018400C"/>
    <w:rsid w:val="001843E1"/>
    <w:rsid w:val="00184C6D"/>
    <w:rsid w:val="00184D36"/>
    <w:rsid w:val="001853CF"/>
    <w:rsid w:val="00187633"/>
    <w:rsid w:val="00187A03"/>
    <w:rsid w:val="00187BD2"/>
    <w:rsid w:val="001910A2"/>
    <w:rsid w:val="00194834"/>
    <w:rsid w:val="0019526B"/>
    <w:rsid w:val="0019557C"/>
    <w:rsid w:val="00195663"/>
    <w:rsid w:val="00195E7A"/>
    <w:rsid w:val="0019732B"/>
    <w:rsid w:val="001978F1"/>
    <w:rsid w:val="001A54B6"/>
    <w:rsid w:val="001B310D"/>
    <w:rsid w:val="001B3917"/>
    <w:rsid w:val="001B6D93"/>
    <w:rsid w:val="001C057C"/>
    <w:rsid w:val="001C1026"/>
    <w:rsid w:val="001C126F"/>
    <w:rsid w:val="001C16FE"/>
    <w:rsid w:val="001C51D7"/>
    <w:rsid w:val="001C58F9"/>
    <w:rsid w:val="001C5C62"/>
    <w:rsid w:val="001C7125"/>
    <w:rsid w:val="001D054B"/>
    <w:rsid w:val="001D3220"/>
    <w:rsid w:val="001D34E5"/>
    <w:rsid w:val="001D3B81"/>
    <w:rsid w:val="001D3EFB"/>
    <w:rsid w:val="001D4337"/>
    <w:rsid w:val="001D5B21"/>
    <w:rsid w:val="001D62DD"/>
    <w:rsid w:val="001D6A66"/>
    <w:rsid w:val="001E1DA0"/>
    <w:rsid w:val="001E348B"/>
    <w:rsid w:val="001E44A9"/>
    <w:rsid w:val="001E5DD6"/>
    <w:rsid w:val="001E62EF"/>
    <w:rsid w:val="001E7328"/>
    <w:rsid w:val="001E76A7"/>
    <w:rsid w:val="001F1525"/>
    <w:rsid w:val="001F252B"/>
    <w:rsid w:val="001F3472"/>
    <w:rsid w:val="001F37AE"/>
    <w:rsid w:val="001F3E9E"/>
    <w:rsid w:val="001F42A3"/>
    <w:rsid w:val="001F524B"/>
    <w:rsid w:val="00200613"/>
    <w:rsid w:val="00200662"/>
    <w:rsid w:val="00200F0C"/>
    <w:rsid w:val="002024C0"/>
    <w:rsid w:val="00204851"/>
    <w:rsid w:val="002053AC"/>
    <w:rsid w:val="00205948"/>
    <w:rsid w:val="00205E4A"/>
    <w:rsid w:val="002060D7"/>
    <w:rsid w:val="002063BD"/>
    <w:rsid w:val="002070A5"/>
    <w:rsid w:val="002075E5"/>
    <w:rsid w:val="002078EB"/>
    <w:rsid w:val="00207A5B"/>
    <w:rsid w:val="00210479"/>
    <w:rsid w:val="00212CE7"/>
    <w:rsid w:val="00212DBC"/>
    <w:rsid w:val="00215158"/>
    <w:rsid w:val="00215896"/>
    <w:rsid w:val="00215C22"/>
    <w:rsid w:val="002174E1"/>
    <w:rsid w:val="00220548"/>
    <w:rsid w:val="002235D7"/>
    <w:rsid w:val="00225B89"/>
    <w:rsid w:val="00225EC5"/>
    <w:rsid w:val="0023141D"/>
    <w:rsid w:val="0023144F"/>
    <w:rsid w:val="00231B2C"/>
    <w:rsid w:val="00233F79"/>
    <w:rsid w:val="0023477B"/>
    <w:rsid w:val="00236752"/>
    <w:rsid w:val="002379BB"/>
    <w:rsid w:val="002407BB"/>
    <w:rsid w:val="00242F16"/>
    <w:rsid w:val="002436C5"/>
    <w:rsid w:val="00243CB9"/>
    <w:rsid w:val="00244F8A"/>
    <w:rsid w:val="002450BB"/>
    <w:rsid w:val="00246E93"/>
    <w:rsid w:val="00251504"/>
    <w:rsid w:val="0025255E"/>
    <w:rsid w:val="002534B6"/>
    <w:rsid w:val="002537F5"/>
    <w:rsid w:val="00254FC4"/>
    <w:rsid w:val="002560FC"/>
    <w:rsid w:val="002575AC"/>
    <w:rsid w:val="002603B6"/>
    <w:rsid w:val="002617B7"/>
    <w:rsid w:val="00263020"/>
    <w:rsid w:val="00263ED5"/>
    <w:rsid w:val="00264CB3"/>
    <w:rsid w:val="002658C4"/>
    <w:rsid w:val="00265C9F"/>
    <w:rsid w:val="00266151"/>
    <w:rsid w:val="002664D3"/>
    <w:rsid w:val="002666D8"/>
    <w:rsid w:val="00271303"/>
    <w:rsid w:val="00271F54"/>
    <w:rsid w:val="00272B6F"/>
    <w:rsid w:val="00272D80"/>
    <w:rsid w:val="0027498D"/>
    <w:rsid w:val="00274C96"/>
    <w:rsid w:val="002752B7"/>
    <w:rsid w:val="00276D75"/>
    <w:rsid w:val="002775D6"/>
    <w:rsid w:val="00277E2A"/>
    <w:rsid w:val="00280247"/>
    <w:rsid w:val="00280500"/>
    <w:rsid w:val="00280F02"/>
    <w:rsid w:val="00282B7A"/>
    <w:rsid w:val="00282E8E"/>
    <w:rsid w:val="00283A27"/>
    <w:rsid w:val="00286207"/>
    <w:rsid w:val="00286CB9"/>
    <w:rsid w:val="00286EFA"/>
    <w:rsid w:val="00287D74"/>
    <w:rsid w:val="00290C42"/>
    <w:rsid w:val="00290DE2"/>
    <w:rsid w:val="00291028"/>
    <w:rsid w:val="00292239"/>
    <w:rsid w:val="00292C8F"/>
    <w:rsid w:val="00293140"/>
    <w:rsid w:val="00295649"/>
    <w:rsid w:val="00295F23"/>
    <w:rsid w:val="002974C7"/>
    <w:rsid w:val="002A3614"/>
    <w:rsid w:val="002A3B13"/>
    <w:rsid w:val="002A3C86"/>
    <w:rsid w:val="002A4291"/>
    <w:rsid w:val="002A4CB7"/>
    <w:rsid w:val="002A50D0"/>
    <w:rsid w:val="002A5475"/>
    <w:rsid w:val="002A5B61"/>
    <w:rsid w:val="002A6237"/>
    <w:rsid w:val="002A6928"/>
    <w:rsid w:val="002A695D"/>
    <w:rsid w:val="002B03B9"/>
    <w:rsid w:val="002B0C8B"/>
    <w:rsid w:val="002B2FA2"/>
    <w:rsid w:val="002B4348"/>
    <w:rsid w:val="002B7E67"/>
    <w:rsid w:val="002C2AB2"/>
    <w:rsid w:val="002C33AB"/>
    <w:rsid w:val="002C4D45"/>
    <w:rsid w:val="002C5018"/>
    <w:rsid w:val="002C55FF"/>
    <w:rsid w:val="002C69FA"/>
    <w:rsid w:val="002C72E9"/>
    <w:rsid w:val="002C7386"/>
    <w:rsid w:val="002C7935"/>
    <w:rsid w:val="002D15FE"/>
    <w:rsid w:val="002D1788"/>
    <w:rsid w:val="002D22A1"/>
    <w:rsid w:val="002D26C6"/>
    <w:rsid w:val="002D44CE"/>
    <w:rsid w:val="002D4C9F"/>
    <w:rsid w:val="002D6698"/>
    <w:rsid w:val="002D7B6F"/>
    <w:rsid w:val="002E1730"/>
    <w:rsid w:val="002E2C51"/>
    <w:rsid w:val="002E2C72"/>
    <w:rsid w:val="002E4119"/>
    <w:rsid w:val="002E5982"/>
    <w:rsid w:val="002E647B"/>
    <w:rsid w:val="002E74C7"/>
    <w:rsid w:val="002E7C0C"/>
    <w:rsid w:val="002F1FC5"/>
    <w:rsid w:val="002F2BB0"/>
    <w:rsid w:val="002F2E67"/>
    <w:rsid w:val="002F38CB"/>
    <w:rsid w:val="002F6527"/>
    <w:rsid w:val="003011FA"/>
    <w:rsid w:val="003018D4"/>
    <w:rsid w:val="00305DCC"/>
    <w:rsid w:val="00306571"/>
    <w:rsid w:val="003102B1"/>
    <w:rsid w:val="00310D23"/>
    <w:rsid w:val="003115C4"/>
    <w:rsid w:val="00311CD6"/>
    <w:rsid w:val="00312BFC"/>
    <w:rsid w:val="00312D82"/>
    <w:rsid w:val="0031474B"/>
    <w:rsid w:val="0031559B"/>
    <w:rsid w:val="003200C9"/>
    <w:rsid w:val="00320F17"/>
    <w:rsid w:val="00322707"/>
    <w:rsid w:val="003245E1"/>
    <w:rsid w:val="00324820"/>
    <w:rsid w:val="003277E1"/>
    <w:rsid w:val="00327C17"/>
    <w:rsid w:val="0033004F"/>
    <w:rsid w:val="0033046F"/>
    <w:rsid w:val="0033219F"/>
    <w:rsid w:val="00332947"/>
    <w:rsid w:val="0033310F"/>
    <w:rsid w:val="00333172"/>
    <w:rsid w:val="003356AC"/>
    <w:rsid w:val="00335A28"/>
    <w:rsid w:val="0033703A"/>
    <w:rsid w:val="0034027C"/>
    <w:rsid w:val="003407A6"/>
    <w:rsid w:val="00340B3B"/>
    <w:rsid w:val="003414D4"/>
    <w:rsid w:val="00341E27"/>
    <w:rsid w:val="0034419E"/>
    <w:rsid w:val="00345173"/>
    <w:rsid w:val="00345372"/>
    <w:rsid w:val="003453FE"/>
    <w:rsid w:val="00350FF7"/>
    <w:rsid w:val="00352CF5"/>
    <w:rsid w:val="00353835"/>
    <w:rsid w:val="00353D9C"/>
    <w:rsid w:val="00354041"/>
    <w:rsid w:val="00354957"/>
    <w:rsid w:val="00356A8E"/>
    <w:rsid w:val="00360AF7"/>
    <w:rsid w:val="00361C78"/>
    <w:rsid w:val="003620B2"/>
    <w:rsid w:val="003640BE"/>
    <w:rsid w:val="0036470C"/>
    <w:rsid w:val="003661DA"/>
    <w:rsid w:val="00366716"/>
    <w:rsid w:val="00366BBE"/>
    <w:rsid w:val="00366DB9"/>
    <w:rsid w:val="00367BBE"/>
    <w:rsid w:val="00370650"/>
    <w:rsid w:val="00370AFF"/>
    <w:rsid w:val="00370E90"/>
    <w:rsid w:val="00371EE7"/>
    <w:rsid w:val="003740A4"/>
    <w:rsid w:val="00374182"/>
    <w:rsid w:val="0037484E"/>
    <w:rsid w:val="00375795"/>
    <w:rsid w:val="003760AE"/>
    <w:rsid w:val="00380261"/>
    <w:rsid w:val="00380452"/>
    <w:rsid w:val="003809F6"/>
    <w:rsid w:val="00382163"/>
    <w:rsid w:val="003824B0"/>
    <w:rsid w:val="00382F9A"/>
    <w:rsid w:val="00386FC6"/>
    <w:rsid w:val="00391A81"/>
    <w:rsid w:val="003932EC"/>
    <w:rsid w:val="0039455A"/>
    <w:rsid w:val="00394744"/>
    <w:rsid w:val="00394FF3"/>
    <w:rsid w:val="00395CEF"/>
    <w:rsid w:val="003977E0"/>
    <w:rsid w:val="00397A99"/>
    <w:rsid w:val="003A0127"/>
    <w:rsid w:val="003A0D66"/>
    <w:rsid w:val="003A0E70"/>
    <w:rsid w:val="003A29DD"/>
    <w:rsid w:val="003A306A"/>
    <w:rsid w:val="003A3241"/>
    <w:rsid w:val="003A3FB6"/>
    <w:rsid w:val="003A4E15"/>
    <w:rsid w:val="003A5F16"/>
    <w:rsid w:val="003A64A5"/>
    <w:rsid w:val="003A713F"/>
    <w:rsid w:val="003A7543"/>
    <w:rsid w:val="003A7EF3"/>
    <w:rsid w:val="003B0189"/>
    <w:rsid w:val="003B09E1"/>
    <w:rsid w:val="003B177D"/>
    <w:rsid w:val="003B28D6"/>
    <w:rsid w:val="003B2A01"/>
    <w:rsid w:val="003B3591"/>
    <w:rsid w:val="003B4168"/>
    <w:rsid w:val="003B612B"/>
    <w:rsid w:val="003B678C"/>
    <w:rsid w:val="003B6CE9"/>
    <w:rsid w:val="003B6E56"/>
    <w:rsid w:val="003B75E2"/>
    <w:rsid w:val="003C0B58"/>
    <w:rsid w:val="003C12B7"/>
    <w:rsid w:val="003C131A"/>
    <w:rsid w:val="003C3F33"/>
    <w:rsid w:val="003C49F2"/>
    <w:rsid w:val="003C6853"/>
    <w:rsid w:val="003C7476"/>
    <w:rsid w:val="003C7716"/>
    <w:rsid w:val="003D09D5"/>
    <w:rsid w:val="003D6669"/>
    <w:rsid w:val="003E0FE7"/>
    <w:rsid w:val="003E144F"/>
    <w:rsid w:val="003E18F5"/>
    <w:rsid w:val="003E19FA"/>
    <w:rsid w:val="003E2067"/>
    <w:rsid w:val="003E297F"/>
    <w:rsid w:val="003E2D32"/>
    <w:rsid w:val="003E2FD3"/>
    <w:rsid w:val="003E3081"/>
    <w:rsid w:val="003E3656"/>
    <w:rsid w:val="003E3C04"/>
    <w:rsid w:val="003E4C65"/>
    <w:rsid w:val="003E596E"/>
    <w:rsid w:val="003E5991"/>
    <w:rsid w:val="003E75ED"/>
    <w:rsid w:val="003E7B23"/>
    <w:rsid w:val="003F02AC"/>
    <w:rsid w:val="003F2108"/>
    <w:rsid w:val="003F3AAD"/>
    <w:rsid w:val="003F44EF"/>
    <w:rsid w:val="003F4DD2"/>
    <w:rsid w:val="003F54D6"/>
    <w:rsid w:val="003F6110"/>
    <w:rsid w:val="003F7EA4"/>
    <w:rsid w:val="004004B2"/>
    <w:rsid w:val="004011F5"/>
    <w:rsid w:val="00402810"/>
    <w:rsid w:val="00404A49"/>
    <w:rsid w:val="00410442"/>
    <w:rsid w:val="00411B7B"/>
    <w:rsid w:val="00411BAC"/>
    <w:rsid w:val="0041393E"/>
    <w:rsid w:val="0041435E"/>
    <w:rsid w:val="00415681"/>
    <w:rsid w:val="00415A04"/>
    <w:rsid w:val="004174CA"/>
    <w:rsid w:val="0041772C"/>
    <w:rsid w:val="0042510F"/>
    <w:rsid w:val="00425BF1"/>
    <w:rsid w:val="00430FAB"/>
    <w:rsid w:val="00431A9C"/>
    <w:rsid w:val="00431B54"/>
    <w:rsid w:val="00431EAD"/>
    <w:rsid w:val="00432479"/>
    <w:rsid w:val="004337AF"/>
    <w:rsid w:val="00435680"/>
    <w:rsid w:val="00437DC2"/>
    <w:rsid w:val="00437DED"/>
    <w:rsid w:val="0044005E"/>
    <w:rsid w:val="00441B41"/>
    <w:rsid w:val="00441F69"/>
    <w:rsid w:val="00442330"/>
    <w:rsid w:val="0044241A"/>
    <w:rsid w:val="004424A1"/>
    <w:rsid w:val="0044259B"/>
    <w:rsid w:val="004429AF"/>
    <w:rsid w:val="00444379"/>
    <w:rsid w:val="00444D7F"/>
    <w:rsid w:val="00444E31"/>
    <w:rsid w:val="00445432"/>
    <w:rsid w:val="004454EE"/>
    <w:rsid w:val="004459C7"/>
    <w:rsid w:val="00445C39"/>
    <w:rsid w:val="004468FA"/>
    <w:rsid w:val="00446D8F"/>
    <w:rsid w:val="00446FDF"/>
    <w:rsid w:val="00447B96"/>
    <w:rsid w:val="00451C66"/>
    <w:rsid w:val="0045211D"/>
    <w:rsid w:val="00453A42"/>
    <w:rsid w:val="00454D27"/>
    <w:rsid w:val="004559F0"/>
    <w:rsid w:val="00455D09"/>
    <w:rsid w:val="004561E8"/>
    <w:rsid w:val="0045776D"/>
    <w:rsid w:val="004579CC"/>
    <w:rsid w:val="00457C91"/>
    <w:rsid w:val="00457D37"/>
    <w:rsid w:val="00461035"/>
    <w:rsid w:val="004629AD"/>
    <w:rsid w:val="004629D0"/>
    <w:rsid w:val="004659A2"/>
    <w:rsid w:val="004666CD"/>
    <w:rsid w:val="00470E8D"/>
    <w:rsid w:val="00472FFF"/>
    <w:rsid w:val="0047312F"/>
    <w:rsid w:val="004734A4"/>
    <w:rsid w:val="00473A61"/>
    <w:rsid w:val="00473BAF"/>
    <w:rsid w:val="004741D7"/>
    <w:rsid w:val="004743CE"/>
    <w:rsid w:val="0047524D"/>
    <w:rsid w:val="0047557E"/>
    <w:rsid w:val="00476F3C"/>
    <w:rsid w:val="0047765C"/>
    <w:rsid w:val="00481558"/>
    <w:rsid w:val="00481DC4"/>
    <w:rsid w:val="00483325"/>
    <w:rsid w:val="00483577"/>
    <w:rsid w:val="00485DCF"/>
    <w:rsid w:val="0048633E"/>
    <w:rsid w:val="00487224"/>
    <w:rsid w:val="00487F90"/>
    <w:rsid w:val="004902FA"/>
    <w:rsid w:val="00490CB9"/>
    <w:rsid w:val="0049213F"/>
    <w:rsid w:val="0049263C"/>
    <w:rsid w:val="00492FB0"/>
    <w:rsid w:val="00493338"/>
    <w:rsid w:val="00493AC8"/>
    <w:rsid w:val="004967F5"/>
    <w:rsid w:val="0049692B"/>
    <w:rsid w:val="00497A47"/>
    <w:rsid w:val="004A0AF7"/>
    <w:rsid w:val="004A2F4D"/>
    <w:rsid w:val="004A4050"/>
    <w:rsid w:val="004A523F"/>
    <w:rsid w:val="004A5512"/>
    <w:rsid w:val="004A5679"/>
    <w:rsid w:val="004A59AE"/>
    <w:rsid w:val="004A6136"/>
    <w:rsid w:val="004A6E0E"/>
    <w:rsid w:val="004A7150"/>
    <w:rsid w:val="004B0214"/>
    <w:rsid w:val="004B0F71"/>
    <w:rsid w:val="004B23ED"/>
    <w:rsid w:val="004B26E3"/>
    <w:rsid w:val="004B2842"/>
    <w:rsid w:val="004B45C2"/>
    <w:rsid w:val="004B485C"/>
    <w:rsid w:val="004B5B66"/>
    <w:rsid w:val="004B64DD"/>
    <w:rsid w:val="004C0001"/>
    <w:rsid w:val="004C1D27"/>
    <w:rsid w:val="004C1DE3"/>
    <w:rsid w:val="004C2507"/>
    <w:rsid w:val="004C3DA2"/>
    <w:rsid w:val="004C62F2"/>
    <w:rsid w:val="004D0162"/>
    <w:rsid w:val="004D094F"/>
    <w:rsid w:val="004D14B1"/>
    <w:rsid w:val="004D266E"/>
    <w:rsid w:val="004D4284"/>
    <w:rsid w:val="004D50D7"/>
    <w:rsid w:val="004D5D84"/>
    <w:rsid w:val="004D5FFB"/>
    <w:rsid w:val="004D6D7B"/>
    <w:rsid w:val="004D7093"/>
    <w:rsid w:val="004E2B68"/>
    <w:rsid w:val="004E3C55"/>
    <w:rsid w:val="004E41B2"/>
    <w:rsid w:val="004E49AB"/>
    <w:rsid w:val="004E4D9A"/>
    <w:rsid w:val="004E53F5"/>
    <w:rsid w:val="004E55D4"/>
    <w:rsid w:val="004E5629"/>
    <w:rsid w:val="004E63C2"/>
    <w:rsid w:val="004E68A4"/>
    <w:rsid w:val="004E6D85"/>
    <w:rsid w:val="004E79F3"/>
    <w:rsid w:val="004E7AB4"/>
    <w:rsid w:val="004E7AE6"/>
    <w:rsid w:val="004E7E60"/>
    <w:rsid w:val="004F0B96"/>
    <w:rsid w:val="004F19DF"/>
    <w:rsid w:val="004F2219"/>
    <w:rsid w:val="004F2931"/>
    <w:rsid w:val="004F35B4"/>
    <w:rsid w:val="004F3AA7"/>
    <w:rsid w:val="004F3DA1"/>
    <w:rsid w:val="004F4135"/>
    <w:rsid w:val="004F469D"/>
    <w:rsid w:val="004F482B"/>
    <w:rsid w:val="004F4D5D"/>
    <w:rsid w:val="004F4DE7"/>
    <w:rsid w:val="004F5E65"/>
    <w:rsid w:val="00501443"/>
    <w:rsid w:val="005042D1"/>
    <w:rsid w:val="005045F9"/>
    <w:rsid w:val="005072ED"/>
    <w:rsid w:val="00513FC8"/>
    <w:rsid w:val="00514824"/>
    <w:rsid w:val="0051602C"/>
    <w:rsid w:val="0052147D"/>
    <w:rsid w:val="0052451C"/>
    <w:rsid w:val="00524922"/>
    <w:rsid w:val="00525696"/>
    <w:rsid w:val="0052583F"/>
    <w:rsid w:val="005264D0"/>
    <w:rsid w:val="00526A01"/>
    <w:rsid w:val="00531316"/>
    <w:rsid w:val="00531C29"/>
    <w:rsid w:val="005323D6"/>
    <w:rsid w:val="00532F0B"/>
    <w:rsid w:val="00533160"/>
    <w:rsid w:val="0053400D"/>
    <w:rsid w:val="00535BCB"/>
    <w:rsid w:val="005369E0"/>
    <w:rsid w:val="005372A4"/>
    <w:rsid w:val="00537586"/>
    <w:rsid w:val="005416A3"/>
    <w:rsid w:val="0054223E"/>
    <w:rsid w:val="00542489"/>
    <w:rsid w:val="0054261B"/>
    <w:rsid w:val="005426BF"/>
    <w:rsid w:val="0054466D"/>
    <w:rsid w:val="00547731"/>
    <w:rsid w:val="00550FB3"/>
    <w:rsid w:val="0055122C"/>
    <w:rsid w:val="005514BA"/>
    <w:rsid w:val="0055180C"/>
    <w:rsid w:val="005518B3"/>
    <w:rsid w:val="00551D6E"/>
    <w:rsid w:val="00555422"/>
    <w:rsid w:val="00556FBC"/>
    <w:rsid w:val="0055713F"/>
    <w:rsid w:val="00560716"/>
    <w:rsid w:val="00561BC6"/>
    <w:rsid w:val="00561C25"/>
    <w:rsid w:val="005624FD"/>
    <w:rsid w:val="0056250E"/>
    <w:rsid w:val="0056264E"/>
    <w:rsid w:val="00562F0D"/>
    <w:rsid w:val="00570C85"/>
    <w:rsid w:val="00570F0C"/>
    <w:rsid w:val="00571D5E"/>
    <w:rsid w:val="00571D87"/>
    <w:rsid w:val="00572A4A"/>
    <w:rsid w:val="0057475F"/>
    <w:rsid w:val="00575078"/>
    <w:rsid w:val="00576B04"/>
    <w:rsid w:val="00576EF7"/>
    <w:rsid w:val="005800DE"/>
    <w:rsid w:val="00580C96"/>
    <w:rsid w:val="00581442"/>
    <w:rsid w:val="00583F99"/>
    <w:rsid w:val="00585341"/>
    <w:rsid w:val="00586C13"/>
    <w:rsid w:val="00587F20"/>
    <w:rsid w:val="0059011D"/>
    <w:rsid w:val="0059075E"/>
    <w:rsid w:val="00590986"/>
    <w:rsid w:val="00591769"/>
    <w:rsid w:val="00592005"/>
    <w:rsid w:val="00592102"/>
    <w:rsid w:val="005941B7"/>
    <w:rsid w:val="00594E83"/>
    <w:rsid w:val="005954CF"/>
    <w:rsid w:val="00595C98"/>
    <w:rsid w:val="0059711C"/>
    <w:rsid w:val="00597AA3"/>
    <w:rsid w:val="00597C62"/>
    <w:rsid w:val="005A04B1"/>
    <w:rsid w:val="005A0E8E"/>
    <w:rsid w:val="005A1A31"/>
    <w:rsid w:val="005A251F"/>
    <w:rsid w:val="005A2A3F"/>
    <w:rsid w:val="005A3F35"/>
    <w:rsid w:val="005A5103"/>
    <w:rsid w:val="005A6949"/>
    <w:rsid w:val="005A73B7"/>
    <w:rsid w:val="005A73F8"/>
    <w:rsid w:val="005B09DD"/>
    <w:rsid w:val="005B0D0B"/>
    <w:rsid w:val="005B0F21"/>
    <w:rsid w:val="005B10A6"/>
    <w:rsid w:val="005B1860"/>
    <w:rsid w:val="005B2768"/>
    <w:rsid w:val="005B27C2"/>
    <w:rsid w:val="005B2E01"/>
    <w:rsid w:val="005B3692"/>
    <w:rsid w:val="005B3A90"/>
    <w:rsid w:val="005B4E95"/>
    <w:rsid w:val="005B5327"/>
    <w:rsid w:val="005C040D"/>
    <w:rsid w:val="005C075E"/>
    <w:rsid w:val="005C3297"/>
    <w:rsid w:val="005C389B"/>
    <w:rsid w:val="005C48E8"/>
    <w:rsid w:val="005C499F"/>
    <w:rsid w:val="005C590D"/>
    <w:rsid w:val="005C5CC2"/>
    <w:rsid w:val="005D0ADF"/>
    <w:rsid w:val="005D2149"/>
    <w:rsid w:val="005D47FE"/>
    <w:rsid w:val="005D4A26"/>
    <w:rsid w:val="005D5973"/>
    <w:rsid w:val="005E17E8"/>
    <w:rsid w:val="005E2F9B"/>
    <w:rsid w:val="005E34A5"/>
    <w:rsid w:val="005E4F1A"/>
    <w:rsid w:val="005E59EE"/>
    <w:rsid w:val="005E7389"/>
    <w:rsid w:val="005F072D"/>
    <w:rsid w:val="005F0A85"/>
    <w:rsid w:val="005F2296"/>
    <w:rsid w:val="005F37C1"/>
    <w:rsid w:val="005F53C3"/>
    <w:rsid w:val="005F60AC"/>
    <w:rsid w:val="005F72A9"/>
    <w:rsid w:val="005F76AA"/>
    <w:rsid w:val="005F7923"/>
    <w:rsid w:val="006000E0"/>
    <w:rsid w:val="0060088E"/>
    <w:rsid w:val="00600BB6"/>
    <w:rsid w:val="00601248"/>
    <w:rsid w:val="00601523"/>
    <w:rsid w:val="0060166A"/>
    <w:rsid w:val="00601993"/>
    <w:rsid w:val="006033DD"/>
    <w:rsid w:val="006043B1"/>
    <w:rsid w:val="006048CF"/>
    <w:rsid w:val="00606440"/>
    <w:rsid w:val="00606D6E"/>
    <w:rsid w:val="0060793B"/>
    <w:rsid w:val="00607F9A"/>
    <w:rsid w:val="0061042A"/>
    <w:rsid w:val="0061276A"/>
    <w:rsid w:val="006137A9"/>
    <w:rsid w:val="0061664B"/>
    <w:rsid w:val="006169E2"/>
    <w:rsid w:val="0062128C"/>
    <w:rsid w:val="006237E4"/>
    <w:rsid w:val="006252A1"/>
    <w:rsid w:val="006262A9"/>
    <w:rsid w:val="00632FD7"/>
    <w:rsid w:val="00633389"/>
    <w:rsid w:val="006339E2"/>
    <w:rsid w:val="00633F49"/>
    <w:rsid w:val="006340CD"/>
    <w:rsid w:val="00634C72"/>
    <w:rsid w:val="0063797F"/>
    <w:rsid w:val="00637A56"/>
    <w:rsid w:val="00641009"/>
    <w:rsid w:val="00642F2E"/>
    <w:rsid w:val="00646E5E"/>
    <w:rsid w:val="006500BB"/>
    <w:rsid w:val="0065320B"/>
    <w:rsid w:val="006545A6"/>
    <w:rsid w:val="006559BD"/>
    <w:rsid w:val="00656845"/>
    <w:rsid w:val="0065742F"/>
    <w:rsid w:val="006603C5"/>
    <w:rsid w:val="00663ECE"/>
    <w:rsid w:val="006651C6"/>
    <w:rsid w:val="0066526A"/>
    <w:rsid w:val="00665A3D"/>
    <w:rsid w:val="00666D76"/>
    <w:rsid w:val="00667806"/>
    <w:rsid w:val="00667B49"/>
    <w:rsid w:val="00667CE2"/>
    <w:rsid w:val="0067105E"/>
    <w:rsid w:val="00671134"/>
    <w:rsid w:val="00671BFE"/>
    <w:rsid w:val="006725CE"/>
    <w:rsid w:val="006727BF"/>
    <w:rsid w:val="0067422E"/>
    <w:rsid w:val="0067472A"/>
    <w:rsid w:val="0067473D"/>
    <w:rsid w:val="00674C01"/>
    <w:rsid w:val="00674C92"/>
    <w:rsid w:val="006776B3"/>
    <w:rsid w:val="0068162A"/>
    <w:rsid w:val="0068176C"/>
    <w:rsid w:val="00682602"/>
    <w:rsid w:val="00683D4C"/>
    <w:rsid w:val="006848C5"/>
    <w:rsid w:val="00684CCE"/>
    <w:rsid w:val="00685CCE"/>
    <w:rsid w:val="00686584"/>
    <w:rsid w:val="00686F13"/>
    <w:rsid w:val="00687FC6"/>
    <w:rsid w:val="0069038B"/>
    <w:rsid w:val="0069047C"/>
    <w:rsid w:val="0069098B"/>
    <w:rsid w:val="00690F9E"/>
    <w:rsid w:val="00691418"/>
    <w:rsid w:val="006919A3"/>
    <w:rsid w:val="006949AE"/>
    <w:rsid w:val="006A095F"/>
    <w:rsid w:val="006A0E8F"/>
    <w:rsid w:val="006A2A72"/>
    <w:rsid w:val="006A5EB4"/>
    <w:rsid w:val="006A672E"/>
    <w:rsid w:val="006A6A12"/>
    <w:rsid w:val="006A6FB5"/>
    <w:rsid w:val="006A7598"/>
    <w:rsid w:val="006A7775"/>
    <w:rsid w:val="006A7A12"/>
    <w:rsid w:val="006A7FD7"/>
    <w:rsid w:val="006B0EB4"/>
    <w:rsid w:val="006B122F"/>
    <w:rsid w:val="006B1C66"/>
    <w:rsid w:val="006B1F2F"/>
    <w:rsid w:val="006B3B4E"/>
    <w:rsid w:val="006B41CE"/>
    <w:rsid w:val="006B48AC"/>
    <w:rsid w:val="006B54C5"/>
    <w:rsid w:val="006B5D6C"/>
    <w:rsid w:val="006B5E16"/>
    <w:rsid w:val="006B615D"/>
    <w:rsid w:val="006B7082"/>
    <w:rsid w:val="006C04F9"/>
    <w:rsid w:val="006C0C9A"/>
    <w:rsid w:val="006C11A6"/>
    <w:rsid w:val="006C1957"/>
    <w:rsid w:val="006C2014"/>
    <w:rsid w:val="006C2D3A"/>
    <w:rsid w:val="006C35E8"/>
    <w:rsid w:val="006C3CDB"/>
    <w:rsid w:val="006C4CA4"/>
    <w:rsid w:val="006C4D74"/>
    <w:rsid w:val="006C5089"/>
    <w:rsid w:val="006C70DA"/>
    <w:rsid w:val="006D1A09"/>
    <w:rsid w:val="006D1D9B"/>
    <w:rsid w:val="006D22B7"/>
    <w:rsid w:val="006D4953"/>
    <w:rsid w:val="006D5064"/>
    <w:rsid w:val="006D5E80"/>
    <w:rsid w:val="006E19F8"/>
    <w:rsid w:val="006E27B1"/>
    <w:rsid w:val="006E2D86"/>
    <w:rsid w:val="006E47E2"/>
    <w:rsid w:val="006E53AB"/>
    <w:rsid w:val="006E5950"/>
    <w:rsid w:val="006E595C"/>
    <w:rsid w:val="006E6464"/>
    <w:rsid w:val="006F0DBB"/>
    <w:rsid w:val="006F3A26"/>
    <w:rsid w:val="006F3ADA"/>
    <w:rsid w:val="006F4F28"/>
    <w:rsid w:val="006F5635"/>
    <w:rsid w:val="00701839"/>
    <w:rsid w:val="00702033"/>
    <w:rsid w:val="00702C5D"/>
    <w:rsid w:val="00702E2C"/>
    <w:rsid w:val="00702EBC"/>
    <w:rsid w:val="00703FF7"/>
    <w:rsid w:val="00704B03"/>
    <w:rsid w:val="007050C4"/>
    <w:rsid w:val="007060C8"/>
    <w:rsid w:val="007073EE"/>
    <w:rsid w:val="00707437"/>
    <w:rsid w:val="00707FE6"/>
    <w:rsid w:val="00710165"/>
    <w:rsid w:val="007135D9"/>
    <w:rsid w:val="0071697C"/>
    <w:rsid w:val="007172BC"/>
    <w:rsid w:val="00720EDC"/>
    <w:rsid w:val="00721961"/>
    <w:rsid w:val="00723129"/>
    <w:rsid w:val="00723AF9"/>
    <w:rsid w:val="007240D1"/>
    <w:rsid w:val="007245C6"/>
    <w:rsid w:val="00724CAA"/>
    <w:rsid w:val="00724E06"/>
    <w:rsid w:val="007261F2"/>
    <w:rsid w:val="007264DA"/>
    <w:rsid w:val="0072684E"/>
    <w:rsid w:val="007304D1"/>
    <w:rsid w:val="007357EE"/>
    <w:rsid w:val="00736423"/>
    <w:rsid w:val="007372E5"/>
    <w:rsid w:val="00737D28"/>
    <w:rsid w:val="00740466"/>
    <w:rsid w:val="007414A7"/>
    <w:rsid w:val="00741E98"/>
    <w:rsid w:val="00742120"/>
    <w:rsid w:val="007456F1"/>
    <w:rsid w:val="0074576E"/>
    <w:rsid w:val="00745868"/>
    <w:rsid w:val="00746C3C"/>
    <w:rsid w:val="00747B2B"/>
    <w:rsid w:val="00751692"/>
    <w:rsid w:val="00751CD1"/>
    <w:rsid w:val="00751D67"/>
    <w:rsid w:val="007521F7"/>
    <w:rsid w:val="00752AEE"/>
    <w:rsid w:val="0075524B"/>
    <w:rsid w:val="0075649C"/>
    <w:rsid w:val="0076059F"/>
    <w:rsid w:val="00760DC8"/>
    <w:rsid w:val="00762698"/>
    <w:rsid w:val="00762ABA"/>
    <w:rsid w:val="00763348"/>
    <w:rsid w:val="007638D0"/>
    <w:rsid w:val="00764272"/>
    <w:rsid w:val="007646E7"/>
    <w:rsid w:val="007661A7"/>
    <w:rsid w:val="00771D9C"/>
    <w:rsid w:val="00772D07"/>
    <w:rsid w:val="007733E4"/>
    <w:rsid w:val="00774B05"/>
    <w:rsid w:val="00775528"/>
    <w:rsid w:val="00775878"/>
    <w:rsid w:val="00776197"/>
    <w:rsid w:val="00776B31"/>
    <w:rsid w:val="00776D90"/>
    <w:rsid w:val="007771D0"/>
    <w:rsid w:val="007779F7"/>
    <w:rsid w:val="0078038E"/>
    <w:rsid w:val="0078075A"/>
    <w:rsid w:val="00782B27"/>
    <w:rsid w:val="00783485"/>
    <w:rsid w:val="00785421"/>
    <w:rsid w:val="00785848"/>
    <w:rsid w:val="00786924"/>
    <w:rsid w:val="00787C62"/>
    <w:rsid w:val="00790857"/>
    <w:rsid w:val="007939DB"/>
    <w:rsid w:val="00795D71"/>
    <w:rsid w:val="00797D64"/>
    <w:rsid w:val="007A0BAE"/>
    <w:rsid w:val="007A2B5F"/>
    <w:rsid w:val="007A4AE1"/>
    <w:rsid w:val="007A5323"/>
    <w:rsid w:val="007A5B9F"/>
    <w:rsid w:val="007A6368"/>
    <w:rsid w:val="007A7399"/>
    <w:rsid w:val="007A7A86"/>
    <w:rsid w:val="007A7D0A"/>
    <w:rsid w:val="007B0683"/>
    <w:rsid w:val="007B144B"/>
    <w:rsid w:val="007B1C6E"/>
    <w:rsid w:val="007B1D07"/>
    <w:rsid w:val="007B20B2"/>
    <w:rsid w:val="007B2338"/>
    <w:rsid w:val="007B3D21"/>
    <w:rsid w:val="007B4382"/>
    <w:rsid w:val="007B46C4"/>
    <w:rsid w:val="007B46D5"/>
    <w:rsid w:val="007B49F8"/>
    <w:rsid w:val="007B4A48"/>
    <w:rsid w:val="007B51A2"/>
    <w:rsid w:val="007B6C5D"/>
    <w:rsid w:val="007C176E"/>
    <w:rsid w:val="007C27CB"/>
    <w:rsid w:val="007C3E97"/>
    <w:rsid w:val="007C4A3F"/>
    <w:rsid w:val="007C4A48"/>
    <w:rsid w:val="007C5824"/>
    <w:rsid w:val="007C62DE"/>
    <w:rsid w:val="007C6350"/>
    <w:rsid w:val="007C670A"/>
    <w:rsid w:val="007D15C7"/>
    <w:rsid w:val="007D19F9"/>
    <w:rsid w:val="007D250E"/>
    <w:rsid w:val="007D438C"/>
    <w:rsid w:val="007D4684"/>
    <w:rsid w:val="007D4FCE"/>
    <w:rsid w:val="007D580C"/>
    <w:rsid w:val="007D706A"/>
    <w:rsid w:val="007E15DC"/>
    <w:rsid w:val="007E1F9A"/>
    <w:rsid w:val="007E4E85"/>
    <w:rsid w:val="007E52ED"/>
    <w:rsid w:val="007E5625"/>
    <w:rsid w:val="007E5747"/>
    <w:rsid w:val="007E5808"/>
    <w:rsid w:val="007E6F50"/>
    <w:rsid w:val="007E7FD2"/>
    <w:rsid w:val="007F0409"/>
    <w:rsid w:val="007F0DA9"/>
    <w:rsid w:val="007F10C6"/>
    <w:rsid w:val="007F1CE4"/>
    <w:rsid w:val="007F27FB"/>
    <w:rsid w:val="007F530F"/>
    <w:rsid w:val="00800AC7"/>
    <w:rsid w:val="00800B9F"/>
    <w:rsid w:val="00802565"/>
    <w:rsid w:val="00802A4B"/>
    <w:rsid w:val="008049EB"/>
    <w:rsid w:val="008050E9"/>
    <w:rsid w:val="00811932"/>
    <w:rsid w:val="00812C9F"/>
    <w:rsid w:val="00812F69"/>
    <w:rsid w:val="00813EAF"/>
    <w:rsid w:val="008171DD"/>
    <w:rsid w:val="00817326"/>
    <w:rsid w:val="008173E3"/>
    <w:rsid w:val="00817963"/>
    <w:rsid w:val="008237F2"/>
    <w:rsid w:val="008238F4"/>
    <w:rsid w:val="0083001B"/>
    <w:rsid w:val="008300EC"/>
    <w:rsid w:val="00830221"/>
    <w:rsid w:val="00833C7C"/>
    <w:rsid w:val="00833DD2"/>
    <w:rsid w:val="0083484B"/>
    <w:rsid w:val="008349A4"/>
    <w:rsid w:val="00834E2F"/>
    <w:rsid w:val="00836272"/>
    <w:rsid w:val="00837B46"/>
    <w:rsid w:val="00842213"/>
    <w:rsid w:val="008425D4"/>
    <w:rsid w:val="0084334C"/>
    <w:rsid w:val="00845362"/>
    <w:rsid w:val="00850675"/>
    <w:rsid w:val="00852C02"/>
    <w:rsid w:val="00852DAB"/>
    <w:rsid w:val="008545E6"/>
    <w:rsid w:val="008548C0"/>
    <w:rsid w:val="00855B88"/>
    <w:rsid w:val="00857579"/>
    <w:rsid w:val="0086141E"/>
    <w:rsid w:val="00861E3C"/>
    <w:rsid w:val="00863227"/>
    <w:rsid w:val="00864F6C"/>
    <w:rsid w:val="0086695E"/>
    <w:rsid w:val="00871335"/>
    <w:rsid w:val="008714A0"/>
    <w:rsid w:val="0087154B"/>
    <w:rsid w:val="008721C0"/>
    <w:rsid w:val="00872209"/>
    <w:rsid w:val="00872398"/>
    <w:rsid w:val="00873297"/>
    <w:rsid w:val="0087335E"/>
    <w:rsid w:val="00873DFA"/>
    <w:rsid w:val="00875CA4"/>
    <w:rsid w:val="0087757D"/>
    <w:rsid w:val="00881181"/>
    <w:rsid w:val="0088167B"/>
    <w:rsid w:val="00881DFB"/>
    <w:rsid w:val="00881F7D"/>
    <w:rsid w:val="00882B44"/>
    <w:rsid w:val="00883241"/>
    <w:rsid w:val="00883C32"/>
    <w:rsid w:val="00883C64"/>
    <w:rsid w:val="008841ED"/>
    <w:rsid w:val="00884725"/>
    <w:rsid w:val="00884897"/>
    <w:rsid w:val="00884902"/>
    <w:rsid w:val="00885910"/>
    <w:rsid w:val="00885FEC"/>
    <w:rsid w:val="00886ECD"/>
    <w:rsid w:val="00887290"/>
    <w:rsid w:val="00890260"/>
    <w:rsid w:val="00890A54"/>
    <w:rsid w:val="00892194"/>
    <w:rsid w:val="008921FB"/>
    <w:rsid w:val="008946B8"/>
    <w:rsid w:val="008950F6"/>
    <w:rsid w:val="008951DF"/>
    <w:rsid w:val="00896916"/>
    <w:rsid w:val="008A0747"/>
    <w:rsid w:val="008A223A"/>
    <w:rsid w:val="008A2515"/>
    <w:rsid w:val="008A4305"/>
    <w:rsid w:val="008A457F"/>
    <w:rsid w:val="008A4D0A"/>
    <w:rsid w:val="008A75C7"/>
    <w:rsid w:val="008A7640"/>
    <w:rsid w:val="008B098D"/>
    <w:rsid w:val="008B1D3D"/>
    <w:rsid w:val="008B1FDA"/>
    <w:rsid w:val="008B25A9"/>
    <w:rsid w:val="008B32AE"/>
    <w:rsid w:val="008B3950"/>
    <w:rsid w:val="008B47B6"/>
    <w:rsid w:val="008B61A0"/>
    <w:rsid w:val="008B7550"/>
    <w:rsid w:val="008B7676"/>
    <w:rsid w:val="008C080C"/>
    <w:rsid w:val="008C16D2"/>
    <w:rsid w:val="008C17AF"/>
    <w:rsid w:val="008C18CA"/>
    <w:rsid w:val="008C1D1D"/>
    <w:rsid w:val="008C1F79"/>
    <w:rsid w:val="008C2BFA"/>
    <w:rsid w:val="008C2DAA"/>
    <w:rsid w:val="008C40EE"/>
    <w:rsid w:val="008C4C35"/>
    <w:rsid w:val="008C5FF2"/>
    <w:rsid w:val="008C6C08"/>
    <w:rsid w:val="008D04CB"/>
    <w:rsid w:val="008D0850"/>
    <w:rsid w:val="008D089F"/>
    <w:rsid w:val="008D0E7A"/>
    <w:rsid w:val="008D1CA8"/>
    <w:rsid w:val="008D24A0"/>
    <w:rsid w:val="008D259A"/>
    <w:rsid w:val="008D296C"/>
    <w:rsid w:val="008D3EBE"/>
    <w:rsid w:val="008D40FC"/>
    <w:rsid w:val="008D43F6"/>
    <w:rsid w:val="008D493C"/>
    <w:rsid w:val="008D5E6E"/>
    <w:rsid w:val="008D7265"/>
    <w:rsid w:val="008E1C23"/>
    <w:rsid w:val="008E4272"/>
    <w:rsid w:val="008E4CCF"/>
    <w:rsid w:val="008E766E"/>
    <w:rsid w:val="008F10B1"/>
    <w:rsid w:val="008F24AB"/>
    <w:rsid w:val="008F2D6E"/>
    <w:rsid w:val="008F30BF"/>
    <w:rsid w:val="008F342D"/>
    <w:rsid w:val="008F3CA8"/>
    <w:rsid w:val="008F3F63"/>
    <w:rsid w:val="008F407A"/>
    <w:rsid w:val="008F433F"/>
    <w:rsid w:val="008F5375"/>
    <w:rsid w:val="008F5FAE"/>
    <w:rsid w:val="008F66AE"/>
    <w:rsid w:val="008F719D"/>
    <w:rsid w:val="008F7E60"/>
    <w:rsid w:val="00901029"/>
    <w:rsid w:val="00901416"/>
    <w:rsid w:val="00901A93"/>
    <w:rsid w:val="00901E06"/>
    <w:rsid w:val="00903028"/>
    <w:rsid w:val="0090445E"/>
    <w:rsid w:val="00905379"/>
    <w:rsid w:val="009074D2"/>
    <w:rsid w:val="00912718"/>
    <w:rsid w:val="00912A6D"/>
    <w:rsid w:val="00913EEE"/>
    <w:rsid w:val="009149CB"/>
    <w:rsid w:val="00914CAD"/>
    <w:rsid w:val="00914F9B"/>
    <w:rsid w:val="009164DD"/>
    <w:rsid w:val="00917BBD"/>
    <w:rsid w:val="00917D71"/>
    <w:rsid w:val="00920398"/>
    <w:rsid w:val="00920B3B"/>
    <w:rsid w:val="00923CB1"/>
    <w:rsid w:val="00923F8F"/>
    <w:rsid w:val="00925B28"/>
    <w:rsid w:val="009264D5"/>
    <w:rsid w:val="0093011F"/>
    <w:rsid w:val="00930167"/>
    <w:rsid w:val="009313B0"/>
    <w:rsid w:val="00931C86"/>
    <w:rsid w:val="00931F59"/>
    <w:rsid w:val="00933BEA"/>
    <w:rsid w:val="009340BA"/>
    <w:rsid w:val="0093492A"/>
    <w:rsid w:val="009356CA"/>
    <w:rsid w:val="0093635D"/>
    <w:rsid w:val="009363A9"/>
    <w:rsid w:val="00937F43"/>
    <w:rsid w:val="00940B01"/>
    <w:rsid w:val="00940C53"/>
    <w:rsid w:val="009411EE"/>
    <w:rsid w:val="0094122E"/>
    <w:rsid w:val="00941F24"/>
    <w:rsid w:val="00945B60"/>
    <w:rsid w:val="009471E3"/>
    <w:rsid w:val="0094786A"/>
    <w:rsid w:val="00952020"/>
    <w:rsid w:val="0095307B"/>
    <w:rsid w:val="009540B7"/>
    <w:rsid w:val="00955B40"/>
    <w:rsid w:val="00957355"/>
    <w:rsid w:val="00963C98"/>
    <w:rsid w:val="00964E40"/>
    <w:rsid w:val="00967702"/>
    <w:rsid w:val="00967704"/>
    <w:rsid w:val="00967B72"/>
    <w:rsid w:val="00971DE1"/>
    <w:rsid w:val="00972328"/>
    <w:rsid w:val="00972AF1"/>
    <w:rsid w:val="0097323E"/>
    <w:rsid w:val="009734E8"/>
    <w:rsid w:val="00976097"/>
    <w:rsid w:val="00977293"/>
    <w:rsid w:val="00982321"/>
    <w:rsid w:val="00984989"/>
    <w:rsid w:val="00984F26"/>
    <w:rsid w:val="00985361"/>
    <w:rsid w:val="00985550"/>
    <w:rsid w:val="0098759D"/>
    <w:rsid w:val="009900E3"/>
    <w:rsid w:val="0099209C"/>
    <w:rsid w:val="009925F0"/>
    <w:rsid w:val="00993581"/>
    <w:rsid w:val="00994E20"/>
    <w:rsid w:val="009950B9"/>
    <w:rsid w:val="0099645D"/>
    <w:rsid w:val="00996815"/>
    <w:rsid w:val="00997384"/>
    <w:rsid w:val="00997D04"/>
    <w:rsid w:val="009A0272"/>
    <w:rsid w:val="009A1595"/>
    <w:rsid w:val="009A195A"/>
    <w:rsid w:val="009A1AFA"/>
    <w:rsid w:val="009A222B"/>
    <w:rsid w:val="009A40C2"/>
    <w:rsid w:val="009A63DF"/>
    <w:rsid w:val="009A6F54"/>
    <w:rsid w:val="009A71FC"/>
    <w:rsid w:val="009A7520"/>
    <w:rsid w:val="009A75D5"/>
    <w:rsid w:val="009B2473"/>
    <w:rsid w:val="009B2E40"/>
    <w:rsid w:val="009B464C"/>
    <w:rsid w:val="009B4C47"/>
    <w:rsid w:val="009B5F0C"/>
    <w:rsid w:val="009B73A9"/>
    <w:rsid w:val="009C21C0"/>
    <w:rsid w:val="009C35C5"/>
    <w:rsid w:val="009C3606"/>
    <w:rsid w:val="009C3A57"/>
    <w:rsid w:val="009C50DE"/>
    <w:rsid w:val="009C5BBB"/>
    <w:rsid w:val="009C5C1A"/>
    <w:rsid w:val="009C60C9"/>
    <w:rsid w:val="009C64C0"/>
    <w:rsid w:val="009C6BEC"/>
    <w:rsid w:val="009C7219"/>
    <w:rsid w:val="009C7781"/>
    <w:rsid w:val="009D016A"/>
    <w:rsid w:val="009D0722"/>
    <w:rsid w:val="009D20A9"/>
    <w:rsid w:val="009D2980"/>
    <w:rsid w:val="009D436C"/>
    <w:rsid w:val="009D518B"/>
    <w:rsid w:val="009D5C5A"/>
    <w:rsid w:val="009D5F83"/>
    <w:rsid w:val="009D664D"/>
    <w:rsid w:val="009D6DDE"/>
    <w:rsid w:val="009D7614"/>
    <w:rsid w:val="009E1483"/>
    <w:rsid w:val="009E1FCA"/>
    <w:rsid w:val="009E1FFD"/>
    <w:rsid w:val="009E3DB9"/>
    <w:rsid w:val="009E4E67"/>
    <w:rsid w:val="009E50EA"/>
    <w:rsid w:val="009E5CEF"/>
    <w:rsid w:val="009E615F"/>
    <w:rsid w:val="009F03B7"/>
    <w:rsid w:val="009F325B"/>
    <w:rsid w:val="009F3314"/>
    <w:rsid w:val="009F37D7"/>
    <w:rsid w:val="009F4514"/>
    <w:rsid w:val="009F58F0"/>
    <w:rsid w:val="009F6086"/>
    <w:rsid w:val="009F6C58"/>
    <w:rsid w:val="009F70D3"/>
    <w:rsid w:val="009F7EA7"/>
    <w:rsid w:val="00A00A7E"/>
    <w:rsid w:val="00A0185F"/>
    <w:rsid w:val="00A02124"/>
    <w:rsid w:val="00A03A35"/>
    <w:rsid w:val="00A03E69"/>
    <w:rsid w:val="00A03F63"/>
    <w:rsid w:val="00A043C2"/>
    <w:rsid w:val="00A044AA"/>
    <w:rsid w:val="00A04B02"/>
    <w:rsid w:val="00A066A9"/>
    <w:rsid w:val="00A07BA1"/>
    <w:rsid w:val="00A106A2"/>
    <w:rsid w:val="00A10DAB"/>
    <w:rsid w:val="00A113CB"/>
    <w:rsid w:val="00A11A01"/>
    <w:rsid w:val="00A11B2D"/>
    <w:rsid w:val="00A133B0"/>
    <w:rsid w:val="00A15755"/>
    <w:rsid w:val="00A15EA7"/>
    <w:rsid w:val="00A16F9D"/>
    <w:rsid w:val="00A17E65"/>
    <w:rsid w:val="00A2075B"/>
    <w:rsid w:val="00A20B1D"/>
    <w:rsid w:val="00A21897"/>
    <w:rsid w:val="00A22348"/>
    <w:rsid w:val="00A225C2"/>
    <w:rsid w:val="00A24E43"/>
    <w:rsid w:val="00A24F77"/>
    <w:rsid w:val="00A24FF1"/>
    <w:rsid w:val="00A25513"/>
    <w:rsid w:val="00A256F9"/>
    <w:rsid w:val="00A2576A"/>
    <w:rsid w:val="00A26098"/>
    <w:rsid w:val="00A26698"/>
    <w:rsid w:val="00A269EF"/>
    <w:rsid w:val="00A2712C"/>
    <w:rsid w:val="00A27184"/>
    <w:rsid w:val="00A271FE"/>
    <w:rsid w:val="00A277C6"/>
    <w:rsid w:val="00A27A5A"/>
    <w:rsid w:val="00A30C5D"/>
    <w:rsid w:val="00A314B1"/>
    <w:rsid w:val="00A315A9"/>
    <w:rsid w:val="00A32816"/>
    <w:rsid w:val="00A33CE4"/>
    <w:rsid w:val="00A35003"/>
    <w:rsid w:val="00A35BF3"/>
    <w:rsid w:val="00A361B2"/>
    <w:rsid w:val="00A42C7C"/>
    <w:rsid w:val="00A44579"/>
    <w:rsid w:val="00A446BA"/>
    <w:rsid w:val="00A4655A"/>
    <w:rsid w:val="00A503E9"/>
    <w:rsid w:val="00A506EA"/>
    <w:rsid w:val="00A508F2"/>
    <w:rsid w:val="00A52FB7"/>
    <w:rsid w:val="00A546DF"/>
    <w:rsid w:val="00A55461"/>
    <w:rsid w:val="00A56213"/>
    <w:rsid w:val="00A56717"/>
    <w:rsid w:val="00A56735"/>
    <w:rsid w:val="00A56E05"/>
    <w:rsid w:val="00A610F0"/>
    <w:rsid w:val="00A62912"/>
    <w:rsid w:val="00A65FD8"/>
    <w:rsid w:val="00A66091"/>
    <w:rsid w:val="00A67210"/>
    <w:rsid w:val="00A67D74"/>
    <w:rsid w:val="00A67E3E"/>
    <w:rsid w:val="00A67F10"/>
    <w:rsid w:val="00A70342"/>
    <w:rsid w:val="00A7202D"/>
    <w:rsid w:val="00A72040"/>
    <w:rsid w:val="00A722C6"/>
    <w:rsid w:val="00A728C1"/>
    <w:rsid w:val="00A74942"/>
    <w:rsid w:val="00A75E44"/>
    <w:rsid w:val="00A76F1D"/>
    <w:rsid w:val="00A76F24"/>
    <w:rsid w:val="00A81937"/>
    <w:rsid w:val="00A824D1"/>
    <w:rsid w:val="00A840C6"/>
    <w:rsid w:val="00A845BF"/>
    <w:rsid w:val="00A901A9"/>
    <w:rsid w:val="00A9071D"/>
    <w:rsid w:val="00A9150F"/>
    <w:rsid w:val="00A92E60"/>
    <w:rsid w:val="00A95581"/>
    <w:rsid w:val="00AA07BD"/>
    <w:rsid w:val="00AA1B25"/>
    <w:rsid w:val="00AA1B48"/>
    <w:rsid w:val="00AA2667"/>
    <w:rsid w:val="00AA27E8"/>
    <w:rsid w:val="00AA2F22"/>
    <w:rsid w:val="00AA3D33"/>
    <w:rsid w:val="00AA4217"/>
    <w:rsid w:val="00AA4883"/>
    <w:rsid w:val="00AA4A01"/>
    <w:rsid w:val="00AA4F51"/>
    <w:rsid w:val="00AA5D60"/>
    <w:rsid w:val="00AA6434"/>
    <w:rsid w:val="00AA7E3A"/>
    <w:rsid w:val="00AB38C2"/>
    <w:rsid w:val="00AC0663"/>
    <w:rsid w:val="00AC06DC"/>
    <w:rsid w:val="00AC1402"/>
    <w:rsid w:val="00AC17E7"/>
    <w:rsid w:val="00AC20D4"/>
    <w:rsid w:val="00AC3B81"/>
    <w:rsid w:val="00AC4686"/>
    <w:rsid w:val="00AC5412"/>
    <w:rsid w:val="00AC5DA2"/>
    <w:rsid w:val="00AC6A26"/>
    <w:rsid w:val="00AC784A"/>
    <w:rsid w:val="00AD0034"/>
    <w:rsid w:val="00AD1436"/>
    <w:rsid w:val="00AD1B0B"/>
    <w:rsid w:val="00AD33BB"/>
    <w:rsid w:val="00AD36CE"/>
    <w:rsid w:val="00AD420F"/>
    <w:rsid w:val="00AD4991"/>
    <w:rsid w:val="00AD4BFC"/>
    <w:rsid w:val="00AD6037"/>
    <w:rsid w:val="00AD67BB"/>
    <w:rsid w:val="00AD67D7"/>
    <w:rsid w:val="00AD77BE"/>
    <w:rsid w:val="00AE05E1"/>
    <w:rsid w:val="00AE31A5"/>
    <w:rsid w:val="00AE32BA"/>
    <w:rsid w:val="00AE4472"/>
    <w:rsid w:val="00AE67C5"/>
    <w:rsid w:val="00AE6BF8"/>
    <w:rsid w:val="00AE6C22"/>
    <w:rsid w:val="00AE72FC"/>
    <w:rsid w:val="00AF2AE2"/>
    <w:rsid w:val="00AF39FB"/>
    <w:rsid w:val="00AF5969"/>
    <w:rsid w:val="00AF684F"/>
    <w:rsid w:val="00AF7CB5"/>
    <w:rsid w:val="00AF7DFE"/>
    <w:rsid w:val="00B00D62"/>
    <w:rsid w:val="00B0230D"/>
    <w:rsid w:val="00B03FF7"/>
    <w:rsid w:val="00B0435A"/>
    <w:rsid w:val="00B062D8"/>
    <w:rsid w:val="00B0708A"/>
    <w:rsid w:val="00B072E6"/>
    <w:rsid w:val="00B075B3"/>
    <w:rsid w:val="00B11CA1"/>
    <w:rsid w:val="00B1332D"/>
    <w:rsid w:val="00B13E7A"/>
    <w:rsid w:val="00B1759E"/>
    <w:rsid w:val="00B20ACB"/>
    <w:rsid w:val="00B211CF"/>
    <w:rsid w:val="00B22692"/>
    <w:rsid w:val="00B2517F"/>
    <w:rsid w:val="00B25DE9"/>
    <w:rsid w:val="00B25E51"/>
    <w:rsid w:val="00B276D8"/>
    <w:rsid w:val="00B27CD7"/>
    <w:rsid w:val="00B27E5F"/>
    <w:rsid w:val="00B30150"/>
    <w:rsid w:val="00B3054E"/>
    <w:rsid w:val="00B30C89"/>
    <w:rsid w:val="00B31430"/>
    <w:rsid w:val="00B32C8B"/>
    <w:rsid w:val="00B331E3"/>
    <w:rsid w:val="00B349BC"/>
    <w:rsid w:val="00B34B16"/>
    <w:rsid w:val="00B35573"/>
    <w:rsid w:val="00B35D43"/>
    <w:rsid w:val="00B35FE3"/>
    <w:rsid w:val="00B37299"/>
    <w:rsid w:val="00B4398D"/>
    <w:rsid w:val="00B442E9"/>
    <w:rsid w:val="00B44972"/>
    <w:rsid w:val="00B46B43"/>
    <w:rsid w:val="00B46D42"/>
    <w:rsid w:val="00B471E8"/>
    <w:rsid w:val="00B5067F"/>
    <w:rsid w:val="00B52862"/>
    <w:rsid w:val="00B53A07"/>
    <w:rsid w:val="00B53F64"/>
    <w:rsid w:val="00B55223"/>
    <w:rsid w:val="00B5705D"/>
    <w:rsid w:val="00B570C7"/>
    <w:rsid w:val="00B5734B"/>
    <w:rsid w:val="00B574F7"/>
    <w:rsid w:val="00B575F4"/>
    <w:rsid w:val="00B57A8E"/>
    <w:rsid w:val="00B608A3"/>
    <w:rsid w:val="00B62FDF"/>
    <w:rsid w:val="00B63507"/>
    <w:rsid w:val="00B65252"/>
    <w:rsid w:val="00B65A85"/>
    <w:rsid w:val="00B67B01"/>
    <w:rsid w:val="00B67E3D"/>
    <w:rsid w:val="00B70879"/>
    <w:rsid w:val="00B716FF"/>
    <w:rsid w:val="00B71942"/>
    <w:rsid w:val="00B71BDD"/>
    <w:rsid w:val="00B72287"/>
    <w:rsid w:val="00B72B70"/>
    <w:rsid w:val="00B732D6"/>
    <w:rsid w:val="00B732DE"/>
    <w:rsid w:val="00B741E6"/>
    <w:rsid w:val="00B765D8"/>
    <w:rsid w:val="00B77277"/>
    <w:rsid w:val="00B80264"/>
    <w:rsid w:val="00B84150"/>
    <w:rsid w:val="00B864F6"/>
    <w:rsid w:val="00B86651"/>
    <w:rsid w:val="00B909F5"/>
    <w:rsid w:val="00B910C2"/>
    <w:rsid w:val="00B911DB"/>
    <w:rsid w:val="00B91983"/>
    <w:rsid w:val="00B933CA"/>
    <w:rsid w:val="00B93A7F"/>
    <w:rsid w:val="00B93E39"/>
    <w:rsid w:val="00B94D3B"/>
    <w:rsid w:val="00B956BF"/>
    <w:rsid w:val="00B95EB6"/>
    <w:rsid w:val="00B96C27"/>
    <w:rsid w:val="00B97468"/>
    <w:rsid w:val="00BA086C"/>
    <w:rsid w:val="00BA1FD6"/>
    <w:rsid w:val="00BA29A0"/>
    <w:rsid w:val="00BA3818"/>
    <w:rsid w:val="00BA4912"/>
    <w:rsid w:val="00BA5493"/>
    <w:rsid w:val="00BB07E3"/>
    <w:rsid w:val="00BB0B26"/>
    <w:rsid w:val="00BB2968"/>
    <w:rsid w:val="00BB43F0"/>
    <w:rsid w:val="00BB74E6"/>
    <w:rsid w:val="00BB7A38"/>
    <w:rsid w:val="00BC2844"/>
    <w:rsid w:val="00BC2F29"/>
    <w:rsid w:val="00BC469D"/>
    <w:rsid w:val="00BC53A0"/>
    <w:rsid w:val="00BC5C99"/>
    <w:rsid w:val="00BC65A7"/>
    <w:rsid w:val="00BC66B9"/>
    <w:rsid w:val="00BC6B8B"/>
    <w:rsid w:val="00BC7D32"/>
    <w:rsid w:val="00BD09C4"/>
    <w:rsid w:val="00BD09C9"/>
    <w:rsid w:val="00BD0B22"/>
    <w:rsid w:val="00BD0BCC"/>
    <w:rsid w:val="00BD3BF5"/>
    <w:rsid w:val="00BD53BF"/>
    <w:rsid w:val="00BD5F28"/>
    <w:rsid w:val="00BE23DA"/>
    <w:rsid w:val="00BE27DC"/>
    <w:rsid w:val="00BE35FE"/>
    <w:rsid w:val="00BE3BB2"/>
    <w:rsid w:val="00BE42EC"/>
    <w:rsid w:val="00BE44AC"/>
    <w:rsid w:val="00BE48D0"/>
    <w:rsid w:val="00BE4D43"/>
    <w:rsid w:val="00BE517F"/>
    <w:rsid w:val="00BF130A"/>
    <w:rsid w:val="00BF400E"/>
    <w:rsid w:val="00BF4106"/>
    <w:rsid w:val="00BF4A28"/>
    <w:rsid w:val="00BF55FF"/>
    <w:rsid w:val="00BF7222"/>
    <w:rsid w:val="00BF72D2"/>
    <w:rsid w:val="00C01903"/>
    <w:rsid w:val="00C02B67"/>
    <w:rsid w:val="00C03D8A"/>
    <w:rsid w:val="00C056FF"/>
    <w:rsid w:val="00C059A9"/>
    <w:rsid w:val="00C05DFA"/>
    <w:rsid w:val="00C05E2F"/>
    <w:rsid w:val="00C05FD3"/>
    <w:rsid w:val="00C06222"/>
    <w:rsid w:val="00C06CE7"/>
    <w:rsid w:val="00C105C5"/>
    <w:rsid w:val="00C10F2D"/>
    <w:rsid w:val="00C11A5A"/>
    <w:rsid w:val="00C11E20"/>
    <w:rsid w:val="00C12DD7"/>
    <w:rsid w:val="00C131F0"/>
    <w:rsid w:val="00C13637"/>
    <w:rsid w:val="00C15AE4"/>
    <w:rsid w:val="00C16595"/>
    <w:rsid w:val="00C16926"/>
    <w:rsid w:val="00C1778E"/>
    <w:rsid w:val="00C211CF"/>
    <w:rsid w:val="00C21D45"/>
    <w:rsid w:val="00C21F16"/>
    <w:rsid w:val="00C22FAC"/>
    <w:rsid w:val="00C23F5B"/>
    <w:rsid w:val="00C242E8"/>
    <w:rsid w:val="00C305B2"/>
    <w:rsid w:val="00C31B5A"/>
    <w:rsid w:val="00C31BA1"/>
    <w:rsid w:val="00C321B7"/>
    <w:rsid w:val="00C3291C"/>
    <w:rsid w:val="00C32DA9"/>
    <w:rsid w:val="00C378E2"/>
    <w:rsid w:val="00C37A53"/>
    <w:rsid w:val="00C40DFA"/>
    <w:rsid w:val="00C42702"/>
    <w:rsid w:val="00C42AC2"/>
    <w:rsid w:val="00C43530"/>
    <w:rsid w:val="00C438D2"/>
    <w:rsid w:val="00C443F6"/>
    <w:rsid w:val="00C445CA"/>
    <w:rsid w:val="00C44FE0"/>
    <w:rsid w:val="00C4650D"/>
    <w:rsid w:val="00C473EA"/>
    <w:rsid w:val="00C5140D"/>
    <w:rsid w:val="00C521CB"/>
    <w:rsid w:val="00C55C40"/>
    <w:rsid w:val="00C55C48"/>
    <w:rsid w:val="00C55FF7"/>
    <w:rsid w:val="00C56430"/>
    <w:rsid w:val="00C565B0"/>
    <w:rsid w:val="00C5715D"/>
    <w:rsid w:val="00C60262"/>
    <w:rsid w:val="00C603F0"/>
    <w:rsid w:val="00C6067E"/>
    <w:rsid w:val="00C60B56"/>
    <w:rsid w:val="00C620A6"/>
    <w:rsid w:val="00C62A32"/>
    <w:rsid w:val="00C659EE"/>
    <w:rsid w:val="00C65BE3"/>
    <w:rsid w:val="00C661F2"/>
    <w:rsid w:val="00C66B44"/>
    <w:rsid w:val="00C676F4"/>
    <w:rsid w:val="00C67E7E"/>
    <w:rsid w:val="00C70069"/>
    <w:rsid w:val="00C705C9"/>
    <w:rsid w:val="00C73371"/>
    <w:rsid w:val="00C73F59"/>
    <w:rsid w:val="00C74164"/>
    <w:rsid w:val="00C75F8D"/>
    <w:rsid w:val="00C767B6"/>
    <w:rsid w:val="00C76CCA"/>
    <w:rsid w:val="00C76E40"/>
    <w:rsid w:val="00C809B5"/>
    <w:rsid w:val="00C80DDA"/>
    <w:rsid w:val="00C81BBB"/>
    <w:rsid w:val="00C827A7"/>
    <w:rsid w:val="00C82E4A"/>
    <w:rsid w:val="00C841AD"/>
    <w:rsid w:val="00C86624"/>
    <w:rsid w:val="00C86A9D"/>
    <w:rsid w:val="00C87771"/>
    <w:rsid w:val="00C9089A"/>
    <w:rsid w:val="00C91194"/>
    <w:rsid w:val="00C92ED2"/>
    <w:rsid w:val="00C92F55"/>
    <w:rsid w:val="00C934F8"/>
    <w:rsid w:val="00C938EB"/>
    <w:rsid w:val="00C94660"/>
    <w:rsid w:val="00C94E21"/>
    <w:rsid w:val="00C95B6D"/>
    <w:rsid w:val="00C9672D"/>
    <w:rsid w:val="00C97BDE"/>
    <w:rsid w:val="00CA0066"/>
    <w:rsid w:val="00CA0E20"/>
    <w:rsid w:val="00CA1203"/>
    <w:rsid w:val="00CA4E0D"/>
    <w:rsid w:val="00CA59B7"/>
    <w:rsid w:val="00CA6192"/>
    <w:rsid w:val="00CA7310"/>
    <w:rsid w:val="00CA7BE4"/>
    <w:rsid w:val="00CB082D"/>
    <w:rsid w:val="00CB1329"/>
    <w:rsid w:val="00CB1363"/>
    <w:rsid w:val="00CB1EE3"/>
    <w:rsid w:val="00CB207D"/>
    <w:rsid w:val="00CB299E"/>
    <w:rsid w:val="00CB3B20"/>
    <w:rsid w:val="00CB3D39"/>
    <w:rsid w:val="00CB3D98"/>
    <w:rsid w:val="00CB4D61"/>
    <w:rsid w:val="00CB4D85"/>
    <w:rsid w:val="00CB530B"/>
    <w:rsid w:val="00CB6E50"/>
    <w:rsid w:val="00CB77FC"/>
    <w:rsid w:val="00CB7A2F"/>
    <w:rsid w:val="00CC0887"/>
    <w:rsid w:val="00CC1029"/>
    <w:rsid w:val="00CC1CF3"/>
    <w:rsid w:val="00CC233D"/>
    <w:rsid w:val="00CC256F"/>
    <w:rsid w:val="00CC2DC6"/>
    <w:rsid w:val="00CC2E12"/>
    <w:rsid w:val="00CC3D62"/>
    <w:rsid w:val="00CC3E4E"/>
    <w:rsid w:val="00CC43FC"/>
    <w:rsid w:val="00CC504A"/>
    <w:rsid w:val="00CC58A2"/>
    <w:rsid w:val="00CC6836"/>
    <w:rsid w:val="00CD1362"/>
    <w:rsid w:val="00CD54BF"/>
    <w:rsid w:val="00CD58BC"/>
    <w:rsid w:val="00CD603F"/>
    <w:rsid w:val="00CD6807"/>
    <w:rsid w:val="00CE1456"/>
    <w:rsid w:val="00CE2883"/>
    <w:rsid w:val="00CE3467"/>
    <w:rsid w:val="00CE4DE4"/>
    <w:rsid w:val="00CE5184"/>
    <w:rsid w:val="00CE5B8D"/>
    <w:rsid w:val="00CE631E"/>
    <w:rsid w:val="00CF0FC3"/>
    <w:rsid w:val="00CF3034"/>
    <w:rsid w:val="00CF3C49"/>
    <w:rsid w:val="00CF482F"/>
    <w:rsid w:val="00CF4CC4"/>
    <w:rsid w:val="00CF4E46"/>
    <w:rsid w:val="00CF766D"/>
    <w:rsid w:val="00CF7CA7"/>
    <w:rsid w:val="00D014F0"/>
    <w:rsid w:val="00D01F47"/>
    <w:rsid w:val="00D04CA7"/>
    <w:rsid w:val="00D05276"/>
    <w:rsid w:val="00D06901"/>
    <w:rsid w:val="00D06D2C"/>
    <w:rsid w:val="00D07AC8"/>
    <w:rsid w:val="00D1241D"/>
    <w:rsid w:val="00D1290D"/>
    <w:rsid w:val="00D132D8"/>
    <w:rsid w:val="00D15C14"/>
    <w:rsid w:val="00D16E3E"/>
    <w:rsid w:val="00D16F6F"/>
    <w:rsid w:val="00D178E4"/>
    <w:rsid w:val="00D2071E"/>
    <w:rsid w:val="00D22501"/>
    <w:rsid w:val="00D22A1F"/>
    <w:rsid w:val="00D23F91"/>
    <w:rsid w:val="00D2438A"/>
    <w:rsid w:val="00D24848"/>
    <w:rsid w:val="00D258C5"/>
    <w:rsid w:val="00D2774B"/>
    <w:rsid w:val="00D323E8"/>
    <w:rsid w:val="00D36309"/>
    <w:rsid w:val="00D37996"/>
    <w:rsid w:val="00D419E0"/>
    <w:rsid w:val="00D41E74"/>
    <w:rsid w:val="00D422F3"/>
    <w:rsid w:val="00D424CD"/>
    <w:rsid w:val="00D43023"/>
    <w:rsid w:val="00D43667"/>
    <w:rsid w:val="00D437DE"/>
    <w:rsid w:val="00D43E9E"/>
    <w:rsid w:val="00D443BE"/>
    <w:rsid w:val="00D44CBA"/>
    <w:rsid w:val="00D44CC8"/>
    <w:rsid w:val="00D46E04"/>
    <w:rsid w:val="00D475F8"/>
    <w:rsid w:val="00D54B07"/>
    <w:rsid w:val="00D55126"/>
    <w:rsid w:val="00D555F0"/>
    <w:rsid w:val="00D60D24"/>
    <w:rsid w:val="00D62889"/>
    <w:rsid w:val="00D6366C"/>
    <w:rsid w:val="00D64EAF"/>
    <w:rsid w:val="00D653BA"/>
    <w:rsid w:val="00D66029"/>
    <w:rsid w:val="00D66205"/>
    <w:rsid w:val="00D66B17"/>
    <w:rsid w:val="00D74225"/>
    <w:rsid w:val="00D76033"/>
    <w:rsid w:val="00D765B4"/>
    <w:rsid w:val="00D76B7D"/>
    <w:rsid w:val="00D77AD3"/>
    <w:rsid w:val="00D80179"/>
    <w:rsid w:val="00D8142B"/>
    <w:rsid w:val="00D83D8E"/>
    <w:rsid w:val="00D85A4C"/>
    <w:rsid w:val="00D87E3B"/>
    <w:rsid w:val="00D903DD"/>
    <w:rsid w:val="00D9087C"/>
    <w:rsid w:val="00D90AE5"/>
    <w:rsid w:val="00D90C33"/>
    <w:rsid w:val="00D9102A"/>
    <w:rsid w:val="00D91171"/>
    <w:rsid w:val="00D9430B"/>
    <w:rsid w:val="00D9603B"/>
    <w:rsid w:val="00D960FA"/>
    <w:rsid w:val="00DA0279"/>
    <w:rsid w:val="00DA0FAF"/>
    <w:rsid w:val="00DA2345"/>
    <w:rsid w:val="00DA3863"/>
    <w:rsid w:val="00DA4A1B"/>
    <w:rsid w:val="00DA53C9"/>
    <w:rsid w:val="00DA5832"/>
    <w:rsid w:val="00DA6F2D"/>
    <w:rsid w:val="00DA7DDA"/>
    <w:rsid w:val="00DB17C7"/>
    <w:rsid w:val="00DB1B3C"/>
    <w:rsid w:val="00DB2678"/>
    <w:rsid w:val="00DB36D3"/>
    <w:rsid w:val="00DB3AF8"/>
    <w:rsid w:val="00DB3E5C"/>
    <w:rsid w:val="00DB449B"/>
    <w:rsid w:val="00DB4F80"/>
    <w:rsid w:val="00DB6459"/>
    <w:rsid w:val="00DB7218"/>
    <w:rsid w:val="00DC159B"/>
    <w:rsid w:val="00DC1AC8"/>
    <w:rsid w:val="00DC1CC0"/>
    <w:rsid w:val="00DC3DDF"/>
    <w:rsid w:val="00DC6565"/>
    <w:rsid w:val="00DC69AF"/>
    <w:rsid w:val="00DC75D6"/>
    <w:rsid w:val="00DC77F5"/>
    <w:rsid w:val="00DD01F1"/>
    <w:rsid w:val="00DD02B5"/>
    <w:rsid w:val="00DD10A3"/>
    <w:rsid w:val="00DD16C9"/>
    <w:rsid w:val="00DD1F7F"/>
    <w:rsid w:val="00DD2F16"/>
    <w:rsid w:val="00DD2F17"/>
    <w:rsid w:val="00DD4985"/>
    <w:rsid w:val="00DD6385"/>
    <w:rsid w:val="00DD681E"/>
    <w:rsid w:val="00DD699A"/>
    <w:rsid w:val="00DD6D05"/>
    <w:rsid w:val="00DD6D93"/>
    <w:rsid w:val="00DD6DE0"/>
    <w:rsid w:val="00DD7813"/>
    <w:rsid w:val="00DE0945"/>
    <w:rsid w:val="00DE0D00"/>
    <w:rsid w:val="00DE172C"/>
    <w:rsid w:val="00DE17C2"/>
    <w:rsid w:val="00DE22FE"/>
    <w:rsid w:val="00DE2B0B"/>
    <w:rsid w:val="00DE3C67"/>
    <w:rsid w:val="00DE4085"/>
    <w:rsid w:val="00DE5DA3"/>
    <w:rsid w:val="00DF05A6"/>
    <w:rsid w:val="00DF27DF"/>
    <w:rsid w:val="00DF2ABA"/>
    <w:rsid w:val="00DF357B"/>
    <w:rsid w:val="00DF69CF"/>
    <w:rsid w:val="00DF740A"/>
    <w:rsid w:val="00DF7860"/>
    <w:rsid w:val="00DF788D"/>
    <w:rsid w:val="00E003C8"/>
    <w:rsid w:val="00E0210E"/>
    <w:rsid w:val="00E026A6"/>
    <w:rsid w:val="00E02856"/>
    <w:rsid w:val="00E04BE3"/>
    <w:rsid w:val="00E04FD5"/>
    <w:rsid w:val="00E04FE7"/>
    <w:rsid w:val="00E05936"/>
    <w:rsid w:val="00E05BBA"/>
    <w:rsid w:val="00E07FA6"/>
    <w:rsid w:val="00E10470"/>
    <w:rsid w:val="00E12DFB"/>
    <w:rsid w:val="00E14125"/>
    <w:rsid w:val="00E14F5B"/>
    <w:rsid w:val="00E17C9A"/>
    <w:rsid w:val="00E17D0D"/>
    <w:rsid w:val="00E2045E"/>
    <w:rsid w:val="00E20A58"/>
    <w:rsid w:val="00E23152"/>
    <w:rsid w:val="00E24996"/>
    <w:rsid w:val="00E24A81"/>
    <w:rsid w:val="00E266F7"/>
    <w:rsid w:val="00E306B9"/>
    <w:rsid w:val="00E30D5F"/>
    <w:rsid w:val="00E3130D"/>
    <w:rsid w:val="00E318C2"/>
    <w:rsid w:val="00E31D79"/>
    <w:rsid w:val="00E31E69"/>
    <w:rsid w:val="00E325BB"/>
    <w:rsid w:val="00E33957"/>
    <w:rsid w:val="00E33AB6"/>
    <w:rsid w:val="00E33D5B"/>
    <w:rsid w:val="00E35ADB"/>
    <w:rsid w:val="00E35D92"/>
    <w:rsid w:val="00E37797"/>
    <w:rsid w:val="00E41099"/>
    <w:rsid w:val="00E41C8C"/>
    <w:rsid w:val="00E41CCB"/>
    <w:rsid w:val="00E42E59"/>
    <w:rsid w:val="00E43DB5"/>
    <w:rsid w:val="00E44C8B"/>
    <w:rsid w:val="00E45CD2"/>
    <w:rsid w:val="00E47206"/>
    <w:rsid w:val="00E474CB"/>
    <w:rsid w:val="00E474D1"/>
    <w:rsid w:val="00E4786A"/>
    <w:rsid w:val="00E50FB5"/>
    <w:rsid w:val="00E551B3"/>
    <w:rsid w:val="00E55CF5"/>
    <w:rsid w:val="00E56212"/>
    <w:rsid w:val="00E568E4"/>
    <w:rsid w:val="00E56CFF"/>
    <w:rsid w:val="00E579D4"/>
    <w:rsid w:val="00E57B2E"/>
    <w:rsid w:val="00E60555"/>
    <w:rsid w:val="00E60D42"/>
    <w:rsid w:val="00E62DD8"/>
    <w:rsid w:val="00E63B73"/>
    <w:rsid w:val="00E64582"/>
    <w:rsid w:val="00E64748"/>
    <w:rsid w:val="00E65376"/>
    <w:rsid w:val="00E65744"/>
    <w:rsid w:val="00E66304"/>
    <w:rsid w:val="00E6632E"/>
    <w:rsid w:val="00E67B8F"/>
    <w:rsid w:val="00E70A90"/>
    <w:rsid w:val="00E70EC6"/>
    <w:rsid w:val="00E737BE"/>
    <w:rsid w:val="00E739EE"/>
    <w:rsid w:val="00E74BF8"/>
    <w:rsid w:val="00E75134"/>
    <w:rsid w:val="00E75FCC"/>
    <w:rsid w:val="00E7705A"/>
    <w:rsid w:val="00E770C5"/>
    <w:rsid w:val="00E80259"/>
    <w:rsid w:val="00E8047A"/>
    <w:rsid w:val="00E804A9"/>
    <w:rsid w:val="00E80965"/>
    <w:rsid w:val="00E80D5E"/>
    <w:rsid w:val="00E81A69"/>
    <w:rsid w:val="00E81C69"/>
    <w:rsid w:val="00E829FA"/>
    <w:rsid w:val="00E83798"/>
    <w:rsid w:val="00E842D8"/>
    <w:rsid w:val="00E848FC"/>
    <w:rsid w:val="00E86E51"/>
    <w:rsid w:val="00E87A9F"/>
    <w:rsid w:val="00E91881"/>
    <w:rsid w:val="00E91C2E"/>
    <w:rsid w:val="00E91D85"/>
    <w:rsid w:val="00E93FFF"/>
    <w:rsid w:val="00E942BA"/>
    <w:rsid w:val="00E942FA"/>
    <w:rsid w:val="00E947B2"/>
    <w:rsid w:val="00E9668E"/>
    <w:rsid w:val="00E97F4B"/>
    <w:rsid w:val="00EA2306"/>
    <w:rsid w:val="00EA294E"/>
    <w:rsid w:val="00EA3BF6"/>
    <w:rsid w:val="00EA4803"/>
    <w:rsid w:val="00EA6A7C"/>
    <w:rsid w:val="00EA6E2A"/>
    <w:rsid w:val="00EB0262"/>
    <w:rsid w:val="00EB0AD3"/>
    <w:rsid w:val="00EB0BF6"/>
    <w:rsid w:val="00EB2539"/>
    <w:rsid w:val="00EB28CF"/>
    <w:rsid w:val="00EB386D"/>
    <w:rsid w:val="00EB3A24"/>
    <w:rsid w:val="00EB4BC6"/>
    <w:rsid w:val="00EB508C"/>
    <w:rsid w:val="00EB54C2"/>
    <w:rsid w:val="00EB56F3"/>
    <w:rsid w:val="00EB5A61"/>
    <w:rsid w:val="00EB6060"/>
    <w:rsid w:val="00EC06B3"/>
    <w:rsid w:val="00EC1482"/>
    <w:rsid w:val="00EC226A"/>
    <w:rsid w:val="00EC3064"/>
    <w:rsid w:val="00EC3488"/>
    <w:rsid w:val="00EC3CD5"/>
    <w:rsid w:val="00EC510E"/>
    <w:rsid w:val="00EC55B4"/>
    <w:rsid w:val="00EC5ACD"/>
    <w:rsid w:val="00ED57C9"/>
    <w:rsid w:val="00ED5936"/>
    <w:rsid w:val="00ED6641"/>
    <w:rsid w:val="00ED6E28"/>
    <w:rsid w:val="00ED6FD3"/>
    <w:rsid w:val="00ED7310"/>
    <w:rsid w:val="00ED786F"/>
    <w:rsid w:val="00EE1272"/>
    <w:rsid w:val="00EE15A5"/>
    <w:rsid w:val="00EE18FB"/>
    <w:rsid w:val="00EE1E28"/>
    <w:rsid w:val="00EE28F3"/>
    <w:rsid w:val="00EE3E77"/>
    <w:rsid w:val="00EE4297"/>
    <w:rsid w:val="00EE4DAB"/>
    <w:rsid w:val="00EE57CC"/>
    <w:rsid w:val="00EE57E6"/>
    <w:rsid w:val="00EE5CF1"/>
    <w:rsid w:val="00EE65B0"/>
    <w:rsid w:val="00EE77B8"/>
    <w:rsid w:val="00EF1BFE"/>
    <w:rsid w:val="00EF39BB"/>
    <w:rsid w:val="00EF5531"/>
    <w:rsid w:val="00EF64A7"/>
    <w:rsid w:val="00EF7236"/>
    <w:rsid w:val="00EF7648"/>
    <w:rsid w:val="00EF7F1F"/>
    <w:rsid w:val="00F01702"/>
    <w:rsid w:val="00F02ACD"/>
    <w:rsid w:val="00F048B5"/>
    <w:rsid w:val="00F05B18"/>
    <w:rsid w:val="00F05C38"/>
    <w:rsid w:val="00F075EB"/>
    <w:rsid w:val="00F1207C"/>
    <w:rsid w:val="00F1241E"/>
    <w:rsid w:val="00F1260D"/>
    <w:rsid w:val="00F12E41"/>
    <w:rsid w:val="00F12E45"/>
    <w:rsid w:val="00F131C0"/>
    <w:rsid w:val="00F13BCD"/>
    <w:rsid w:val="00F13DCC"/>
    <w:rsid w:val="00F13FEE"/>
    <w:rsid w:val="00F150AC"/>
    <w:rsid w:val="00F15DA1"/>
    <w:rsid w:val="00F16D0D"/>
    <w:rsid w:val="00F17A48"/>
    <w:rsid w:val="00F205F0"/>
    <w:rsid w:val="00F20DA3"/>
    <w:rsid w:val="00F223AB"/>
    <w:rsid w:val="00F229CD"/>
    <w:rsid w:val="00F23B09"/>
    <w:rsid w:val="00F23B2B"/>
    <w:rsid w:val="00F26345"/>
    <w:rsid w:val="00F26BF7"/>
    <w:rsid w:val="00F26CAB"/>
    <w:rsid w:val="00F30144"/>
    <w:rsid w:val="00F31703"/>
    <w:rsid w:val="00F326D4"/>
    <w:rsid w:val="00F33749"/>
    <w:rsid w:val="00F34EB4"/>
    <w:rsid w:val="00F350E7"/>
    <w:rsid w:val="00F35602"/>
    <w:rsid w:val="00F36DE6"/>
    <w:rsid w:val="00F401EF"/>
    <w:rsid w:val="00F402CB"/>
    <w:rsid w:val="00F4093D"/>
    <w:rsid w:val="00F41B6D"/>
    <w:rsid w:val="00F41F07"/>
    <w:rsid w:val="00F44766"/>
    <w:rsid w:val="00F44994"/>
    <w:rsid w:val="00F45DB0"/>
    <w:rsid w:val="00F45E77"/>
    <w:rsid w:val="00F461B9"/>
    <w:rsid w:val="00F50407"/>
    <w:rsid w:val="00F50BCF"/>
    <w:rsid w:val="00F51661"/>
    <w:rsid w:val="00F51AFB"/>
    <w:rsid w:val="00F52665"/>
    <w:rsid w:val="00F55AC6"/>
    <w:rsid w:val="00F56964"/>
    <w:rsid w:val="00F5698B"/>
    <w:rsid w:val="00F5699E"/>
    <w:rsid w:val="00F56D88"/>
    <w:rsid w:val="00F575BC"/>
    <w:rsid w:val="00F57A5D"/>
    <w:rsid w:val="00F615C1"/>
    <w:rsid w:val="00F62B6F"/>
    <w:rsid w:val="00F62BA2"/>
    <w:rsid w:val="00F62D34"/>
    <w:rsid w:val="00F63D3A"/>
    <w:rsid w:val="00F64FC3"/>
    <w:rsid w:val="00F65158"/>
    <w:rsid w:val="00F7033D"/>
    <w:rsid w:val="00F71CCB"/>
    <w:rsid w:val="00F71EFA"/>
    <w:rsid w:val="00F733F4"/>
    <w:rsid w:val="00F73656"/>
    <w:rsid w:val="00F73915"/>
    <w:rsid w:val="00F7391B"/>
    <w:rsid w:val="00F73F4F"/>
    <w:rsid w:val="00F74E9C"/>
    <w:rsid w:val="00F7586D"/>
    <w:rsid w:val="00F75B21"/>
    <w:rsid w:val="00F775F9"/>
    <w:rsid w:val="00F77A43"/>
    <w:rsid w:val="00F80937"/>
    <w:rsid w:val="00F82EA1"/>
    <w:rsid w:val="00F8375A"/>
    <w:rsid w:val="00F840DF"/>
    <w:rsid w:val="00F86A01"/>
    <w:rsid w:val="00F90D0F"/>
    <w:rsid w:val="00F91066"/>
    <w:rsid w:val="00F9171A"/>
    <w:rsid w:val="00F92141"/>
    <w:rsid w:val="00F9460E"/>
    <w:rsid w:val="00F94FAA"/>
    <w:rsid w:val="00F95504"/>
    <w:rsid w:val="00F9578D"/>
    <w:rsid w:val="00F9739D"/>
    <w:rsid w:val="00F979DC"/>
    <w:rsid w:val="00FA0AD8"/>
    <w:rsid w:val="00FA0BFF"/>
    <w:rsid w:val="00FA17E5"/>
    <w:rsid w:val="00FA2735"/>
    <w:rsid w:val="00FA3C1C"/>
    <w:rsid w:val="00FA56FD"/>
    <w:rsid w:val="00FA6304"/>
    <w:rsid w:val="00FA74A4"/>
    <w:rsid w:val="00FB0C53"/>
    <w:rsid w:val="00FB23BE"/>
    <w:rsid w:val="00FB2FA5"/>
    <w:rsid w:val="00FB31CB"/>
    <w:rsid w:val="00FB3BBC"/>
    <w:rsid w:val="00FB4B23"/>
    <w:rsid w:val="00FB524A"/>
    <w:rsid w:val="00FB601D"/>
    <w:rsid w:val="00FB63A1"/>
    <w:rsid w:val="00FB6DF9"/>
    <w:rsid w:val="00FC0AC0"/>
    <w:rsid w:val="00FC0B96"/>
    <w:rsid w:val="00FC2BC5"/>
    <w:rsid w:val="00FC2C55"/>
    <w:rsid w:val="00FC3EB2"/>
    <w:rsid w:val="00FC639F"/>
    <w:rsid w:val="00FC6ADE"/>
    <w:rsid w:val="00FC6FE9"/>
    <w:rsid w:val="00FC706E"/>
    <w:rsid w:val="00FC7311"/>
    <w:rsid w:val="00FC7E78"/>
    <w:rsid w:val="00FD053D"/>
    <w:rsid w:val="00FD1178"/>
    <w:rsid w:val="00FD4B1F"/>
    <w:rsid w:val="00FD4E52"/>
    <w:rsid w:val="00FD6C1C"/>
    <w:rsid w:val="00FD72CE"/>
    <w:rsid w:val="00FE160A"/>
    <w:rsid w:val="00FE19A6"/>
    <w:rsid w:val="00FE4400"/>
    <w:rsid w:val="00FE44AD"/>
    <w:rsid w:val="00FE48D9"/>
    <w:rsid w:val="00FE4D26"/>
    <w:rsid w:val="00FE710C"/>
    <w:rsid w:val="00FF033F"/>
    <w:rsid w:val="00FF1E92"/>
    <w:rsid w:val="00FF23AD"/>
    <w:rsid w:val="00FF2BF0"/>
    <w:rsid w:val="00FF4F43"/>
    <w:rsid w:val="00FF4FC9"/>
    <w:rsid w:val="00FF5783"/>
    <w:rsid w:val="00FF6C48"/>
    <w:rsid w:val="00FF6FC4"/>
    <w:rsid w:val="00FF7207"/>
    <w:rsid w:val="00FF729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3"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0" w:unhideWhenUsed="0"/>
    <w:lsdException w:name="Light List Accent 6" w:semiHidden="0" w:uiPriority="66" w:unhideWhenUsed="0"/>
    <w:lsdException w:name="Light Grid Accent 6" w:semiHidden="0" w:uiPriority="62"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21"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9D518B"/>
    <w:rPr>
      <w:rFonts w:ascii="Helvetica" w:eastAsia="Times New Roman" w:hAnsi="Helvetica"/>
      <w:sz w:val="24"/>
      <w:szCs w:val="24"/>
    </w:rPr>
  </w:style>
  <w:style w:type="paragraph" w:styleId="Ttulo1">
    <w:name w:val="heading 1"/>
    <w:basedOn w:val="Normal"/>
    <w:next w:val="Normal"/>
    <w:link w:val="Ttulo1Car"/>
    <w:qFormat/>
    <w:rsid w:val="005323D6"/>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rsid w:val="00A16F9D"/>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uiPriority w:val="9"/>
    <w:qFormat/>
    <w:rsid w:val="00A16F9D"/>
    <w:pPr>
      <w:keepNext/>
      <w:outlineLvl w:val="2"/>
    </w:pPr>
    <w:rPr>
      <w:rFonts w:ascii="Arial" w:hAnsi="Arial"/>
      <w:b/>
      <w:bCs/>
      <w:sz w:val="28"/>
      <w:lang w:val="es-MX"/>
    </w:rPr>
  </w:style>
  <w:style w:type="paragraph" w:styleId="Ttulo4">
    <w:name w:val="heading 4"/>
    <w:basedOn w:val="Normal"/>
    <w:next w:val="Normal"/>
    <w:link w:val="Ttulo4Car"/>
    <w:qFormat/>
    <w:rsid w:val="00A16F9D"/>
    <w:pPr>
      <w:keepNext/>
      <w:jc w:val="center"/>
      <w:outlineLvl w:val="3"/>
    </w:pPr>
    <w:rPr>
      <w:rFonts w:ascii="Arial" w:hAnsi="Arial"/>
      <w:b/>
      <w:bCs/>
      <w:sz w:val="20"/>
      <w:szCs w:val="20"/>
      <w:lang w:val="es-MX"/>
    </w:rPr>
  </w:style>
  <w:style w:type="paragraph" w:styleId="Ttulo5">
    <w:name w:val="heading 5"/>
    <w:basedOn w:val="Normal"/>
    <w:next w:val="Normal"/>
    <w:link w:val="Ttulo5Car"/>
    <w:qFormat/>
    <w:rsid w:val="00A16F9D"/>
    <w:pPr>
      <w:keepNext/>
      <w:outlineLvl w:val="4"/>
    </w:pPr>
    <w:rPr>
      <w:rFonts w:ascii="Times New Roman" w:hAnsi="Times New Roman"/>
      <w:b/>
      <w:bCs/>
      <w:sz w:val="20"/>
      <w:szCs w:val="20"/>
      <w:lang w:val="es-MX"/>
    </w:rPr>
  </w:style>
  <w:style w:type="paragraph" w:styleId="Ttulo6">
    <w:name w:val="heading 6"/>
    <w:basedOn w:val="Normal"/>
    <w:next w:val="Normal"/>
    <w:link w:val="Ttulo6Car"/>
    <w:qFormat/>
    <w:rsid w:val="00A16F9D"/>
    <w:pPr>
      <w:keepNext/>
      <w:jc w:val="center"/>
      <w:outlineLvl w:val="5"/>
    </w:pPr>
    <w:rPr>
      <w:rFonts w:ascii="Arial" w:hAnsi="Arial"/>
      <w:b/>
      <w:bCs/>
      <w:sz w:val="22"/>
      <w:szCs w:val="18"/>
      <w:lang w:val="es-MX"/>
    </w:rPr>
  </w:style>
  <w:style w:type="paragraph" w:styleId="Ttulo7">
    <w:name w:val="heading 7"/>
    <w:basedOn w:val="Normal"/>
    <w:next w:val="Normal"/>
    <w:link w:val="Ttulo7Car"/>
    <w:qFormat/>
    <w:rsid w:val="00A16F9D"/>
    <w:pPr>
      <w:keepNext/>
      <w:outlineLvl w:val="6"/>
    </w:pPr>
    <w:rPr>
      <w:rFonts w:ascii="Arial" w:hAnsi="Arial"/>
      <w:b/>
      <w:bCs/>
      <w:sz w:val="16"/>
      <w:szCs w:val="16"/>
      <w:u w:val="single"/>
      <w:lang w:val="es-MX"/>
    </w:rPr>
  </w:style>
  <w:style w:type="paragraph" w:styleId="Ttulo8">
    <w:name w:val="heading 8"/>
    <w:basedOn w:val="Normal"/>
    <w:next w:val="Normal"/>
    <w:link w:val="Ttulo8Car"/>
    <w:qFormat/>
    <w:rsid w:val="00A16F9D"/>
    <w:pPr>
      <w:keepNext/>
      <w:outlineLvl w:val="7"/>
    </w:pPr>
    <w:rPr>
      <w:rFonts w:ascii="Arial" w:hAnsi="Arial"/>
      <w:b/>
      <w:bCs/>
      <w:sz w:val="20"/>
      <w:szCs w:val="20"/>
      <w:u w:val="single"/>
      <w:lang w:val="es-MX"/>
    </w:rPr>
  </w:style>
  <w:style w:type="paragraph" w:styleId="Ttulo9">
    <w:name w:val="heading 9"/>
    <w:basedOn w:val="Normal"/>
    <w:next w:val="Normal"/>
    <w:link w:val="Ttulo9Car"/>
    <w:qFormat/>
    <w:rsid w:val="00A16F9D"/>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23D6"/>
    <w:rPr>
      <w:rFonts w:ascii="Albertus Extra Bold" w:eastAsia="Times New Roman" w:hAnsi="Albertus Extra Bold" w:cs="Times New Roman"/>
      <w:b/>
      <w:sz w:val="36"/>
      <w:szCs w:val="20"/>
    </w:rPr>
  </w:style>
  <w:style w:type="character" w:customStyle="1" w:styleId="Ttulo2Car">
    <w:name w:val="Título 2 Car"/>
    <w:link w:val="Ttulo2"/>
    <w:rsid w:val="00A16F9D"/>
    <w:rPr>
      <w:rFonts w:ascii="Arial" w:eastAsia="Times New Roman" w:hAnsi="Arial" w:cs="Arial"/>
      <w:spacing w:val="20"/>
      <w:sz w:val="24"/>
      <w:lang w:val="es-MX"/>
    </w:rPr>
  </w:style>
  <w:style w:type="character" w:customStyle="1" w:styleId="Ttulo3Car">
    <w:name w:val="Título 3 Car"/>
    <w:link w:val="Ttulo3"/>
    <w:uiPriority w:val="9"/>
    <w:rsid w:val="00A16F9D"/>
    <w:rPr>
      <w:rFonts w:ascii="Arial" w:eastAsia="Times New Roman" w:hAnsi="Arial" w:cs="Arial"/>
      <w:b/>
      <w:bCs/>
      <w:sz w:val="28"/>
      <w:szCs w:val="24"/>
      <w:lang w:val="es-MX"/>
    </w:rPr>
  </w:style>
  <w:style w:type="character" w:customStyle="1" w:styleId="Ttulo4Car">
    <w:name w:val="Título 4 Car"/>
    <w:link w:val="Ttulo4"/>
    <w:rsid w:val="00A16F9D"/>
    <w:rPr>
      <w:rFonts w:ascii="Arial" w:eastAsia="Times New Roman" w:hAnsi="Arial" w:cs="Arial"/>
      <w:b/>
      <w:bCs/>
      <w:lang w:val="es-MX"/>
    </w:rPr>
  </w:style>
  <w:style w:type="character" w:customStyle="1" w:styleId="Ttulo5Car">
    <w:name w:val="Título 5 Car"/>
    <w:link w:val="Ttulo5"/>
    <w:rsid w:val="00A16F9D"/>
    <w:rPr>
      <w:rFonts w:ascii="Times New Roman" w:eastAsia="Times New Roman" w:hAnsi="Times New Roman"/>
      <w:b/>
      <w:bCs/>
      <w:lang w:val="es-MX"/>
    </w:rPr>
  </w:style>
  <w:style w:type="character" w:customStyle="1" w:styleId="Ttulo6Car">
    <w:name w:val="Título 6 Car"/>
    <w:link w:val="Ttulo6"/>
    <w:rsid w:val="00A16F9D"/>
    <w:rPr>
      <w:rFonts w:ascii="Arial" w:eastAsia="Times New Roman" w:hAnsi="Arial" w:cs="Arial"/>
      <w:b/>
      <w:bCs/>
      <w:sz w:val="22"/>
      <w:szCs w:val="18"/>
      <w:lang w:val="es-MX"/>
    </w:rPr>
  </w:style>
  <w:style w:type="character" w:customStyle="1" w:styleId="Ttulo7Car">
    <w:name w:val="Título 7 Car"/>
    <w:link w:val="Ttulo7"/>
    <w:rsid w:val="00A16F9D"/>
    <w:rPr>
      <w:rFonts w:ascii="Arial" w:eastAsia="Times New Roman" w:hAnsi="Arial" w:cs="Arial"/>
      <w:b/>
      <w:bCs/>
      <w:sz w:val="16"/>
      <w:szCs w:val="16"/>
      <w:u w:val="single"/>
      <w:lang w:val="es-MX"/>
    </w:rPr>
  </w:style>
  <w:style w:type="character" w:customStyle="1" w:styleId="Ttulo8Car">
    <w:name w:val="Título 8 Car"/>
    <w:link w:val="Ttulo8"/>
    <w:rsid w:val="00A16F9D"/>
    <w:rPr>
      <w:rFonts w:ascii="Arial" w:eastAsia="Times New Roman" w:hAnsi="Arial" w:cs="Arial"/>
      <w:b/>
      <w:bCs/>
      <w:u w:val="single"/>
      <w:lang w:val="es-MX"/>
    </w:rPr>
  </w:style>
  <w:style w:type="character" w:customStyle="1" w:styleId="Ttulo9Car">
    <w:name w:val="Título 9 Car"/>
    <w:link w:val="Ttulo9"/>
    <w:rsid w:val="00A16F9D"/>
    <w:rPr>
      <w:rFonts w:ascii="Arial" w:eastAsia="Times New Roman" w:hAnsi="Arial" w:cs="Arial"/>
      <w:b/>
      <w:bCs/>
      <w:sz w:val="18"/>
      <w:szCs w:val="18"/>
      <w:u w:val="single"/>
      <w:lang w:val="es-MX"/>
    </w:rPr>
  </w:style>
  <w:style w:type="paragraph" w:styleId="Encabezado">
    <w:name w:val="header"/>
    <w:basedOn w:val="Normal"/>
    <w:link w:val="EncabezadoCar"/>
    <w:unhideWhenUsed/>
    <w:rsid w:val="00BF7222"/>
    <w:pPr>
      <w:tabs>
        <w:tab w:val="center" w:pos="4252"/>
        <w:tab w:val="right" w:pos="8504"/>
      </w:tabs>
    </w:pPr>
  </w:style>
  <w:style w:type="character" w:customStyle="1" w:styleId="EncabezadoCar">
    <w:name w:val="Encabezado Car"/>
    <w:basedOn w:val="Fuentedeprrafopredeter"/>
    <w:link w:val="Encabezado"/>
    <w:rsid w:val="00BF7222"/>
  </w:style>
  <w:style w:type="paragraph" w:styleId="Piedepgina">
    <w:name w:val="footer"/>
    <w:basedOn w:val="Normal"/>
    <w:link w:val="PiedepginaCar"/>
    <w:unhideWhenUsed/>
    <w:rsid w:val="00BF7222"/>
    <w:pPr>
      <w:tabs>
        <w:tab w:val="center" w:pos="4252"/>
        <w:tab w:val="right" w:pos="8504"/>
      </w:tabs>
    </w:pPr>
  </w:style>
  <w:style w:type="character" w:customStyle="1" w:styleId="PiedepginaCar">
    <w:name w:val="Pie de página Car"/>
    <w:basedOn w:val="Fuentedeprrafopredeter"/>
    <w:link w:val="Piedepgina"/>
    <w:rsid w:val="00BF7222"/>
  </w:style>
  <w:style w:type="paragraph" w:styleId="Textodeglobo">
    <w:name w:val="Balloon Text"/>
    <w:basedOn w:val="Normal"/>
    <w:link w:val="TextodegloboCar"/>
    <w:uiPriority w:val="99"/>
    <w:unhideWhenUsed/>
    <w:rsid w:val="00BF7222"/>
    <w:rPr>
      <w:rFonts w:ascii="Lucida Grande" w:eastAsia="MS Mincho" w:hAnsi="Lucida Grande"/>
      <w:sz w:val="18"/>
      <w:szCs w:val="18"/>
    </w:rPr>
  </w:style>
  <w:style w:type="character" w:customStyle="1" w:styleId="TextodegloboCar">
    <w:name w:val="Texto de globo Car"/>
    <w:link w:val="Textodeglobo"/>
    <w:uiPriority w:val="99"/>
    <w:rsid w:val="00BF7222"/>
    <w:rPr>
      <w:rFonts w:ascii="Lucida Grande" w:hAnsi="Lucida Grande" w:cs="Lucida Grande"/>
      <w:sz w:val="18"/>
      <w:szCs w:val="18"/>
    </w:rPr>
  </w:style>
  <w:style w:type="character" w:styleId="Nmerodepgina">
    <w:name w:val="page number"/>
    <w:unhideWhenUsed/>
    <w:rsid w:val="00310D23"/>
  </w:style>
  <w:style w:type="paragraph" w:styleId="Textoindependiente">
    <w:name w:val="Body Text"/>
    <w:basedOn w:val="Normal"/>
    <w:link w:val="TextoindependienteCar"/>
    <w:uiPriority w:val="99"/>
    <w:rsid w:val="007357EE"/>
    <w:pPr>
      <w:spacing w:line="360" w:lineRule="auto"/>
      <w:jc w:val="both"/>
    </w:pPr>
    <w:rPr>
      <w:rFonts w:ascii="Arial" w:hAnsi="Arial"/>
      <w:spacing w:val="20"/>
      <w:szCs w:val="20"/>
      <w:lang w:val="es-MX"/>
    </w:rPr>
  </w:style>
  <w:style w:type="character" w:customStyle="1" w:styleId="TextoindependienteCar">
    <w:name w:val="Texto independiente Car"/>
    <w:link w:val="Textoindependiente"/>
    <w:uiPriority w:val="99"/>
    <w:rsid w:val="007357EE"/>
    <w:rPr>
      <w:rFonts w:ascii="Arial" w:eastAsia="Times New Roman" w:hAnsi="Arial" w:cs="Arial"/>
      <w:spacing w:val="20"/>
      <w:sz w:val="24"/>
      <w:lang w:val="es-MX"/>
    </w:rPr>
  </w:style>
  <w:style w:type="paragraph" w:customStyle="1" w:styleId="xl35">
    <w:name w:val="xl35"/>
    <w:basedOn w:val="Normal"/>
    <w:rsid w:val="007357EE"/>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link w:val="PrrafodelistaCar"/>
    <w:uiPriority w:val="34"/>
    <w:qFormat/>
    <w:rsid w:val="007357EE"/>
    <w:pPr>
      <w:ind w:left="708"/>
    </w:pPr>
    <w:rPr>
      <w:rFonts w:ascii="Times New Roman" w:hAnsi="Times New Roman"/>
      <w:sz w:val="20"/>
      <w:szCs w:val="20"/>
      <w:lang w:val="es-MX"/>
    </w:rPr>
  </w:style>
  <w:style w:type="character" w:customStyle="1" w:styleId="PrrafodelistaCar">
    <w:name w:val="Párrafo de lista Car"/>
    <w:basedOn w:val="Fuentedeprrafopredeter"/>
    <w:link w:val="Prrafodelista"/>
    <w:uiPriority w:val="34"/>
    <w:rsid w:val="007D438C"/>
    <w:rPr>
      <w:rFonts w:ascii="Times New Roman" w:eastAsia="Times New Roman" w:hAnsi="Times New Roman"/>
      <w:lang w:val="es-MX"/>
    </w:rPr>
  </w:style>
  <w:style w:type="paragraph" w:customStyle="1" w:styleId="Default">
    <w:name w:val="Default"/>
    <w:rsid w:val="007357EE"/>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7357EE"/>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uiPriority w:val="99"/>
    <w:semiHidden/>
    <w:rsid w:val="00A16F9D"/>
    <w:rPr>
      <w:rFonts w:ascii="Times New Roman" w:hAnsi="Times New Roman"/>
      <w:sz w:val="20"/>
      <w:szCs w:val="20"/>
      <w:lang w:val="es-MX"/>
    </w:rPr>
  </w:style>
  <w:style w:type="character" w:customStyle="1" w:styleId="TextonotapieCar">
    <w:name w:val="Texto nota pie Car"/>
    <w:link w:val="Textonotapie"/>
    <w:uiPriority w:val="99"/>
    <w:semiHidden/>
    <w:rsid w:val="00A16F9D"/>
    <w:rPr>
      <w:rFonts w:ascii="Times New Roman" w:eastAsia="Times New Roman" w:hAnsi="Times New Roman"/>
      <w:lang w:val="es-MX"/>
    </w:rPr>
  </w:style>
  <w:style w:type="paragraph" w:customStyle="1" w:styleId="xl24">
    <w:name w:val="xl2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rsid w:val="00A1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rsid w:val="00A16F9D"/>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rsid w:val="00A16F9D"/>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rsid w:val="00A16F9D"/>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rsid w:val="00A16F9D"/>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rsid w:val="00A16F9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rsid w:val="00A16F9D"/>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rsid w:val="00A16F9D"/>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rsid w:val="00A16F9D"/>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rsid w:val="00A16F9D"/>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rsid w:val="00A16F9D"/>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rsid w:val="00A16F9D"/>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rsid w:val="00A16F9D"/>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rsid w:val="00A16F9D"/>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rsid w:val="00A16F9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rsid w:val="00A16F9D"/>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rsid w:val="00A16F9D"/>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rsid w:val="00A16F9D"/>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rsid w:val="00A16F9D"/>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rsid w:val="00A16F9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rsid w:val="00A16F9D"/>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rsid w:val="00A16F9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rsid w:val="00A16F9D"/>
    <w:pPr>
      <w:spacing w:before="100" w:beforeAutospacing="1" w:after="100" w:afterAutospacing="1"/>
      <w:jc w:val="center"/>
    </w:pPr>
    <w:rPr>
      <w:rFonts w:ascii="Arial" w:hAnsi="Arial" w:cs="Arial"/>
      <w:b/>
      <w:bCs/>
      <w:lang w:val="es-MX"/>
    </w:rPr>
  </w:style>
  <w:style w:type="paragraph" w:styleId="Epgrafe">
    <w:name w:val="caption"/>
    <w:basedOn w:val="Normal"/>
    <w:next w:val="Normal"/>
    <w:qFormat/>
    <w:rsid w:val="00A16F9D"/>
    <w:pPr>
      <w:spacing w:before="120" w:after="120"/>
    </w:pPr>
    <w:rPr>
      <w:rFonts w:ascii="Times New Roman" w:hAnsi="Times New Roman"/>
      <w:b/>
      <w:bCs/>
      <w:sz w:val="20"/>
      <w:szCs w:val="20"/>
      <w:lang w:val="es-MX"/>
    </w:rPr>
  </w:style>
  <w:style w:type="paragraph" w:styleId="Textoindependiente2">
    <w:name w:val="Body Text 2"/>
    <w:basedOn w:val="Normal"/>
    <w:link w:val="Textoindependiente2Car"/>
    <w:rsid w:val="00A16F9D"/>
    <w:rPr>
      <w:rFonts w:ascii="Arial" w:hAnsi="Arial"/>
      <w:b/>
      <w:bCs/>
      <w:sz w:val="28"/>
      <w:szCs w:val="20"/>
      <w:lang w:val="es-MX"/>
    </w:rPr>
  </w:style>
  <w:style w:type="character" w:customStyle="1" w:styleId="Textoindependiente2Car">
    <w:name w:val="Texto independiente 2 Car"/>
    <w:link w:val="Textoindependiente2"/>
    <w:rsid w:val="00A16F9D"/>
    <w:rPr>
      <w:rFonts w:ascii="Arial" w:eastAsia="Times New Roman" w:hAnsi="Arial" w:cs="Arial"/>
      <w:b/>
      <w:bCs/>
      <w:sz w:val="28"/>
      <w:lang w:val="es-MX"/>
    </w:rPr>
  </w:style>
  <w:style w:type="paragraph" w:styleId="Lista">
    <w:name w:val="List"/>
    <w:basedOn w:val="Normal"/>
    <w:rsid w:val="00A16F9D"/>
    <w:pPr>
      <w:ind w:left="283" w:hanging="283"/>
    </w:pPr>
    <w:rPr>
      <w:rFonts w:ascii="Times New Roman" w:hAnsi="Times New Roman"/>
      <w:sz w:val="20"/>
      <w:szCs w:val="20"/>
      <w:lang w:val="es-MX"/>
    </w:rPr>
  </w:style>
  <w:style w:type="paragraph" w:styleId="Sangradetextonormal">
    <w:name w:val="Body Text Indent"/>
    <w:basedOn w:val="Normal"/>
    <w:link w:val="SangradetextonormalCar"/>
    <w:rsid w:val="00A16F9D"/>
    <w:pPr>
      <w:ind w:left="709" w:hanging="709"/>
    </w:pPr>
    <w:rPr>
      <w:rFonts w:ascii="Arial" w:hAnsi="Arial"/>
      <w:b/>
      <w:bCs/>
      <w:sz w:val="28"/>
      <w:szCs w:val="20"/>
      <w:lang w:val="es-MX"/>
    </w:rPr>
  </w:style>
  <w:style w:type="character" w:customStyle="1" w:styleId="SangradetextonormalCar">
    <w:name w:val="Sangría de texto normal Car"/>
    <w:link w:val="Sangradetextonormal"/>
    <w:rsid w:val="00A16F9D"/>
    <w:rPr>
      <w:rFonts w:ascii="Arial" w:eastAsia="Times New Roman" w:hAnsi="Arial" w:cs="Arial"/>
      <w:b/>
      <w:bCs/>
      <w:sz w:val="28"/>
      <w:lang w:val="es-MX"/>
    </w:rPr>
  </w:style>
  <w:style w:type="paragraph" w:styleId="Textoindependiente3">
    <w:name w:val="Body Text 3"/>
    <w:basedOn w:val="Normal"/>
    <w:link w:val="Textoindependiente3Car"/>
    <w:uiPriority w:val="99"/>
    <w:rsid w:val="00A16F9D"/>
    <w:pPr>
      <w:jc w:val="both"/>
    </w:pPr>
    <w:rPr>
      <w:rFonts w:ascii="Arial" w:hAnsi="Arial"/>
      <w:snapToGrid w:val="0"/>
      <w:szCs w:val="20"/>
      <w:lang w:val="es-MX"/>
    </w:rPr>
  </w:style>
  <w:style w:type="character" w:customStyle="1" w:styleId="Textoindependiente3Car">
    <w:name w:val="Texto independiente 3 Car"/>
    <w:link w:val="Textoindependiente3"/>
    <w:uiPriority w:val="99"/>
    <w:rsid w:val="00A16F9D"/>
    <w:rPr>
      <w:rFonts w:ascii="Arial" w:eastAsia="Times New Roman" w:hAnsi="Arial"/>
      <w:snapToGrid w:val="0"/>
      <w:sz w:val="24"/>
      <w:lang w:val="es-MX"/>
    </w:rPr>
  </w:style>
  <w:style w:type="paragraph" w:styleId="Sangra2detindependiente">
    <w:name w:val="Body Text Indent 2"/>
    <w:basedOn w:val="Normal"/>
    <w:link w:val="Sangra2detindependienteCar"/>
    <w:rsid w:val="00A16F9D"/>
    <w:pPr>
      <w:spacing w:after="120" w:line="360" w:lineRule="auto"/>
      <w:ind w:firstLine="709"/>
      <w:jc w:val="both"/>
    </w:pPr>
    <w:rPr>
      <w:rFonts w:ascii="Arial" w:hAnsi="Arial"/>
      <w:szCs w:val="20"/>
      <w:lang w:val="es-MX"/>
    </w:rPr>
  </w:style>
  <w:style w:type="character" w:customStyle="1" w:styleId="Sangra2detindependienteCar">
    <w:name w:val="Sangría 2 de t. independiente Car"/>
    <w:link w:val="Sangra2detindependiente"/>
    <w:rsid w:val="00A16F9D"/>
    <w:rPr>
      <w:rFonts w:ascii="Arial" w:eastAsia="Times New Roman" w:hAnsi="Arial" w:cs="Arial"/>
      <w:sz w:val="24"/>
      <w:lang w:val="es-MX"/>
    </w:rPr>
  </w:style>
  <w:style w:type="paragraph" w:styleId="Sangra3detindependiente">
    <w:name w:val="Body Text Indent 3"/>
    <w:basedOn w:val="Normal"/>
    <w:link w:val="Sangra3detindependienteCar"/>
    <w:rsid w:val="00A16F9D"/>
    <w:pPr>
      <w:spacing w:after="120" w:line="360" w:lineRule="auto"/>
      <w:ind w:firstLine="709"/>
      <w:jc w:val="both"/>
    </w:pPr>
    <w:rPr>
      <w:rFonts w:ascii="Arial" w:hAnsi="Arial"/>
      <w:b/>
      <w:bCs/>
      <w:szCs w:val="20"/>
      <w:lang w:val="es-MX"/>
    </w:rPr>
  </w:style>
  <w:style w:type="character" w:customStyle="1" w:styleId="Sangra3detindependienteCar">
    <w:name w:val="Sangría 3 de t. independiente Car"/>
    <w:link w:val="Sangra3detindependiente"/>
    <w:rsid w:val="00A16F9D"/>
    <w:rPr>
      <w:rFonts w:ascii="Arial" w:eastAsia="Times New Roman" w:hAnsi="Arial"/>
      <w:b/>
      <w:bCs/>
      <w:sz w:val="24"/>
      <w:lang w:val="es-MX"/>
    </w:rPr>
  </w:style>
  <w:style w:type="character" w:styleId="Hipervnculo">
    <w:name w:val="Hyperlink"/>
    <w:uiPriority w:val="99"/>
    <w:rsid w:val="00A16F9D"/>
    <w:rPr>
      <w:color w:val="0000FF"/>
      <w:u w:val="single"/>
    </w:rPr>
  </w:style>
  <w:style w:type="paragraph" w:customStyle="1" w:styleId="font5">
    <w:name w:val="font5"/>
    <w:basedOn w:val="Normal"/>
    <w:rsid w:val="00A16F9D"/>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sid w:val="00A16F9D"/>
    <w:rPr>
      <w:color w:val="800080"/>
      <w:u w:val="single"/>
    </w:rPr>
  </w:style>
  <w:style w:type="paragraph" w:customStyle="1" w:styleId="xl67">
    <w:name w:val="xl67"/>
    <w:basedOn w:val="Normal"/>
    <w:rsid w:val="00A16F9D"/>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rsid w:val="00A16F9D"/>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rsid w:val="00A16F9D"/>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rsid w:val="00A16F9D"/>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rsid w:val="00A16F9D"/>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rsid w:val="00A16F9D"/>
    <w:pPr>
      <w:spacing w:before="100" w:beforeAutospacing="1" w:after="100" w:afterAutospacing="1"/>
    </w:pPr>
    <w:rPr>
      <w:rFonts w:ascii="Arial" w:eastAsia="Arial Unicode MS" w:hAnsi="Arial" w:cs="Arial"/>
      <w:sz w:val="16"/>
      <w:szCs w:val="16"/>
      <w:lang w:val="es-MX"/>
    </w:rPr>
  </w:style>
  <w:style w:type="paragraph" w:styleId="Lista3">
    <w:name w:val="List 3"/>
    <w:basedOn w:val="Normal"/>
    <w:rsid w:val="00A16F9D"/>
    <w:pPr>
      <w:ind w:left="849" w:hanging="283"/>
    </w:pPr>
    <w:rPr>
      <w:rFonts w:ascii="Times New Roman" w:hAnsi="Times New Roman"/>
      <w:sz w:val="20"/>
      <w:szCs w:val="20"/>
    </w:rPr>
  </w:style>
  <w:style w:type="paragraph" w:styleId="Lista4">
    <w:name w:val="List 4"/>
    <w:basedOn w:val="Normal"/>
    <w:rsid w:val="00A16F9D"/>
    <w:pPr>
      <w:ind w:left="1132" w:hanging="283"/>
    </w:pPr>
    <w:rPr>
      <w:rFonts w:ascii="Times New Roman" w:hAnsi="Times New Roman"/>
      <w:sz w:val="20"/>
      <w:szCs w:val="20"/>
    </w:rPr>
  </w:style>
  <w:style w:type="paragraph" w:styleId="Saludo">
    <w:name w:val="Salutation"/>
    <w:basedOn w:val="Normal"/>
    <w:next w:val="Normal"/>
    <w:link w:val="SaludoCar"/>
    <w:rsid w:val="00A16F9D"/>
    <w:rPr>
      <w:rFonts w:ascii="Times New Roman" w:hAnsi="Times New Roman"/>
      <w:sz w:val="20"/>
      <w:szCs w:val="20"/>
    </w:rPr>
  </w:style>
  <w:style w:type="character" w:customStyle="1" w:styleId="SaludoCar">
    <w:name w:val="Saludo Car"/>
    <w:link w:val="Saludo"/>
    <w:rsid w:val="00A16F9D"/>
    <w:rPr>
      <w:rFonts w:ascii="Times New Roman" w:eastAsia="Times New Roman" w:hAnsi="Times New Roman"/>
    </w:rPr>
  </w:style>
  <w:style w:type="paragraph" w:styleId="Listaconvietas2">
    <w:name w:val="List Bullet 2"/>
    <w:basedOn w:val="Normal"/>
    <w:autoRedefine/>
    <w:rsid w:val="00A16F9D"/>
    <w:pPr>
      <w:numPr>
        <w:numId w:val="1"/>
      </w:numPr>
    </w:pPr>
    <w:rPr>
      <w:rFonts w:ascii="Times New Roman" w:hAnsi="Times New Roman"/>
      <w:sz w:val="20"/>
      <w:szCs w:val="20"/>
    </w:rPr>
  </w:style>
  <w:style w:type="paragraph" w:styleId="Continuarlista">
    <w:name w:val="List Continue"/>
    <w:basedOn w:val="Normal"/>
    <w:rsid w:val="00A16F9D"/>
    <w:pPr>
      <w:spacing w:after="120"/>
      <w:ind w:left="283"/>
    </w:pPr>
    <w:rPr>
      <w:rFonts w:ascii="Times New Roman" w:hAnsi="Times New Roman"/>
      <w:sz w:val="20"/>
      <w:szCs w:val="20"/>
    </w:rPr>
  </w:style>
  <w:style w:type="paragraph" w:styleId="Continuarlista2">
    <w:name w:val="List Continue 2"/>
    <w:basedOn w:val="Normal"/>
    <w:rsid w:val="00A16F9D"/>
    <w:pPr>
      <w:spacing w:after="120"/>
      <w:ind w:left="566"/>
    </w:pPr>
    <w:rPr>
      <w:rFonts w:ascii="Times New Roman" w:hAnsi="Times New Roman"/>
      <w:sz w:val="20"/>
      <w:szCs w:val="20"/>
    </w:rPr>
  </w:style>
  <w:style w:type="paragraph" w:customStyle="1" w:styleId="Lneadeasunto">
    <w:name w:val="Línea de asunto"/>
    <w:basedOn w:val="Normal"/>
    <w:rsid w:val="00A16F9D"/>
    <w:rPr>
      <w:rFonts w:ascii="Times New Roman" w:hAnsi="Times New Roman"/>
      <w:sz w:val="20"/>
      <w:szCs w:val="20"/>
    </w:rPr>
  </w:style>
  <w:style w:type="paragraph" w:customStyle="1" w:styleId="Infodocumentosadjuntos">
    <w:name w:val="Info documentos adjuntos"/>
    <w:basedOn w:val="Normal"/>
    <w:rsid w:val="00A16F9D"/>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rsid w:val="00A16F9D"/>
    <w:pPr>
      <w:jc w:val="both"/>
    </w:pPr>
    <w:rPr>
      <w:rFonts w:ascii="Arial" w:hAnsi="Arial" w:cs="Arial"/>
      <w:spacing w:val="16"/>
      <w:lang w:val="es-MX"/>
    </w:rPr>
  </w:style>
  <w:style w:type="paragraph" w:styleId="Textoindependienteprimerasangra2">
    <w:name w:val="Body Text First Indent 2"/>
    <w:basedOn w:val="Sangradetextonormal"/>
    <w:link w:val="Textoindependienteprimerasangra2Car"/>
    <w:rsid w:val="00A16F9D"/>
    <w:pPr>
      <w:spacing w:after="120"/>
      <w:ind w:left="283" w:firstLine="210"/>
    </w:pPr>
    <w:rPr>
      <w:rFonts w:ascii="Times New Roman" w:hAnsi="Times New Roman"/>
    </w:rPr>
  </w:style>
  <w:style w:type="character" w:customStyle="1" w:styleId="Textoindependienteprimerasangra2Car">
    <w:name w:val="Texto independiente primera sangría 2 Car"/>
    <w:link w:val="Textoindependienteprimerasangra2"/>
    <w:rsid w:val="00A16F9D"/>
    <w:rPr>
      <w:rFonts w:ascii="Times New Roman" w:eastAsia="Times New Roman" w:hAnsi="Times New Roman" w:cs="Arial"/>
      <w:b/>
      <w:bCs/>
      <w:sz w:val="28"/>
      <w:lang w:val="es-MX"/>
    </w:rPr>
  </w:style>
  <w:style w:type="paragraph" w:styleId="Ttulo">
    <w:name w:val="Title"/>
    <w:basedOn w:val="Normal"/>
    <w:link w:val="TtuloCar"/>
    <w:qFormat/>
    <w:rsid w:val="00A16F9D"/>
    <w:pPr>
      <w:jc w:val="center"/>
    </w:pPr>
    <w:rPr>
      <w:rFonts w:ascii="Tahoma" w:hAnsi="Tahoma"/>
      <w:b/>
      <w:szCs w:val="20"/>
    </w:rPr>
  </w:style>
  <w:style w:type="character" w:customStyle="1" w:styleId="TtuloCar">
    <w:name w:val="Título Car"/>
    <w:link w:val="Ttulo"/>
    <w:rsid w:val="00A16F9D"/>
    <w:rPr>
      <w:rFonts w:ascii="Tahoma" w:eastAsia="Times New Roman" w:hAnsi="Tahoma"/>
      <w:b/>
      <w:sz w:val="24"/>
    </w:rPr>
  </w:style>
  <w:style w:type="paragraph" w:customStyle="1" w:styleId="Normal0">
    <w:name w:val="[Normal]"/>
    <w:rsid w:val="00A16F9D"/>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rsid w:val="00A16F9D"/>
    <w:pPr>
      <w:ind w:left="566" w:hanging="283"/>
      <w:contextualSpacing/>
    </w:pPr>
    <w:rPr>
      <w:rFonts w:ascii="Times New Roman" w:hAnsi="Times New Roman"/>
      <w:sz w:val="20"/>
      <w:szCs w:val="20"/>
      <w:lang w:val="es-MX"/>
    </w:rPr>
  </w:style>
  <w:style w:type="paragraph" w:styleId="Listaconvietas">
    <w:name w:val="List Bullet"/>
    <w:basedOn w:val="Normal"/>
    <w:rsid w:val="00A16F9D"/>
    <w:pPr>
      <w:numPr>
        <w:numId w:val="2"/>
      </w:numPr>
      <w:contextualSpacing/>
    </w:pPr>
    <w:rPr>
      <w:rFonts w:ascii="Times New Roman" w:hAnsi="Times New Roman"/>
      <w:sz w:val="20"/>
      <w:szCs w:val="20"/>
      <w:lang w:val="es-MX"/>
    </w:rPr>
  </w:style>
  <w:style w:type="paragraph" w:styleId="Listaconvietas3">
    <w:name w:val="List Bullet 3"/>
    <w:basedOn w:val="Normal"/>
    <w:rsid w:val="00A16F9D"/>
    <w:pPr>
      <w:numPr>
        <w:numId w:val="3"/>
      </w:numPr>
      <w:contextualSpacing/>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rsid w:val="00A16F9D"/>
    <w:pPr>
      <w:spacing w:line="240" w:lineRule="auto"/>
      <w:ind w:firstLine="360"/>
      <w:jc w:val="left"/>
    </w:pPr>
    <w:rPr>
      <w:rFonts w:ascii="Times New Roman" w:hAnsi="Times New Roman"/>
    </w:rPr>
  </w:style>
  <w:style w:type="character" w:customStyle="1" w:styleId="TextoindependienteprimerasangraCar">
    <w:name w:val="Texto independiente primera sangría Car"/>
    <w:link w:val="Textoindependienteprimerasangra"/>
    <w:rsid w:val="00A16F9D"/>
    <w:rPr>
      <w:rFonts w:ascii="Times New Roman" w:eastAsia="Times New Roman" w:hAnsi="Times New Roman" w:cs="Arial"/>
      <w:spacing w:val="20"/>
      <w:sz w:val="24"/>
      <w:lang w:val="es-MX"/>
    </w:rPr>
  </w:style>
  <w:style w:type="paragraph" w:styleId="Sinespaciado">
    <w:name w:val="No Spacing"/>
    <w:link w:val="SinespaciadoCar"/>
    <w:uiPriority w:val="1"/>
    <w:qFormat/>
    <w:rsid w:val="00A16F9D"/>
    <w:rPr>
      <w:rFonts w:ascii="Calibri" w:eastAsia="Times New Roman" w:hAnsi="Calibri"/>
      <w:sz w:val="22"/>
      <w:szCs w:val="22"/>
    </w:rPr>
  </w:style>
  <w:style w:type="character" w:customStyle="1" w:styleId="SinespaciadoCar">
    <w:name w:val="Sin espaciado Car"/>
    <w:basedOn w:val="Fuentedeprrafopredeter"/>
    <w:link w:val="Sinespaciado"/>
    <w:uiPriority w:val="1"/>
    <w:rsid w:val="00802565"/>
    <w:rPr>
      <w:rFonts w:ascii="Calibri" w:eastAsia="Times New Roman" w:hAnsi="Calibri"/>
      <w:sz w:val="22"/>
      <w:szCs w:val="22"/>
    </w:rPr>
  </w:style>
  <w:style w:type="paragraph" w:customStyle="1" w:styleId="Textodenotaalfinal">
    <w:name w:val="Texto de nota al final"/>
    <w:basedOn w:val="Normal"/>
    <w:rsid w:val="00A16F9D"/>
    <w:pPr>
      <w:widowControl w:val="0"/>
    </w:pPr>
    <w:rPr>
      <w:rFonts w:ascii="Courier New" w:hAnsi="Courier New"/>
      <w:snapToGrid w:val="0"/>
      <w:szCs w:val="20"/>
    </w:rPr>
  </w:style>
  <w:style w:type="paragraph" w:customStyle="1" w:styleId="a">
    <w:name w:val="ñññ"/>
    <w:basedOn w:val="Default"/>
    <w:next w:val="Default"/>
    <w:uiPriority w:val="99"/>
    <w:rsid w:val="00A16F9D"/>
    <w:rPr>
      <w:rFonts w:eastAsia="Calibri"/>
      <w:color w:val="auto"/>
      <w:lang w:eastAsia="en-US"/>
    </w:rPr>
  </w:style>
  <w:style w:type="character" w:styleId="nfasisintenso">
    <w:name w:val="Intense Emphasis"/>
    <w:uiPriority w:val="21"/>
    <w:qFormat/>
    <w:rsid w:val="00A16F9D"/>
    <w:rPr>
      <w:b/>
      <w:bCs/>
      <w:i/>
      <w:iCs/>
      <w:color w:val="4F81BD"/>
    </w:rPr>
  </w:style>
  <w:style w:type="character" w:styleId="nfasis">
    <w:name w:val="Emphasis"/>
    <w:qFormat/>
    <w:rsid w:val="00A16F9D"/>
    <w:rPr>
      <w:i/>
      <w:iCs/>
    </w:rPr>
  </w:style>
  <w:style w:type="paragraph" w:styleId="Mapadeldocumento">
    <w:name w:val="Document Map"/>
    <w:basedOn w:val="Normal"/>
    <w:link w:val="MapadeldocumentoCar"/>
    <w:rsid w:val="00A16F9D"/>
    <w:rPr>
      <w:rFonts w:ascii="Tahoma" w:hAnsi="Tahoma"/>
      <w:sz w:val="16"/>
      <w:szCs w:val="16"/>
      <w:lang w:val="es-MX"/>
    </w:rPr>
  </w:style>
  <w:style w:type="character" w:customStyle="1" w:styleId="MapadeldocumentoCar">
    <w:name w:val="Mapa del documento Car"/>
    <w:link w:val="Mapadeldocumento"/>
    <w:rsid w:val="00A16F9D"/>
    <w:rPr>
      <w:rFonts w:ascii="Tahoma" w:eastAsia="Times New Roman" w:hAnsi="Tahoma" w:cs="Tahoma"/>
      <w:sz w:val="16"/>
      <w:szCs w:val="16"/>
      <w:lang w:val="es-MX"/>
    </w:rPr>
  </w:style>
  <w:style w:type="table" w:styleId="Tablaconcuadrcula">
    <w:name w:val="Table Grid"/>
    <w:basedOn w:val="Tablanormal"/>
    <w:uiPriority w:val="59"/>
    <w:rsid w:val="00B71B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uiPriority w:val="1"/>
    <w:qFormat/>
    <w:rsid w:val="009D016A"/>
    <w:rPr>
      <w:rFonts w:ascii="Calibri" w:eastAsia="Times New Roman" w:hAnsi="Calibri"/>
      <w:sz w:val="22"/>
      <w:szCs w:val="22"/>
      <w:lang w:eastAsia="en-US"/>
    </w:rPr>
  </w:style>
  <w:style w:type="table" w:styleId="Sombreadoclaro-nfasis5">
    <w:name w:val="Light Shading Accent 5"/>
    <w:basedOn w:val="Tablanormal"/>
    <w:uiPriority w:val="60"/>
    <w:rsid w:val="00836272"/>
    <w:rPr>
      <w:rFonts w:ascii="Calibri" w:eastAsia="Calibri" w:hAnsi="Calibri"/>
      <w:color w:val="31849B"/>
      <w:sz w:val="22"/>
      <w:szCs w:val="22"/>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notaalpie">
    <w:name w:val="footnote reference"/>
    <w:basedOn w:val="Fuentedeprrafopredeter"/>
    <w:uiPriority w:val="99"/>
    <w:semiHidden/>
    <w:unhideWhenUsed/>
    <w:rsid w:val="003B678C"/>
    <w:rPr>
      <w:vertAlign w:val="superscript"/>
    </w:rPr>
  </w:style>
  <w:style w:type="paragraph" w:customStyle="1" w:styleId="ANOTACION">
    <w:name w:val="ANOTACION"/>
    <w:basedOn w:val="Normal"/>
    <w:rsid w:val="00CC504A"/>
    <w:pPr>
      <w:spacing w:before="101" w:after="101"/>
      <w:jc w:val="center"/>
    </w:pPr>
    <w:rPr>
      <w:rFonts w:ascii="Times New Roman" w:hAnsi="Times New Roman"/>
      <w:b/>
      <w:sz w:val="18"/>
      <w:szCs w:val="20"/>
    </w:rPr>
  </w:style>
  <w:style w:type="character" w:customStyle="1" w:styleId="st">
    <w:name w:val="st"/>
    <w:basedOn w:val="Fuentedeprrafopredeter"/>
    <w:rsid w:val="005518B3"/>
  </w:style>
  <w:style w:type="character" w:customStyle="1" w:styleId="unsafesenderemail">
    <w:name w:val="unsafesenderemail"/>
    <w:basedOn w:val="Fuentedeprrafopredeter"/>
    <w:rsid w:val="00972328"/>
  </w:style>
  <w:style w:type="paragraph" w:customStyle="1" w:styleId="xl81">
    <w:name w:val="xl81"/>
    <w:basedOn w:val="Normal"/>
    <w:rsid w:val="00EA294E"/>
    <w:pPr>
      <w:spacing w:before="100" w:beforeAutospacing="1" w:after="100" w:afterAutospacing="1"/>
      <w:jc w:val="center"/>
      <w:textAlignment w:val="center"/>
    </w:pPr>
    <w:rPr>
      <w:rFonts w:ascii="Times New Roman" w:hAnsi="Times New Roman"/>
      <w:sz w:val="16"/>
      <w:szCs w:val="16"/>
      <w:lang w:val="es-MX" w:eastAsia="es-MX"/>
    </w:rPr>
  </w:style>
  <w:style w:type="paragraph" w:customStyle="1" w:styleId="xl82">
    <w:name w:val="xl82"/>
    <w:basedOn w:val="Normal"/>
    <w:rsid w:val="00EA294E"/>
    <w:pPr>
      <w:spacing w:before="100" w:beforeAutospacing="1" w:after="100" w:afterAutospacing="1"/>
      <w:textAlignment w:val="center"/>
    </w:pPr>
    <w:rPr>
      <w:rFonts w:ascii="Times New Roman" w:hAnsi="Times New Roman"/>
      <w:sz w:val="16"/>
      <w:szCs w:val="16"/>
      <w:lang w:val="es-MX" w:eastAsia="es-MX"/>
    </w:rPr>
  </w:style>
  <w:style w:type="paragraph" w:customStyle="1" w:styleId="xl83">
    <w:name w:val="xl83"/>
    <w:basedOn w:val="Normal"/>
    <w:rsid w:val="00EA294E"/>
    <w:pPr>
      <w:spacing w:before="100" w:beforeAutospacing="1" w:after="100" w:afterAutospacing="1"/>
      <w:jc w:val="right"/>
      <w:textAlignment w:val="center"/>
    </w:pPr>
    <w:rPr>
      <w:rFonts w:ascii="Times New Roman" w:hAnsi="Times New Roman"/>
      <w:sz w:val="16"/>
      <w:szCs w:val="16"/>
      <w:lang w:val="es-MX" w:eastAsia="es-MX"/>
    </w:rPr>
  </w:style>
  <w:style w:type="paragraph" w:customStyle="1" w:styleId="Encabezadodetabladecontenido1">
    <w:name w:val="Encabezado de tabla de contenido1"/>
    <w:basedOn w:val="Ttulo1"/>
    <w:next w:val="Normal"/>
    <w:uiPriority w:val="39"/>
    <w:unhideWhenUsed/>
    <w:qFormat/>
    <w:rsid w:val="00802565"/>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802565"/>
    <w:pPr>
      <w:spacing w:after="100"/>
      <w:jc w:val="both"/>
    </w:pPr>
    <w:rPr>
      <w:rFonts w:ascii="Arial" w:eastAsia="Calibri" w:hAnsi="Arial"/>
      <w:szCs w:val="22"/>
      <w:lang w:val="es-MX" w:eastAsia="en-US"/>
    </w:rPr>
  </w:style>
  <w:style w:type="paragraph" w:customStyle="1" w:styleId="Listavistosa-nfasis11">
    <w:name w:val="Lista vistosa - Énfasis 11"/>
    <w:basedOn w:val="Normal"/>
    <w:uiPriority w:val="34"/>
    <w:qFormat/>
    <w:rsid w:val="00802565"/>
    <w:pPr>
      <w:spacing w:after="200"/>
      <w:ind w:left="720"/>
      <w:contextualSpacing/>
      <w:jc w:val="both"/>
    </w:pPr>
    <w:rPr>
      <w:rFonts w:ascii="Arial" w:eastAsia="Calibri" w:hAnsi="Arial"/>
      <w:szCs w:val="22"/>
      <w:lang w:val="es-MX" w:eastAsia="en-US"/>
    </w:rPr>
  </w:style>
  <w:style w:type="character" w:styleId="Textoennegrita">
    <w:name w:val="Strong"/>
    <w:uiPriority w:val="22"/>
    <w:qFormat/>
    <w:rsid w:val="00802565"/>
    <w:rPr>
      <w:b/>
      <w:bCs/>
    </w:rPr>
  </w:style>
  <w:style w:type="character" w:customStyle="1" w:styleId="TextocomentarioCar">
    <w:name w:val="Texto comentario Car"/>
    <w:basedOn w:val="Fuentedeprrafopredeter"/>
    <w:link w:val="Textocomentario"/>
    <w:uiPriority w:val="99"/>
    <w:semiHidden/>
    <w:rsid w:val="00802565"/>
    <w:rPr>
      <w:rFonts w:ascii="Arial" w:eastAsia="Calibri" w:hAnsi="Arial"/>
      <w:lang w:val="es-MX" w:eastAsia="en-US"/>
    </w:rPr>
  </w:style>
  <w:style w:type="paragraph" w:styleId="Textocomentario">
    <w:name w:val="annotation text"/>
    <w:basedOn w:val="Normal"/>
    <w:link w:val="TextocomentarioCar"/>
    <w:uiPriority w:val="99"/>
    <w:semiHidden/>
    <w:unhideWhenUsed/>
    <w:rsid w:val="00802565"/>
    <w:pPr>
      <w:spacing w:after="200"/>
      <w:jc w:val="both"/>
    </w:pPr>
    <w:rPr>
      <w:rFonts w:ascii="Arial" w:eastAsia="Calibri" w:hAnsi="Arial"/>
      <w:sz w:val="20"/>
      <w:szCs w:val="20"/>
      <w:lang w:val="es-MX" w:eastAsia="en-US"/>
    </w:rPr>
  </w:style>
  <w:style w:type="character" w:customStyle="1" w:styleId="AsuntodelcomentarioCar">
    <w:name w:val="Asunto del comentario Car"/>
    <w:basedOn w:val="TextocomentarioCar"/>
    <w:link w:val="Asuntodelcomentario"/>
    <w:uiPriority w:val="99"/>
    <w:semiHidden/>
    <w:rsid w:val="00802565"/>
    <w:rPr>
      <w:rFonts w:ascii="Arial" w:eastAsia="Calibri" w:hAnsi="Arial"/>
      <w:b/>
      <w:bCs/>
      <w:lang w:val="es-MX" w:eastAsia="en-US"/>
    </w:rPr>
  </w:style>
  <w:style w:type="paragraph" w:styleId="Asuntodelcomentario">
    <w:name w:val="annotation subject"/>
    <w:basedOn w:val="Textocomentario"/>
    <w:next w:val="Textocomentario"/>
    <w:link w:val="AsuntodelcomentarioCar"/>
    <w:uiPriority w:val="99"/>
    <w:semiHidden/>
    <w:unhideWhenUsed/>
    <w:rsid w:val="00802565"/>
    <w:rPr>
      <w:b/>
      <w:bCs/>
    </w:rPr>
  </w:style>
  <w:style w:type="paragraph" w:styleId="TtulodeTDC">
    <w:name w:val="TOC Heading"/>
    <w:basedOn w:val="Ttulo1"/>
    <w:next w:val="Normal"/>
    <w:uiPriority w:val="39"/>
    <w:unhideWhenUsed/>
    <w:qFormat/>
    <w:rsid w:val="00802565"/>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2">
    <w:name w:val="toc 2"/>
    <w:basedOn w:val="Normal"/>
    <w:next w:val="Normal"/>
    <w:autoRedefine/>
    <w:uiPriority w:val="39"/>
    <w:unhideWhenUsed/>
    <w:rsid w:val="00802565"/>
    <w:pPr>
      <w:spacing w:after="100"/>
      <w:ind w:left="240"/>
      <w:jc w:val="both"/>
    </w:pPr>
    <w:rPr>
      <w:rFonts w:ascii="Arial" w:eastAsia="Calibri" w:hAnsi="Arial"/>
      <w:szCs w:val="22"/>
      <w:lang w:val="es-MX" w:eastAsia="en-US"/>
    </w:rPr>
  </w:style>
  <w:style w:type="paragraph" w:customStyle="1" w:styleId="cuerpodetexto">
    <w:name w:val="cuerpo de texto"/>
    <w:basedOn w:val="Normal"/>
    <w:uiPriority w:val="99"/>
    <w:rsid w:val="001263DB"/>
    <w:pPr>
      <w:widowControl w:val="0"/>
      <w:autoSpaceDE w:val="0"/>
      <w:autoSpaceDN w:val="0"/>
      <w:adjustRightInd w:val="0"/>
      <w:spacing w:line="294" w:lineRule="atLeast"/>
      <w:ind w:firstLine="567"/>
      <w:jc w:val="both"/>
      <w:textAlignment w:val="center"/>
    </w:pPr>
    <w:rPr>
      <w:rFonts w:ascii="FranklinGothic-Book" w:eastAsiaTheme="minorEastAsia" w:hAnsi="FranklinGothic-Book" w:cs="FranklinGothic-Book"/>
      <w:color w:val="000000"/>
      <w:lang w:val="es-ES_tradnl"/>
    </w:rPr>
  </w:style>
  <w:style w:type="paragraph" w:customStyle="1" w:styleId="ENLISTADO">
    <w:name w:val="ENLISTADO"/>
    <w:basedOn w:val="Normal"/>
    <w:uiPriority w:val="99"/>
    <w:rsid w:val="001263DB"/>
    <w:pPr>
      <w:widowControl w:val="0"/>
      <w:suppressAutoHyphens/>
      <w:autoSpaceDE w:val="0"/>
      <w:autoSpaceDN w:val="0"/>
      <w:adjustRightInd w:val="0"/>
      <w:spacing w:line="294" w:lineRule="atLeast"/>
      <w:ind w:left="1100" w:hanging="320"/>
      <w:jc w:val="both"/>
      <w:textAlignment w:val="center"/>
    </w:pPr>
    <w:rPr>
      <w:rFonts w:ascii="FranklinGothic-Book" w:eastAsiaTheme="minorEastAsia" w:hAnsi="FranklinGothic-Book" w:cs="FranklinGothic-Book"/>
      <w:color w:val="000000"/>
      <w:lang w:val="es-ES_tradnl"/>
    </w:rPr>
  </w:style>
  <w:style w:type="character" w:customStyle="1" w:styleId="negritas">
    <w:name w:val="negritas"/>
    <w:uiPriority w:val="99"/>
    <w:rsid w:val="001263DB"/>
    <w:rPr>
      <w:rFonts w:ascii="FranklinGothic-Medium" w:hAnsi="FranklinGothic-Medium" w:cs="FranklinGothic-Medium"/>
      <w:color w:val="000000"/>
      <w:spacing w:val="0"/>
      <w:sz w:val="24"/>
      <w:szCs w:val="24"/>
    </w:rPr>
  </w:style>
  <w:style w:type="character" w:customStyle="1" w:styleId="fccc">
    <w:name w:val="fccc"/>
    <w:uiPriority w:val="99"/>
    <w:rsid w:val="001263DB"/>
  </w:style>
  <w:style w:type="paragraph" w:customStyle="1" w:styleId="Prrafobsico">
    <w:name w:val="[Párrafo básico]"/>
    <w:basedOn w:val="Normal"/>
    <w:uiPriority w:val="99"/>
    <w:rsid w:val="001263DB"/>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character" w:customStyle="1" w:styleId="Subtitular1">
    <w:name w:val="Subtitular 1"/>
    <w:uiPriority w:val="99"/>
    <w:rsid w:val="001263DB"/>
    <w:rPr>
      <w:rFonts w:ascii="FranklinGothic-Demi" w:hAnsi="FranklinGothic-Demi" w:cs="FranklinGothic-Demi"/>
      <w:caps/>
      <w:color w:val="9F0014"/>
      <w:sz w:val="34"/>
      <w:szCs w:val="34"/>
    </w:rPr>
  </w:style>
  <w:style w:type="character" w:customStyle="1" w:styleId="sub2">
    <w:name w:val="sub2"/>
    <w:basedOn w:val="Subtitular1"/>
    <w:uiPriority w:val="99"/>
    <w:rsid w:val="001263DB"/>
    <w:rPr>
      <w:rFonts w:ascii="FranklinGothic-Demi" w:hAnsi="FranklinGothic-Demi" w:cs="FranklinGothic-Demi"/>
      <w:caps/>
      <w:color w:val="9F0014"/>
      <w:sz w:val="28"/>
      <w:szCs w:val="28"/>
    </w:rPr>
  </w:style>
  <w:style w:type="paragraph" w:customStyle="1" w:styleId="xl118">
    <w:name w:val="xl118"/>
    <w:basedOn w:val="Normal"/>
    <w:rsid w:val="000217AC"/>
    <w:pPr>
      <w:spacing w:before="100" w:beforeAutospacing="1" w:after="100" w:afterAutospacing="1"/>
      <w:jc w:val="center"/>
    </w:pPr>
    <w:rPr>
      <w:rFonts w:ascii="Arial" w:hAnsi="Arial" w:cs="Arial"/>
      <w:b/>
      <w:bCs/>
      <w:sz w:val="18"/>
      <w:szCs w:val="18"/>
      <w:lang w:val="es-MX" w:eastAsia="es-MX"/>
    </w:rPr>
  </w:style>
  <w:style w:type="paragraph" w:customStyle="1" w:styleId="xl119">
    <w:name w:val="xl119"/>
    <w:basedOn w:val="Normal"/>
    <w:rsid w:val="000217AC"/>
    <w:pPr>
      <w:spacing w:before="100" w:beforeAutospacing="1" w:after="100" w:afterAutospacing="1"/>
    </w:pPr>
    <w:rPr>
      <w:rFonts w:ascii="Arial" w:hAnsi="Arial" w:cs="Arial"/>
      <w:sz w:val="20"/>
      <w:szCs w:val="20"/>
      <w:lang w:val="es-MX" w:eastAsia="es-MX"/>
    </w:rPr>
  </w:style>
  <w:style w:type="paragraph" w:customStyle="1" w:styleId="xl120">
    <w:name w:val="xl120"/>
    <w:basedOn w:val="Normal"/>
    <w:rsid w:val="000217AC"/>
    <w:pPr>
      <w:spacing w:before="100" w:beforeAutospacing="1" w:after="100" w:afterAutospacing="1"/>
      <w:jc w:val="center"/>
    </w:pPr>
    <w:rPr>
      <w:rFonts w:ascii="Arial" w:hAnsi="Arial" w:cs="Arial"/>
      <w:sz w:val="18"/>
      <w:szCs w:val="18"/>
      <w:lang w:val="es-MX" w:eastAsia="es-MX"/>
    </w:rPr>
  </w:style>
  <w:style w:type="paragraph" w:customStyle="1" w:styleId="xl121">
    <w:name w:val="xl121"/>
    <w:basedOn w:val="Normal"/>
    <w:rsid w:val="000217AC"/>
    <w:pPr>
      <w:spacing w:before="100" w:beforeAutospacing="1" w:after="100" w:afterAutospacing="1"/>
      <w:jc w:val="center"/>
    </w:pPr>
    <w:rPr>
      <w:rFonts w:ascii="Times New Roman" w:hAnsi="Times New Roman"/>
      <w:sz w:val="20"/>
      <w:szCs w:val="20"/>
      <w:lang w:val="es-MX" w:eastAsia="es-MX"/>
    </w:rPr>
  </w:style>
  <w:style w:type="paragraph" w:customStyle="1" w:styleId="xl122">
    <w:name w:val="xl122"/>
    <w:basedOn w:val="Normal"/>
    <w:rsid w:val="000217AC"/>
    <w:pPr>
      <w:pBdr>
        <w:top w:val="single" w:sz="4" w:space="0" w:color="auto"/>
        <w:lef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3">
    <w:name w:val="xl123"/>
    <w:basedOn w:val="Normal"/>
    <w:rsid w:val="000217A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4">
    <w:name w:val="xl124"/>
    <w:basedOn w:val="Normal"/>
    <w:rsid w:val="000217AC"/>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5">
    <w:name w:val="xl125"/>
    <w:basedOn w:val="Normal"/>
    <w:rsid w:val="000217AC"/>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6">
    <w:name w:val="xl126"/>
    <w:basedOn w:val="Normal"/>
    <w:rsid w:val="000217A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7">
    <w:name w:val="xl127"/>
    <w:basedOn w:val="Normal"/>
    <w:rsid w:val="000217A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8">
    <w:name w:val="xl128"/>
    <w:basedOn w:val="Normal"/>
    <w:rsid w:val="000217AC"/>
    <w:pPr>
      <w:pBdr>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9">
    <w:name w:val="xl129"/>
    <w:basedOn w:val="Normal"/>
    <w:rsid w:val="000217AC"/>
    <w:pPr>
      <w:pBdr>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30">
    <w:name w:val="xl130"/>
    <w:basedOn w:val="Normal"/>
    <w:rsid w:val="000217AC"/>
    <w:pPr>
      <w:pBdr>
        <w:right w:val="single" w:sz="4" w:space="0" w:color="auto"/>
      </w:pBdr>
      <w:spacing w:before="100" w:beforeAutospacing="1" w:after="100" w:afterAutospacing="1"/>
      <w:jc w:val="right"/>
    </w:pPr>
    <w:rPr>
      <w:rFonts w:ascii="Arial" w:hAnsi="Arial" w:cs="Arial"/>
      <w:b/>
      <w:bCs/>
      <w:sz w:val="16"/>
      <w:szCs w:val="16"/>
      <w:lang w:val="es-MX" w:eastAsia="es-MX"/>
    </w:rPr>
  </w:style>
  <w:style w:type="paragraph" w:customStyle="1" w:styleId="xl131">
    <w:name w:val="xl131"/>
    <w:basedOn w:val="Normal"/>
    <w:rsid w:val="000217A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2">
    <w:name w:val="xl132"/>
    <w:basedOn w:val="Normal"/>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4">
    <w:name w:val="xl134"/>
    <w:basedOn w:val="Normal"/>
    <w:rsid w:val="000217AC"/>
    <w:pPr>
      <w:spacing w:before="100" w:beforeAutospacing="1" w:after="100" w:afterAutospacing="1"/>
      <w:textAlignment w:val="top"/>
    </w:pPr>
    <w:rPr>
      <w:rFonts w:ascii="Arial" w:hAnsi="Arial" w:cs="Arial"/>
      <w:sz w:val="20"/>
      <w:szCs w:val="20"/>
      <w:lang w:val="es-MX" w:eastAsia="es-MX"/>
    </w:rPr>
  </w:style>
  <w:style w:type="paragraph" w:customStyle="1" w:styleId="xl135">
    <w:name w:val="xl135"/>
    <w:basedOn w:val="Normal"/>
    <w:rsid w:val="000217A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0217A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0217AC"/>
    <w:pPr>
      <w:pBdr>
        <w:lef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8">
    <w:name w:val="xl138"/>
    <w:basedOn w:val="Normal"/>
    <w:rsid w:val="000217A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0217A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40">
    <w:name w:val="xl140"/>
    <w:basedOn w:val="Normal"/>
    <w:rsid w:val="000217A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ROMANOS">
    <w:name w:val="ROMANOS"/>
    <w:basedOn w:val="Normal"/>
    <w:rsid w:val="00483577"/>
    <w:pPr>
      <w:tabs>
        <w:tab w:val="left" w:pos="720"/>
      </w:tabs>
      <w:spacing w:after="101" w:line="216" w:lineRule="exact"/>
      <w:ind w:left="720" w:hanging="432"/>
      <w:jc w:val="both"/>
    </w:pPr>
    <w:rPr>
      <w:rFonts w:ascii="Arial" w:hAnsi="Arial" w:cs="Arial"/>
      <w:sz w:val="18"/>
      <w:szCs w:val="18"/>
      <w:lang w:val="es-MX" w:eastAsia="es-MX"/>
    </w:rPr>
  </w:style>
  <w:style w:type="paragraph" w:customStyle="1" w:styleId="INCISO">
    <w:name w:val="INCISO"/>
    <w:basedOn w:val="Normal"/>
    <w:rsid w:val="00483577"/>
    <w:pPr>
      <w:tabs>
        <w:tab w:val="left" w:pos="1080"/>
      </w:tabs>
      <w:spacing w:after="101" w:line="216" w:lineRule="exact"/>
      <w:ind w:left="1080" w:hanging="360"/>
      <w:jc w:val="both"/>
    </w:pPr>
    <w:rPr>
      <w:rFonts w:ascii="Arial" w:hAnsi="Arial" w:cs="Arial"/>
      <w:sz w:val="18"/>
      <w:szCs w:val="18"/>
      <w:lang w:val="es-MX" w:eastAsia="es-MX"/>
    </w:rPr>
  </w:style>
  <w:style w:type="table" w:styleId="Sombreadoclaro-nfasis6">
    <w:name w:val="Light Shading Accent 6"/>
    <w:basedOn w:val="Tablanormal"/>
    <w:uiPriority w:val="60"/>
    <w:rsid w:val="00DB3E5C"/>
    <w:rPr>
      <w:rFonts w:ascii="Times New Roman" w:eastAsia="Times New Roman" w:hAnsi="Times New Roman"/>
      <w:color w:val="E36C0A" w:themeColor="accent6" w:themeShade="BF"/>
      <w:lang w:val="es-MX" w:eastAsia="es-MX"/>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6">
    <w:name w:val="Light Grid Accent 6"/>
    <w:basedOn w:val="Tablanormal"/>
    <w:uiPriority w:val="62"/>
    <w:rsid w:val="00DB3E5C"/>
    <w:rPr>
      <w:rFonts w:ascii="Times New Roman" w:eastAsia="Times New Roman" w:hAnsi="Times New Roman"/>
      <w:lang w:val="es-MX" w:eastAsia="es-MX"/>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xl84">
    <w:name w:val="xl84"/>
    <w:basedOn w:val="Normal"/>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5">
    <w:name w:val="xl85"/>
    <w:basedOn w:val="Normal"/>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6">
    <w:name w:val="xl86"/>
    <w:basedOn w:val="Normal"/>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7">
    <w:name w:val="xl87"/>
    <w:basedOn w:val="Normal"/>
    <w:rsid w:val="0094786A"/>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8">
    <w:name w:val="xl88"/>
    <w:basedOn w:val="Normal"/>
    <w:rsid w:val="0094786A"/>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9">
    <w:name w:val="xl89"/>
    <w:basedOn w:val="Normal"/>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0">
    <w:name w:val="xl90"/>
    <w:basedOn w:val="Normal"/>
    <w:rsid w:val="0094786A"/>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1">
    <w:name w:val="xl91"/>
    <w:basedOn w:val="Normal"/>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2">
    <w:name w:val="xl92"/>
    <w:basedOn w:val="Normal"/>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3">
    <w:name w:val="xl93"/>
    <w:basedOn w:val="Normal"/>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4">
    <w:name w:val="xl94"/>
    <w:basedOn w:val="Normal"/>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5">
    <w:name w:val="xl95"/>
    <w:basedOn w:val="Normal"/>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6">
    <w:name w:val="xl96"/>
    <w:basedOn w:val="Normal"/>
    <w:rsid w:val="0094786A"/>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7">
    <w:name w:val="xl97"/>
    <w:basedOn w:val="Normal"/>
    <w:rsid w:val="0094786A"/>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table" w:customStyle="1" w:styleId="Tablaconcuadrcula1">
    <w:name w:val="Tabla con cuadrícula1"/>
    <w:basedOn w:val="Tablanormal"/>
    <w:next w:val="Tablaconcuadrcula"/>
    <w:uiPriority w:val="59"/>
    <w:rsid w:val="00FB2FA5"/>
    <w:rPr>
      <w:rFonts w:ascii="Calibri" w:eastAsia="Calibri" w:hAnsi="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uentedeprrafopredeter"/>
    <w:rsid w:val="00EE5CF1"/>
  </w:style>
  <w:style w:type="paragraph" w:styleId="Revisin">
    <w:name w:val="Revision"/>
    <w:hidden/>
    <w:uiPriority w:val="71"/>
    <w:rsid w:val="00EE5CF1"/>
    <w:rPr>
      <w:rFonts w:ascii="Helvetica" w:eastAsia="Times New Roman" w:hAnsi="Helvetica"/>
      <w:sz w:val="24"/>
      <w:szCs w:val="24"/>
    </w:rPr>
  </w:style>
  <w:style w:type="paragraph" w:customStyle="1" w:styleId="Texto">
    <w:name w:val="Texto"/>
    <w:basedOn w:val="Normal"/>
    <w:link w:val="TextoCar"/>
    <w:qFormat/>
    <w:rsid w:val="00EE5CF1"/>
    <w:pPr>
      <w:spacing w:after="101" w:line="216" w:lineRule="exact"/>
      <w:ind w:firstLine="288"/>
      <w:jc w:val="both"/>
    </w:pPr>
    <w:rPr>
      <w:rFonts w:ascii="Arial" w:hAnsi="Arial" w:cs="Arial"/>
      <w:sz w:val="18"/>
      <w:szCs w:val="18"/>
      <w:lang w:val="es-MX" w:eastAsia="es-MX"/>
    </w:rPr>
  </w:style>
  <w:style w:type="character" w:customStyle="1" w:styleId="TextoCar">
    <w:name w:val="Texto Car"/>
    <w:link w:val="Texto"/>
    <w:locked/>
    <w:rsid w:val="00EE5CF1"/>
    <w:rPr>
      <w:rFonts w:ascii="Arial" w:eastAsia="Times New Roman" w:hAnsi="Arial" w:cs="Arial"/>
      <w:sz w:val="18"/>
      <w:szCs w:val="18"/>
      <w:lang w:val="es-MX" w:eastAsia="es-MX"/>
    </w:rPr>
  </w:style>
  <w:style w:type="paragraph" w:customStyle="1" w:styleId="Encabezadodetabladecontenido">
    <w:name w:val="Encabezado de tabla de contenido"/>
    <w:basedOn w:val="Ttulo1"/>
    <w:next w:val="Normal"/>
    <w:uiPriority w:val="39"/>
    <w:unhideWhenUsed/>
    <w:qFormat/>
    <w:rsid w:val="00812F69"/>
    <w:pPr>
      <w:keepLines/>
      <w:spacing w:before="480" w:line="276" w:lineRule="auto"/>
      <w:jc w:val="left"/>
      <w:outlineLvl w:val="9"/>
    </w:pPr>
    <w:rPr>
      <w:rFonts w:ascii="Cambria" w:hAnsi="Cambria"/>
      <w:bCs/>
      <w:color w:val="365F91"/>
      <w:sz w:val="28"/>
      <w:szCs w:val="28"/>
      <w:lang w:eastAsia="en-US"/>
    </w:rPr>
  </w:style>
  <w:style w:type="paragraph" w:customStyle="1" w:styleId="xl98">
    <w:name w:val="xl98"/>
    <w:basedOn w:val="Normal"/>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99">
    <w:name w:val="xl99"/>
    <w:basedOn w:val="Normal"/>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0">
    <w:name w:val="xl100"/>
    <w:basedOn w:val="Normal"/>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1">
    <w:name w:val="xl101"/>
    <w:basedOn w:val="Normal"/>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2">
    <w:name w:val="xl102"/>
    <w:basedOn w:val="Normal"/>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3">
    <w:name w:val="xl103"/>
    <w:basedOn w:val="Normal"/>
    <w:rsid w:val="00812F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4">
    <w:name w:val="xl104"/>
    <w:basedOn w:val="Normal"/>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5">
    <w:name w:val="xl105"/>
    <w:basedOn w:val="Normal"/>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6">
    <w:name w:val="xl106"/>
    <w:basedOn w:val="Normal"/>
    <w:rsid w:val="00812F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7">
    <w:name w:val="xl107"/>
    <w:basedOn w:val="Normal"/>
    <w:rsid w:val="00812F69"/>
    <w:pPr>
      <w:pBdr>
        <w:top w:val="single" w:sz="4" w:space="0" w:color="auto"/>
        <w:left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8">
    <w:name w:val="xl108"/>
    <w:basedOn w:val="Normal"/>
    <w:rsid w:val="00812F69"/>
    <w:pPr>
      <w:pBdr>
        <w:top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9">
    <w:name w:val="xl109"/>
    <w:basedOn w:val="Normal"/>
    <w:rsid w:val="00812F69"/>
    <w:pPr>
      <w:pBdr>
        <w:top w:val="single" w:sz="4" w:space="0" w:color="auto"/>
        <w:bottom w:val="single" w:sz="4" w:space="0" w:color="auto"/>
        <w:right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10">
    <w:name w:val="xl110"/>
    <w:basedOn w:val="Normal"/>
    <w:rsid w:val="00812F69"/>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1">
    <w:name w:val="xl111"/>
    <w:basedOn w:val="Normal"/>
    <w:rsid w:val="00812F69"/>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2">
    <w:name w:val="xl112"/>
    <w:basedOn w:val="Normal"/>
    <w:rsid w:val="00812F69"/>
    <w:pPr>
      <w:pBdr>
        <w:top w:val="single" w:sz="8" w:space="0" w:color="auto"/>
        <w:left w:val="single" w:sz="4" w:space="0" w:color="auto"/>
        <w:bottom w:val="single" w:sz="8" w:space="0" w:color="auto"/>
        <w:right w:val="single" w:sz="8"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UPTITULOSJAVIER">
    <w:name w:val="SUPTITULOS JAVIER"/>
    <w:basedOn w:val="Normal"/>
    <w:link w:val="SUPTITULOSJAVIERCar"/>
    <w:qFormat/>
    <w:rsid w:val="00812F69"/>
    <w:pPr>
      <w:spacing w:after="200" w:line="22" w:lineRule="atLeast"/>
      <w:contextualSpacing/>
      <w:jc w:val="both"/>
    </w:pPr>
    <w:rPr>
      <w:rFonts w:ascii="Arial" w:hAnsi="Arial" w:cs="Arial"/>
      <w:b/>
      <w:spacing w:val="20"/>
    </w:rPr>
  </w:style>
  <w:style w:type="character" w:customStyle="1" w:styleId="SUPTITULOSJAVIERCar">
    <w:name w:val="SUPTITULOS JAVIER Car"/>
    <w:link w:val="SUPTITULOSJAVIER"/>
    <w:rsid w:val="00812F69"/>
    <w:rPr>
      <w:rFonts w:ascii="Arial" w:eastAsia="Times New Roman" w:hAnsi="Arial" w:cs="Arial"/>
      <w:b/>
      <w:spacing w:val="20"/>
      <w:sz w:val="24"/>
      <w:szCs w:val="24"/>
    </w:rPr>
  </w:style>
  <w:style w:type="paragraph" w:customStyle="1" w:styleId="TEXTOJAVIER">
    <w:name w:val="TEXTO JAVIER"/>
    <w:basedOn w:val="Normal"/>
    <w:link w:val="TEXTOJAVIERCar"/>
    <w:qFormat/>
    <w:rsid w:val="00812F69"/>
    <w:pPr>
      <w:spacing w:line="360" w:lineRule="auto"/>
      <w:jc w:val="both"/>
    </w:pPr>
    <w:rPr>
      <w:rFonts w:ascii="Arial" w:hAnsi="Arial" w:cs="Arial"/>
      <w:bCs/>
      <w:sz w:val="22"/>
      <w:szCs w:val="22"/>
    </w:rPr>
  </w:style>
  <w:style w:type="character" w:customStyle="1" w:styleId="TEXTOJAVIERCar">
    <w:name w:val="TEXTO JAVIER Car"/>
    <w:link w:val="TEXTOJAVIER"/>
    <w:rsid w:val="00812F69"/>
    <w:rPr>
      <w:rFonts w:ascii="Arial" w:eastAsia="Times New Roman" w:hAnsi="Arial" w:cs="Arial"/>
      <w:bCs/>
      <w:sz w:val="22"/>
      <w:szCs w:val="22"/>
    </w:rPr>
  </w:style>
  <w:style w:type="character" w:customStyle="1" w:styleId="PuestoCar">
    <w:name w:val="Puesto Car"/>
    <w:link w:val="Puesto"/>
    <w:rsid w:val="00812F69"/>
    <w:rPr>
      <w:rFonts w:ascii="Arial" w:eastAsia="Times New Roman" w:hAnsi="Arial"/>
      <w:b/>
      <w:sz w:val="24"/>
      <w:lang w:val="es-ES" w:eastAsia="es-ES"/>
    </w:rPr>
  </w:style>
  <w:style w:type="paragraph" w:customStyle="1" w:styleId="Puesto">
    <w:name w:val="Puesto"/>
    <w:basedOn w:val="Normal"/>
    <w:link w:val="PuestoCar"/>
    <w:qFormat/>
    <w:rsid w:val="005B10A6"/>
    <w:pPr>
      <w:jc w:val="center"/>
    </w:pPr>
    <w:rPr>
      <w:rFonts w:ascii="Arial" w:hAnsi="Arial"/>
      <w:b/>
      <w:szCs w:val="20"/>
    </w:rPr>
  </w:style>
  <w:style w:type="paragraph" w:customStyle="1" w:styleId="paragraph">
    <w:name w:val="paragraph"/>
    <w:basedOn w:val="Normal"/>
    <w:rsid w:val="00812F69"/>
    <w:pPr>
      <w:spacing w:before="100" w:beforeAutospacing="1" w:after="100" w:afterAutospacing="1"/>
    </w:pPr>
    <w:rPr>
      <w:rFonts w:ascii="Times New Roman" w:hAnsi="Times New Roman"/>
      <w:lang w:val="es-MX" w:eastAsia="es-MX"/>
    </w:rPr>
  </w:style>
  <w:style w:type="character" w:customStyle="1" w:styleId="eop">
    <w:name w:val="eop"/>
    <w:basedOn w:val="Fuentedeprrafopredeter"/>
    <w:rsid w:val="00812F69"/>
  </w:style>
  <w:style w:type="character" w:customStyle="1" w:styleId="normaltextrun">
    <w:name w:val="normaltextrun"/>
    <w:basedOn w:val="Fuentedeprrafopredeter"/>
    <w:rsid w:val="00812F69"/>
  </w:style>
  <w:style w:type="character" w:customStyle="1" w:styleId="apple-converted-space">
    <w:name w:val="apple-converted-space"/>
    <w:basedOn w:val="Fuentedeprrafopredeter"/>
    <w:rsid w:val="00812F69"/>
  </w:style>
  <w:style w:type="character" w:customStyle="1" w:styleId="scx260945857">
    <w:name w:val="scx260945857"/>
    <w:basedOn w:val="Fuentedeprrafopredeter"/>
    <w:rsid w:val="00812F69"/>
  </w:style>
  <w:style w:type="character" w:customStyle="1" w:styleId="spellingerror">
    <w:name w:val="spellingerror"/>
    <w:basedOn w:val="Fuentedeprrafopredeter"/>
    <w:rsid w:val="00812F69"/>
  </w:style>
  <w:style w:type="paragraph" w:customStyle="1" w:styleId="xl113">
    <w:name w:val="xl113"/>
    <w:basedOn w:val="Normal"/>
    <w:rsid w:val="00E474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table" w:styleId="Sombreadomedio1-nfasis3">
    <w:name w:val="Medium Shading 1 Accent 3"/>
    <w:basedOn w:val="Tablanormal"/>
    <w:uiPriority w:val="63"/>
    <w:rsid w:val="00133065"/>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TextocomentarioCar1">
    <w:name w:val="Texto comentario Car1"/>
    <w:basedOn w:val="Fuentedeprrafopredeter"/>
    <w:uiPriority w:val="99"/>
    <w:semiHidden/>
    <w:rsid w:val="00133065"/>
    <w:rPr>
      <w:rFonts w:ascii="Helvetica" w:eastAsia="Times New Roman" w:hAnsi="Helvetica"/>
    </w:rPr>
  </w:style>
  <w:style w:type="character" w:customStyle="1" w:styleId="AsuntodelcomentarioCar1">
    <w:name w:val="Asunto del comentario Car1"/>
    <w:basedOn w:val="TextocomentarioCar1"/>
    <w:uiPriority w:val="99"/>
    <w:semiHidden/>
    <w:rsid w:val="00133065"/>
    <w:rPr>
      <w:b/>
      <w:bCs/>
    </w:rPr>
  </w:style>
  <w:style w:type="paragraph" w:customStyle="1" w:styleId="xl141">
    <w:name w:val="xl141"/>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2">
    <w:name w:val="xl142"/>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3">
    <w:name w:val="xl143"/>
    <w:basedOn w:val="Normal"/>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4">
    <w:name w:val="xl144"/>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es-MX" w:eastAsia="es-MX"/>
    </w:rPr>
  </w:style>
  <w:style w:type="paragraph" w:customStyle="1" w:styleId="xl146">
    <w:name w:val="xl146"/>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48">
    <w:name w:val="xl148"/>
    <w:basedOn w:val="Normal"/>
    <w:rsid w:val="00133065"/>
    <w:pPr>
      <w:pBdr>
        <w:top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49">
    <w:name w:val="xl149"/>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Arial" w:hAnsi="Arial" w:cs="Arial"/>
      <w:b/>
      <w:bCs/>
      <w:color w:val="000000"/>
      <w:sz w:val="16"/>
      <w:szCs w:val="16"/>
      <w:lang w:val="es-MX" w:eastAsia="es-MX"/>
    </w:rPr>
  </w:style>
  <w:style w:type="paragraph" w:customStyle="1" w:styleId="xl150">
    <w:name w:val="xl150"/>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1">
    <w:name w:val="xl151"/>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2">
    <w:name w:val="xl152"/>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3">
    <w:name w:val="xl153"/>
    <w:basedOn w:val="Normal"/>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4">
    <w:name w:val="xl154"/>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5">
    <w:name w:val="xl155"/>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56">
    <w:name w:val="xl156"/>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7">
    <w:name w:val="xl157"/>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59">
    <w:name w:val="xl159"/>
    <w:basedOn w:val="Normal"/>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60">
    <w:name w:val="xl160"/>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61">
    <w:name w:val="xl161"/>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2">
    <w:name w:val="xl162"/>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63">
    <w:name w:val="xl163"/>
    <w:basedOn w:val="Normal"/>
    <w:rsid w:val="00133065"/>
    <w:pPr>
      <w:pBdr>
        <w:top w:val="single" w:sz="4" w:space="0" w:color="auto"/>
        <w:lef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4">
    <w:name w:val="xl164"/>
    <w:basedOn w:val="Normal"/>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5">
    <w:name w:val="xl165"/>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6">
    <w:name w:val="xl166"/>
    <w:basedOn w:val="Normal"/>
    <w:rsid w:val="00133065"/>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7">
    <w:name w:val="xl167"/>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8">
    <w:name w:val="xl168"/>
    <w:basedOn w:val="Normal"/>
    <w:rsid w:val="001330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69">
    <w:name w:val="xl169"/>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0">
    <w:name w:val="xl170"/>
    <w:basedOn w:val="Normal"/>
    <w:rsid w:val="001330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1">
    <w:name w:val="xl171"/>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72">
    <w:name w:val="xl172"/>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3">
    <w:name w:val="xl173"/>
    <w:basedOn w:val="Normal"/>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4">
    <w:name w:val="xl174"/>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75">
    <w:name w:val="xl175"/>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6">
    <w:name w:val="xl176"/>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7">
    <w:name w:val="xl177"/>
    <w:basedOn w:val="Normal"/>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8">
    <w:name w:val="xl178"/>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79">
    <w:name w:val="xl179"/>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80">
    <w:name w:val="xl180"/>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2">
    <w:name w:val="xl182"/>
    <w:basedOn w:val="Normal"/>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3">
    <w:name w:val="xl183"/>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84">
    <w:name w:val="xl184"/>
    <w:basedOn w:val="Normal"/>
    <w:rsid w:val="001330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85">
    <w:name w:val="xl185"/>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86">
    <w:name w:val="xl186"/>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7">
    <w:name w:val="xl187"/>
    <w:basedOn w:val="Normal"/>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8">
    <w:name w:val="xl188"/>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89">
    <w:name w:val="xl189"/>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0">
    <w:name w:val="xl190"/>
    <w:basedOn w:val="Normal"/>
    <w:rsid w:val="00133065"/>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1">
    <w:name w:val="xl191"/>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92">
    <w:name w:val="xl192"/>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3">
    <w:name w:val="xl193"/>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194">
    <w:name w:val="xl194"/>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5">
    <w:name w:val="xl195"/>
    <w:basedOn w:val="Normal"/>
    <w:rsid w:val="00133065"/>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133065"/>
    <w:pPr>
      <w:pBdr>
        <w:top w:val="single" w:sz="4" w:space="0" w:color="auto"/>
        <w:bottom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133065"/>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1330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Descripcin">
    <w:name w:val="Descripción"/>
    <w:basedOn w:val="Normal"/>
    <w:next w:val="Normal"/>
    <w:qFormat/>
    <w:rsid w:val="005B10A6"/>
    <w:pPr>
      <w:spacing w:before="120" w:after="120"/>
    </w:pPr>
    <w:rPr>
      <w:rFonts w:ascii="Times New Roman" w:hAnsi="Times New Roman"/>
      <w:b/>
      <w:bCs/>
      <w:sz w:val="20"/>
      <w:szCs w:val="20"/>
      <w:lang w:val="es-MX"/>
    </w:rPr>
  </w:style>
  <w:style w:type="paragraph" w:styleId="Textonotaalfinal">
    <w:name w:val="endnote text"/>
    <w:basedOn w:val="Normal"/>
    <w:link w:val="TextonotaalfinalCar"/>
    <w:uiPriority w:val="99"/>
    <w:semiHidden/>
    <w:unhideWhenUsed/>
    <w:rsid w:val="005B10A6"/>
    <w:rPr>
      <w:sz w:val="20"/>
      <w:szCs w:val="20"/>
    </w:rPr>
  </w:style>
  <w:style w:type="character" w:customStyle="1" w:styleId="TextonotaalfinalCar">
    <w:name w:val="Texto nota al final Car"/>
    <w:basedOn w:val="Fuentedeprrafopredeter"/>
    <w:link w:val="Textonotaalfinal"/>
    <w:uiPriority w:val="99"/>
    <w:semiHidden/>
    <w:rsid w:val="005B10A6"/>
    <w:rPr>
      <w:rFonts w:ascii="Helvetica" w:eastAsia="Times New Roman" w:hAnsi="Helvetica"/>
    </w:rPr>
  </w:style>
  <w:style w:type="character" w:customStyle="1" w:styleId="highlight">
    <w:name w:val="highlight"/>
    <w:basedOn w:val="Fuentedeprrafopredeter"/>
    <w:rsid w:val="005B10A6"/>
  </w:style>
  <w:style w:type="paragraph" w:customStyle="1" w:styleId="desc">
    <w:name w:val="desc"/>
    <w:basedOn w:val="Normal"/>
    <w:rsid w:val="00E33957"/>
    <w:pPr>
      <w:spacing w:before="100" w:beforeAutospacing="1" w:after="100" w:afterAutospacing="1"/>
    </w:pPr>
    <w:rPr>
      <w:rFonts w:ascii="Times New Roman" w:hAnsi="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748738">
      <w:bodyDiv w:val="1"/>
      <w:marLeft w:val="0"/>
      <w:marRight w:val="0"/>
      <w:marTop w:val="0"/>
      <w:marBottom w:val="0"/>
      <w:divBdr>
        <w:top w:val="none" w:sz="0" w:space="0" w:color="auto"/>
        <w:left w:val="none" w:sz="0" w:space="0" w:color="auto"/>
        <w:bottom w:val="none" w:sz="0" w:space="0" w:color="auto"/>
        <w:right w:val="none" w:sz="0" w:space="0" w:color="auto"/>
      </w:divBdr>
    </w:div>
    <w:div w:id="71007719">
      <w:bodyDiv w:val="1"/>
      <w:marLeft w:val="0"/>
      <w:marRight w:val="0"/>
      <w:marTop w:val="0"/>
      <w:marBottom w:val="0"/>
      <w:divBdr>
        <w:top w:val="none" w:sz="0" w:space="0" w:color="auto"/>
        <w:left w:val="none" w:sz="0" w:space="0" w:color="auto"/>
        <w:bottom w:val="none" w:sz="0" w:space="0" w:color="auto"/>
        <w:right w:val="none" w:sz="0" w:space="0" w:color="auto"/>
      </w:divBdr>
    </w:div>
    <w:div w:id="86317128">
      <w:bodyDiv w:val="1"/>
      <w:marLeft w:val="0"/>
      <w:marRight w:val="0"/>
      <w:marTop w:val="0"/>
      <w:marBottom w:val="0"/>
      <w:divBdr>
        <w:top w:val="none" w:sz="0" w:space="0" w:color="auto"/>
        <w:left w:val="none" w:sz="0" w:space="0" w:color="auto"/>
        <w:bottom w:val="none" w:sz="0" w:space="0" w:color="auto"/>
        <w:right w:val="none" w:sz="0" w:space="0" w:color="auto"/>
      </w:divBdr>
    </w:div>
    <w:div w:id="95369093">
      <w:bodyDiv w:val="1"/>
      <w:marLeft w:val="0"/>
      <w:marRight w:val="0"/>
      <w:marTop w:val="0"/>
      <w:marBottom w:val="0"/>
      <w:divBdr>
        <w:top w:val="none" w:sz="0" w:space="0" w:color="auto"/>
        <w:left w:val="none" w:sz="0" w:space="0" w:color="auto"/>
        <w:bottom w:val="none" w:sz="0" w:space="0" w:color="auto"/>
        <w:right w:val="none" w:sz="0" w:space="0" w:color="auto"/>
      </w:divBdr>
    </w:div>
    <w:div w:id="125004869">
      <w:bodyDiv w:val="1"/>
      <w:marLeft w:val="0"/>
      <w:marRight w:val="0"/>
      <w:marTop w:val="0"/>
      <w:marBottom w:val="0"/>
      <w:divBdr>
        <w:top w:val="none" w:sz="0" w:space="0" w:color="auto"/>
        <w:left w:val="none" w:sz="0" w:space="0" w:color="auto"/>
        <w:bottom w:val="none" w:sz="0" w:space="0" w:color="auto"/>
        <w:right w:val="none" w:sz="0" w:space="0" w:color="auto"/>
      </w:divBdr>
    </w:div>
    <w:div w:id="130907332">
      <w:bodyDiv w:val="1"/>
      <w:marLeft w:val="0"/>
      <w:marRight w:val="0"/>
      <w:marTop w:val="0"/>
      <w:marBottom w:val="0"/>
      <w:divBdr>
        <w:top w:val="none" w:sz="0" w:space="0" w:color="auto"/>
        <w:left w:val="none" w:sz="0" w:space="0" w:color="auto"/>
        <w:bottom w:val="none" w:sz="0" w:space="0" w:color="auto"/>
        <w:right w:val="none" w:sz="0" w:space="0" w:color="auto"/>
      </w:divBdr>
    </w:div>
    <w:div w:id="155804459">
      <w:bodyDiv w:val="1"/>
      <w:marLeft w:val="0"/>
      <w:marRight w:val="0"/>
      <w:marTop w:val="0"/>
      <w:marBottom w:val="0"/>
      <w:divBdr>
        <w:top w:val="none" w:sz="0" w:space="0" w:color="auto"/>
        <w:left w:val="none" w:sz="0" w:space="0" w:color="auto"/>
        <w:bottom w:val="none" w:sz="0" w:space="0" w:color="auto"/>
        <w:right w:val="none" w:sz="0" w:space="0" w:color="auto"/>
      </w:divBdr>
    </w:div>
    <w:div w:id="198475435">
      <w:bodyDiv w:val="1"/>
      <w:marLeft w:val="0"/>
      <w:marRight w:val="0"/>
      <w:marTop w:val="0"/>
      <w:marBottom w:val="0"/>
      <w:divBdr>
        <w:top w:val="none" w:sz="0" w:space="0" w:color="auto"/>
        <w:left w:val="none" w:sz="0" w:space="0" w:color="auto"/>
        <w:bottom w:val="none" w:sz="0" w:space="0" w:color="auto"/>
        <w:right w:val="none" w:sz="0" w:space="0" w:color="auto"/>
      </w:divBdr>
    </w:div>
    <w:div w:id="213154849">
      <w:bodyDiv w:val="1"/>
      <w:marLeft w:val="0"/>
      <w:marRight w:val="0"/>
      <w:marTop w:val="0"/>
      <w:marBottom w:val="0"/>
      <w:divBdr>
        <w:top w:val="none" w:sz="0" w:space="0" w:color="auto"/>
        <w:left w:val="none" w:sz="0" w:space="0" w:color="auto"/>
        <w:bottom w:val="none" w:sz="0" w:space="0" w:color="auto"/>
        <w:right w:val="none" w:sz="0" w:space="0" w:color="auto"/>
      </w:divBdr>
    </w:div>
    <w:div w:id="235359205">
      <w:bodyDiv w:val="1"/>
      <w:marLeft w:val="0"/>
      <w:marRight w:val="0"/>
      <w:marTop w:val="0"/>
      <w:marBottom w:val="0"/>
      <w:divBdr>
        <w:top w:val="none" w:sz="0" w:space="0" w:color="auto"/>
        <w:left w:val="none" w:sz="0" w:space="0" w:color="auto"/>
        <w:bottom w:val="none" w:sz="0" w:space="0" w:color="auto"/>
        <w:right w:val="none" w:sz="0" w:space="0" w:color="auto"/>
      </w:divBdr>
    </w:div>
    <w:div w:id="271713621">
      <w:bodyDiv w:val="1"/>
      <w:marLeft w:val="0"/>
      <w:marRight w:val="0"/>
      <w:marTop w:val="0"/>
      <w:marBottom w:val="0"/>
      <w:divBdr>
        <w:top w:val="none" w:sz="0" w:space="0" w:color="auto"/>
        <w:left w:val="none" w:sz="0" w:space="0" w:color="auto"/>
        <w:bottom w:val="none" w:sz="0" w:space="0" w:color="auto"/>
        <w:right w:val="none" w:sz="0" w:space="0" w:color="auto"/>
      </w:divBdr>
    </w:div>
    <w:div w:id="289635756">
      <w:bodyDiv w:val="1"/>
      <w:marLeft w:val="0"/>
      <w:marRight w:val="0"/>
      <w:marTop w:val="0"/>
      <w:marBottom w:val="0"/>
      <w:divBdr>
        <w:top w:val="none" w:sz="0" w:space="0" w:color="auto"/>
        <w:left w:val="none" w:sz="0" w:space="0" w:color="auto"/>
        <w:bottom w:val="none" w:sz="0" w:space="0" w:color="auto"/>
        <w:right w:val="none" w:sz="0" w:space="0" w:color="auto"/>
      </w:divBdr>
    </w:div>
    <w:div w:id="296959622">
      <w:bodyDiv w:val="1"/>
      <w:marLeft w:val="0"/>
      <w:marRight w:val="0"/>
      <w:marTop w:val="0"/>
      <w:marBottom w:val="0"/>
      <w:divBdr>
        <w:top w:val="none" w:sz="0" w:space="0" w:color="auto"/>
        <w:left w:val="none" w:sz="0" w:space="0" w:color="auto"/>
        <w:bottom w:val="none" w:sz="0" w:space="0" w:color="auto"/>
        <w:right w:val="none" w:sz="0" w:space="0" w:color="auto"/>
      </w:divBdr>
    </w:div>
    <w:div w:id="306474902">
      <w:bodyDiv w:val="1"/>
      <w:marLeft w:val="0"/>
      <w:marRight w:val="0"/>
      <w:marTop w:val="0"/>
      <w:marBottom w:val="0"/>
      <w:divBdr>
        <w:top w:val="none" w:sz="0" w:space="0" w:color="auto"/>
        <w:left w:val="none" w:sz="0" w:space="0" w:color="auto"/>
        <w:bottom w:val="none" w:sz="0" w:space="0" w:color="auto"/>
        <w:right w:val="none" w:sz="0" w:space="0" w:color="auto"/>
      </w:divBdr>
    </w:div>
    <w:div w:id="307324259">
      <w:bodyDiv w:val="1"/>
      <w:marLeft w:val="0"/>
      <w:marRight w:val="0"/>
      <w:marTop w:val="0"/>
      <w:marBottom w:val="0"/>
      <w:divBdr>
        <w:top w:val="none" w:sz="0" w:space="0" w:color="auto"/>
        <w:left w:val="none" w:sz="0" w:space="0" w:color="auto"/>
        <w:bottom w:val="none" w:sz="0" w:space="0" w:color="auto"/>
        <w:right w:val="none" w:sz="0" w:space="0" w:color="auto"/>
      </w:divBdr>
    </w:div>
    <w:div w:id="335616082">
      <w:bodyDiv w:val="1"/>
      <w:marLeft w:val="0"/>
      <w:marRight w:val="0"/>
      <w:marTop w:val="0"/>
      <w:marBottom w:val="0"/>
      <w:divBdr>
        <w:top w:val="none" w:sz="0" w:space="0" w:color="auto"/>
        <w:left w:val="none" w:sz="0" w:space="0" w:color="auto"/>
        <w:bottom w:val="none" w:sz="0" w:space="0" w:color="auto"/>
        <w:right w:val="none" w:sz="0" w:space="0" w:color="auto"/>
      </w:divBdr>
    </w:div>
    <w:div w:id="343166649">
      <w:bodyDiv w:val="1"/>
      <w:marLeft w:val="0"/>
      <w:marRight w:val="0"/>
      <w:marTop w:val="0"/>
      <w:marBottom w:val="0"/>
      <w:divBdr>
        <w:top w:val="none" w:sz="0" w:space="0" w:color="auto"/>
        <w:left w:val="none" w:sz="0" w:space="0" w:color="auto"/>
        <w:bottom w:val="none" w:sz="0" w:space="0" w:color="auto"/>
        <w:right w:val="none" w:sz="0" w:space="0" w:color="auto"/>
      </w:divBdr>
    </w:div>
    <w:div w:id="363363776">
      <w:bodyDiv w:val="1"/>
      <w:marLeft w:val="0"/>
      <w:marRight w:val="0"/>
      <w:marTop w:val="0"/>
      <w:marBottom w:val="0"/>
      <w:divBdr>
        <w:top w:val="none" w:sz="0" w:space="0" w:color="auto"/>
        <w:left w:val="none" w:sz="0" w:space="0" w:color="auto"/>
        <w:bottom w:val="none" w:sz="0" w:space="0" w:color="auto"/>
        <w:right w:val="none" w:sz="0" w:space="0" w:color="auto"/>
      </w:divBdr>
    </w:div>
    <w:div w:id="415447370">
      <w:bodyDiv w:val="1"/>
      <w:marLeft w:val="0"/>
      <w:marRight w:val="0"/>
      <w:marTop w:val="0"/>
      <w:marBottom w:val="0"/>
      <w:divBdr>
        <w:top w:val="none" w:sz="0" w:space="0" w:color="auto"/>
        <w:left w:val="none" w:sz="0" w:space="0" w:color="auto"/>
        <w:bottom w:val="none" w:sz="0" w:space="0" w:color="auto"/>
        <w:right w:val="none" w:sz="0" w:space="0" w:color="auto"/>
      </w:divBdr>
    </w:div>
    <w:div w:id="423234646">
      <w:bodyDiv w:val="1"/>
      <w:marLeft w:val="0"/>
      <w:marRight w:val="0"/>
      <w:marTop w:val="0"/>
      <w:marBottom w:val="0"/>
      <w:divBdr>
        <w:top w:val="none" w:sz="0" w:space="0" w:color="auto"/>
        <w:left w:val="none" w:sz="0" w:space="0" w:color="auto"/>
        <w:bottom w:val="none" w:sz="0" w:space="0" w:color="auto"/>
        <w:right w:val="none" w:sz="0" w:space="0" w:color="auto"/>
      </w:divBdr>
    </w:div>
    <w:div w:id="430206657">
      <w:bodyDiv w:val="1"/>
      <w:marLeft w:val="0"/>
      <w:marRight w:val="0"/>
      <w:marTop w:val="0"/>
      <w:marBottom w:val="0"/>
      <w:divBdr>
        <w:top w:val="none" w:sz="0" w:space="0" w:color="auto"/>
        <w:left w:val="none" w:sz="0" w:space="0" w:color="auto"/>
        <w:bottom w:val="none" w:sz="0" w:space="0" w:color="auto"/>
        <w:right w:val="none" w:sz="0" w:space="0" w:color="auto"/>
      </w:divBdr>
    </w:div>
    <w:div w:id="437793334">
      <w:bodyDiv w:val="1"/>
      <w:marLeft w:val="0"/>
      <w:marRight w:val="0"/>
      <w:marTop w:val="0"/>
      <w:marBottom w:val="0"/>
      <w:divBdr>
        <w:top w:val="none" w:sz="0" w:space="0" w:color="auto"/>
        <w:left w:val="none" w:sz="0" w:space="0" w:color="auto"/>
        <w:bottom w:val="none" w:sz="0" w:space="0" w:color="auto"/>
        <w:right w:val="none" w:sz="0" w:space="0" w:color="auto"/>
      </w:divBdr>
    </w:div>
    <w:div w:id="440146219">
      <w:bodyDiv w:val="1"/>
      <w:marLeft w:val="0"/>
      <w:marRight w:val="0"/>
      <w:marTop w:val="0"/>
      <w:marBottom w:val="0"/>
      <w:divBdr>
        <w:top w:val="none" w:sz="0" w:space="0" w:color="auto"/>
        <w:left w:val="none" w:sz="0" w:space="0" w:color="auto"/>
        <w:bottom w:val="none" w:sz="0" w:space="0" w:color="auto"/>
        <w:right w:val="none" w:sz="0" w:space="0" w:color="auto"/>
      </w:divBdr>
    </w:div>
    <w:div w:id="464004744">
      <w:bodyDiv w:val="1"/>
      <w:marLeft w:val="0"/>
      <w:marRight w:val="0"/>
      <w:marTop w:val="0"/>
      <w:marBottom w:val="0"/>
      <w:divBdr>
        <w:top w:val="none" w:sz="0" w:space="0" w:color="auto"/>
        <w:left w:val="none" w:sz="0" w:space="0" w:color="auto"/>
        <w:bottom w:val="none" w:sz="0" w:space="0" w:color="auto"/>
        <w:right w:val="none" w:sz="0" w:space="0" w:color="auto"/>
      </w:divBdr>
    </w:div>
    <w:div w:id="477571831">
      <w:bodyDiv w:val="1"/>
      <w:marLeft w:val="0"/>
      <w:marRight w:val="0"/>
      <w:marTop w:val="0"/>
      <w:marBottom w:val="0"/>
      <w:divBdr>
        <w:top w:val="none" w:sz="0" w:space="0" w:color="auto"/>
        <w:left w:val="none" w:sz="0" w:space="0" w:color="auto"/>
        <w:bottom w:val="none" w:sz="0" w:space="0" w:color="auto"/>
        <w:right w:val="none" w:sz="0" w:space="0" w:color="auto"/>
      </w:divBdr>
    </w:div>
    <w:div w:id="478303670">
      <w:bodyDiv w:val="1"/>
      <w:marLeft w:val="0"/>
      <w:marRight w:val="0"/>
      <w:marTop w:val="0"/>
      <w:marBottom w:val="0"/>
      <w:divBdr>
        <w:top w:val="none" w:sz="0" w:space="0" w:color="auto"/>
        <w:left w:val="none" w:sz="0" w:space="0" w:color="auto"/>
        <w:bottom w:val="none" w:sz="0" w:space="0" w:color="auto"/>
        <w:right w:val="none" w:sz="0" w:space="0" w:color="auto"/>
      </w:divBdr>
    </w:div>
    <w:div w:id="483474408">
      <w:bodyDiv w:val="1"/>
      <w:marLeft w:val="0"/>
      <w:marRight w:val="0"/>
      <w:marTop w:val="0"/>
      <w:marBottom w:val="0"/>
      <w:divBdr>
        <w:top w:val="none" w:sz="0" w:space="0" w:color="auto"/>
        <w:left w:val="none" w:sz="0" w:space="0" w:color="auto"/>
        <w:bottom w:val="none" w:sz="0" w:space="0" w:color="auto"/>
        <w:right w:val="none" w:sz="0" w:space="0" w:color="auto"/>
      </w:divBdr>
    </w:div>
    <w:div w:id="515121597">
      <w:bodyDiv w:val="1"/>
      <w:marLeft w:val="0"/>
      <w:marRight w:val="0"/>
      <w:marTop w:val="0"/>
      <w:marBottom w:val="0"/>
      <w:divBdr>
        <w:top w:val="none" w:sz="0" w:space="0" w:color="auto"/>
        <w:left w:val="none" w:sz="0" w:space="0" w:color="auto"/>
        <w:bottom w:val="none" w:sz="0" w:space="0" w:color="auto"/>
        <w:right w:val="none" w:sz="0" w:space="0" w:color="auto"/>
      </w:divBdr>
    </w:div>
    <w:div w:id="523597063">
      <w:bodyDiv w:val="1"/>
      <w:marLeft w:val="0"/>
      <w:marRight w:val="0"/>
      <w:marTop w:val="0"/>
      <w:marBottom w:val="0"/>
      <w:divBdr>
        <w:top w:val="none" w:sz="0" w:space="0" w:color="auto"/>
        <w:left w:val="none" w:sz="0" w:space="0" w:color="auto"/>
        <w:bottom w:val="none" w:sz="0" w:space="0" w:color="auto"/>
        <w:right w:val="none" w:sz="0" w:space="0" w:color="auto"/>
      </w:divBdr>
    </w:div>
    <w:div w:id="543562852">
      <w:bodyDiv w:val="1"/>
      <w:marLeft w:val="0"/>
      <w:marRight w:val="0"/>
      <w:marTop w:val="0"/>
      <w:marBottom w:val="0"/>
      <w:divBdr>
        <w:top w:val="none" w:sz="0" w:space="0" w:color="auto"/>
        <w:left w:val="none" w:sz="0" w:space="0" w:color="auto"/>
        <w:bottom w:val="none" w:sz="0" w:space="0" w:color="auto"/>
        <w:right w:val="none" w:sz="0" w:space="0" w:color="auto"/>
      </w:divBdr>
    </w:div>
    <w:div w:id="547378732">
      <w:bodyDiv w:val="1"/>
      <w:marLeft w:val="0"/>
      <w:marRight w:val="0"/>
      <w:marTop w:val="0"/>
      <w:marBottom w:val="0"/>
      <w:divBdr>
        <w:top w:val="none" w:sz="0" w:space="0" w:color="auto"/>
        <w:left w:val="none" w:sz="0" w:space="0" w:color="auto"/>
        <w:bottom w:val="none" w:sz="0" w:space="0" w:color="auto"/>
        <w:right w:val="none" w:sz="0" w:space="0" w:color="auto"/>
      </w:divBdr>
    </w:div>
    <w:div w:id="559632368">
      <w:bodyDiv w:val="1"/>
      <w:marLeft w:val="0"/>
      <w:marRight w:val="0"/>
      <w:marTop w:val="0"/>
      <w:marBottom w:val="0"/>
      <w:divBdr>
        <w:top w:val="none" w:sz="0" w:space="0" w:color="auto"/>
        <w:left w:val="none" w:sz="0" w:space="0" w:color="auto"/>
        <w:bottom w:val="none" w:sz="0" w:space="0" w:color="auto"/>
        <w:right w:val="none" w:sz="0" w:space="0" w:color="auto"/>
      </w:divBdr>
    </w:div>
    <w:div w:id="577447105">
      <w:bodyDiv w:val="1"/>
      <w:marLeft w:val="0"/>
      <w:marRight w:val="0"/>
      <w:marTop w:val="0"/>
      <w:marBottom w:val="0"/>
      <w:divBdr>
        <w:top w:val="none" w:sz="0" w:space="0" w:color="auto"/>
        <w:left w:val="none" w:sz="0" w:space="0" w:color="auto"/>
        <w:bottom w:val="none" w:sz="0" w:space="0" w:color="auto"/>
        <w:right w:val="none" w:sz="0" w:space="0" w:color="auto"/>
      </w:divBdr>
    </w:div>
    <w:div w:id="579562418">
      <w:bodyDiv w:val="1"/>
      <w:marLeft w:val="0"/>
      <w:marRight w:val="0"/>
      <w:marTop w:val="0"/>
      <w:marBottom w:val="0"/>
      <w:divBdr>
        <w:top w:val="none" w:sz="0" w:space="0" w:color="auto"/>
        <w:left w:val="none" w:sz="0" w:space="0" w:color="auto"/>
        <w:bottom w:val="none" w:sz="0" w:space="0" w:color="auto"/>
        <w:right w:val="none" w:sz="0" w:space="0" w:color="auto"/>
      </w:divBdr>
    </w:div>
    <w:div w:id="606817292">
      <w:bodyDiv w:val="1"/>
      <w:marLeft w:val="0"/>
      <w:marRight w:val="0"/>
      <w:marTop w:val="0"/>
      <w:marBottom w:val="0"/>
      <w:divBdr>
        <w:top w:val="none" w:sz="0" w:space="0" w:color="auto"/>
        <w:left w:val="none" w:sz="0" w:space="0" w:color="auto"/>
        <w:bottom w:val="none" w:sz="0" w:space="0" w:color="auto"/>
        <w:right w:val="none" w:sz="0" w:space="0" w:color="auto"/>
      </w:divBdr>
    </w:div>
    <w:div w:id="646664962">
      <w:bodyDiv w:val="1"/>
      <w:marLeft w:val="0"/>
      <w:marRight w:val="0"/>
      <w:marTop w:val="0"/>
      <w:marBottom w:val="0"/>
      <w:divBdr>
        <w:top w:val="none" w:sz="0" w:space="0" w:color="auto"/>
        <w:left w:val="none" w:sz="0" w:space="0" w:color="auto"/>
        <w:bottom w:val="none" w:sz="0" w:space="0" w:color="auto"/>
        <w:right w:val="none" w:sz="0" w:space="0" w:color="auto"/>
      </w:divBdr>
    </w:div>
    <w:div w:id="648291366">
      <w:bodyDiv w:val="1"/>
      <w:marLeft w:val="0"/>
      <w:marRight w:val="0"/>
      <w:marTop w:val="0"/>
      <w:marBottom w:val="0"/>
      <w:divBdr>
        <w:top w:val="none" w:sz="0" w:space="0" w:color="auto"/>
        <w:left w:val="none" w:sz="0" w:space="0" w:color="auto"/>
        <w:bottom w:val="none" w:sz="0" w:space="0" w:color="auto"/>
        <w:right w:val="none" w:sz="0" w:space="0" w:color="auto"/>
      </w:divBdr>
    </w:div>
    <w:div w:id="668800037">
      <w:bodyDiv w:val="1"/>
      <w:marLeft w:val="0"/>
      <w:marRight w:val="0"/>
      <w:marTop w:val="0"/>
      <w:marBottom w:val="0"/>
      <w:divBdr>
        <w:top w:val="none" w:sz="0" w:space="0" w:color="auto"/>
        <w:left w:val="none" w:sz="0" w:space="0" w:color="auto"/>
        <w:bottom w:val="none" w:sz="0" w:space="0" w:color="auto"/>
        <w:right w:val="none" w:sz="0" w:space="0" w:color="auto"/>
      </w:divBdr>
    </w:div>
    <w:div w:id="703484736">
      <w:bodyDiv w:val="1"/>
      <w:marLeft w:val="0"/>
      <w:marRight w:val="0"/>
      <w:marTop w:val="0"/>
      <w:marBottom w:val="0"/>
      <w:divBdr>
        <w:top w:val="none" w:sz="0" w:space="0" w:color="auto"/>
        <w:left w:val="none" w:sz="0" w:space="0" w:color="auto"/>
        <w:bottom w:val="none" w:sz="0" w:space="0" w:color="auto"/>
        <w:right w:val="none" w:sz="0" w:space="0" w:color="auto"/>
      </w:divBdr>
    </w:div>
    <w:div w:id="743835930">
      <w:bodyDiv w:val="1"/>
      <w:marLeft w:val="0"/>
      <w:marRight w:val="0"/>
      <w:marTop w:val="0"/>
      <w:marBottom w:val="0"/>
      <w:divBdr>
        <w:top w:val="none" w:sz="0" w:space="0" w:color="auto"/>
        <w:left w:val="none" w:sz="0" w:space="0" w:color="auto"/>
        <w:bottom w:val="none" w:sz="0" w:space="0" w:color="auto"/>
        <w:right w:val="none" w:sz="0" w:space="0" w:color="auto"/>
      </w:divBdr>
    </w:div>
    <w:div w:id="754941294">
      <w:bodyDiv w:val="1"/>
      <w:marLeft w:val="0"/>
      <w:marRight w:val="0"/>
      <w:marTop w:val="0"/>
      <w:marBottom w:val="0"/>
      <w:divBdr>
        <w:top w:val="none" w:sz="0" w:space="0" w:color="auto"/>
        <w:left w:val="none" w:sz="0" w:space="0" w:color="auto"/>
        <w:bottom w:val="none" w:sz="0" w:space="0" w:color="auto"/>
        <w:right w:val="none" w:sz="0" w:space="0" w:color="auto"/>
      </w:divBdr>
    </w:div>
    <w:div w:id="774792206">
      <w:bodyDiv w:val="1"/>
      <w:marLeft w:val="0"/>
      <w:marRight w:val="0"/>
      <w:marTop w:val="0"/>
      <w:marBottom w:val="0"/>
      <w:divBdr>
        <w:top w:val="none" w:sz="0" w:space="0" w:color="auto"/>
        <w:left w:val="none" w:sz="0" w:space="0" w:color="auto"/>
        <w:bottom w:val="none" w:sz="0" w:space="0" w:color="auto"/>
        <w:right w:val="none" w:sz="0" w:space="0" w:color="auto"/>
      </w:divBdr>
    </w:div>
    <w:div w:id="775557456">
      <w:bodyDiv w:val="1"/>
      <w:marLeft w:val="0"/>
      <w:marRight w:val="0"/>
      <w:marTop w:val="0"/>
      <w:marBottom w:val="0"/>
      <w:divBdr>
        <w:top w:val="none" w:sz="0" w:space="0" w:color="auto"/>
        <w:left w:val="none" w:sz="0" w:space="0" w:color="auto"/>
        <w:bottom w:val="none" w:sz="0" w:space="0" w:color="auto"/>
        <w:right w:val="none" w:sz="0" w:space="0" w:color="auto"/>
      </w:divBdr>
    </w:div>
    <w:div w:id="812909275">
      <w:bodyDiv w:val="1"/>
      <w:marLeft w:val="0"/>
      <w:marRight w:val="0"/>
      <w:marTop w:val="0"/>
      <w:marBottom w:val="0"/>
      <w:divBdr>
        <w:top w:val="none" w:sz="0" w:space="0" w:color="auto"/>
        <w:left w:val="none" w:sz="0" w:space="0" w:color="auto"/>
        <w:bottom w:val="none" w:sz="0" w:space="0" w:color="auto"/>
        <w:right w:val="none" w:sz="0" w:space="0" w:color="auto"/>
      </w:divBdr>
    </w:div>
    <w:div w:id="867455001">
      <w:bodyDiv w:val="1"/>
      <w:marLeft w:val="0"/>
      <w:marRight w:val="0"/>
      <w:marTop w:val="0"/>
      <w:marBottom w:val="0"/>
      <w:divBdr>
        <w:top w:val="none" w:sz="0" w:space="0" w:color="auto"/>
        <w:left w:val="none" w:sz="0" w:space="0" w:color="auto"/>
        <w:bottom w:val="none" w:sz="0" w:space="0" w:color="auto"/>
        <w:right w:val="none" w:sz="0" w:space="0" w:color="auto"/>
      </w:divBdr>
    </w:div>
    <w:div w:id="867989996">
      <w:bodyDiv w:val="1"/>
      <w:marLeft w:val="0"/>
      <w:marRight w:val="0"/>
      <w:marTop w:val="0"/>
      <w:marBottom w:val="0"/>
      <w:divBdr>
        <w:top w:val="none" w:sz="0" w:space="0" w:color="auto"/>
        <w:left w:val="none" w:sz="0" w:space="0" w:color="auto"/>
        <w:bottom w:val="none" w:sz="0" w:space="0" w:color="auto"/>
        <w:right w:val="none" w:sz="0" w:space="0" w:color="auto"/>
      </w:divBdr>
    </w:div>
    <w:div w:id="875436445">
      <w:bodyDiv w:val="1"/>
      <w:marLeft w:val="0"/>
      <w:marRight w:val="0"/>
      <w:marTop w:val="0"/>
      <w:marBottom w:val="0"/>
      <w:divBdr>
        <w:top w:val="none" w:sz="0" w:space="0" w:color="auto"/>
        <w:left w:val="none" w:sz="0" w:space="0" w:color="auto"/>
        <w:bottom w:val="none" w:sz="0" w:space="0" w:color="auto"/>
        <w:right w:val="none" w:sz="0" w:space="0" w:color="auto"/>
      </w:divBdr>
    </w:div>
    <w:div w:id="899945002">
      <w:bodyDiv w:val="1"/>
      <w:marLeft w:val="0"/>
      <w:marRight w:val="0"/>
      <w:marTop w:val="0"/>
      <w:marBottom w:val="0"/>
      <w:divBdr>
        <w:top w:val="none" w:sz="0" w:space="0" w:color="auto"/>
        <w:left w:val="none" w:sz="0" w:space="0" w:color="auto"/>
        <w:bottom w:val="none" w:sz="0" w:space="0" w:color="auto"/>
        <w:right w:val="none" w:sz="0" w:space="0" w:color="auto"/>
      </w:divBdr>
    </w:div>
    <w:div w:id="903565211">
      <w:bodyDiv w:val="1"/>
      <w:marLeft w:val="0"/>
      <w:marRight w:val="0"/>
      <w:marTop w:val="0"/>
      <w:marBottom w:val="0"/>
      <w:divBdr>
        <w:top w:val="none" w:sz="0" w:space="0" w:color="auto"/>
        <w:left w:val="none" w:sz="0" w:space="0" w:color="auto"/>
        <w:bottom w:val="none" w:sz="0" w:space="0" w:color="auto"/>
        <w:right w:val="none" w:sz="0" w:space="0" w:color="auto"/>
      </w:divBdr>
    </w:div>
    <w:div w:id="912424605">
      <w:bodyDiv w:val="1"/>
      <w:marLeft w:val="0"/>
      <w:marRight w:val="0"/>
      <w:marTop w:val="0"/>
      <w:marBottom w:val="0"/>
      <w:divBdr>
        <w:top w:val="none" w:sz="0" w:space="0" w:color="auto"/>
        <w:left w:val="none" w:sz="0" w:space="0" w:color="auto"/>
        <w:bottom w:val="none" w:sz="0" w:space="0" w:color="auto"/>
        <w:right w:val="none" w:sz="0" w:space="0" w:color="auto"/>
      </w:divBdr>
    </w:div>
    <w:div w:id="920722122">
      <w:bodyDiv w:val="1"/>
      <w:marLeft w:val="0"/>
      <w:marRight w:val="0"/>
      <w:marTop w:val="0"/>
      <w:marBottom w:val="0"/>
      <w:divBdr>
        <w:top w:val="none" w:sz="0" w:space="0" w:color="auto"/>
        <w:left w:val="none" w:sz="0" w:space="0" w:color="auto"/>
        <w:bottom w:val="none" w:sz="0" w:space="0" w:color="auto"/>
        <w:right w:val="none" w:sz="0" w:space="0" w:color="auto"/>
      </w:divBdr>
    </w:div>
    <w:div w:id="935595372">
      <w:bodyDiv w:val="1"/>
      <w:marLeft w:val="0"/>
      <w:marRight w:val="0"/>
      <w:marTop w:val="0"/>
      <w:marBottom w:val="0"/>
      <w:divBdr>
        <w:top w:val="none" w:sz="0" w:space="0" w:color="auto"/>
        <w:left w:val="none" w:sz="0" w:space="0" w:color="auto"/>
        <w:bottom w:val="none" w:sz="0" w:space="0" w:color="auto"/>
        <w:right w:val="none" w:sz="0" w:space="0" w:color="auto"/>
      </w:divBdr>
    </w:div>
    <w:div w:id="989557347">
      <w:bodyDiv w:val="1"/>
      <w:marLeft w:val="0"/>
      <w:marRight w:val="0"/>
      <w:marTop w:val="0"/>
      <w:marBottom w:val="0"/>
      <w:divBdr>
        <w:top w:val="none" w:sz="0" w:space="0" w:color="auto"/>
        <w:left w:val="none" w:sz="0" w:space="0" w:color="auto"/>
        <w:bottom w:val="none" w:sz="0" w:space="0" w:color="auto"/>
        <w:right w:val="none" w:sz="0" w:space="0" w:color="auto"/>
      </w:divBdr>
    </w:div>
    <w:div w:id="995458132">
      <w:bodyDiv w:val="1"/>
      <w:marLeft w:val="0"/>
      <w:marRight w:val="0"/>
      <w:marTop w:val="0"/>
      <w:marBottom w:val="0"/>
      <w:divBdr>
        <w:top w:val="none" w:sz="0" w:space="0" w:color="auto"/>
        <w:left w:val="none" w:sz="0" w:space="0" w:color="auto"/>
        <w:bottom w:val="none" w:sz="0" w:space="0" w:color="auto"/>
        <w:right w:val="none" w:sz="0" w:space="0" w:color="auto"/>
      </w:divBdr>
    </w:div>
    <w:div w:id="999504659">
      <w:bodyDiv w:val="1"/>
      <w:marLeft w:val="0"/>
      <w:marRight w:val="0"/>
      <w:marTop w:val="0"/>
      <w:marBottom w:val="0"/>
      <w:divBdr>
        <w:top w:val="none" w:sz="0" w:space="0" w:color="auto"/>
        <w:left w:val="none" w:sz="0" w:space="0" w:color="auto"/>
        <w:bottom w:val="none" w:sz="0" w:space="0" w:color="auto"/>
        <w:right w:val="none" w:sz="0" w:space="0" w:color="auto"/>
      </w:divBdr>
    </w:div>
    <w:div w:id="1027291277">
      <w:bodyDiv w:val="1"/>
      <w:marLeft w:val="0"/>
      <w:marRight w:val="0"/>
      <w:marTop w:val="0"/>
      <w:marBottom w:val="0"/>
      <w:divBdr>
        <w:top w:val="none" w:sz="0" w:space="0" w:color="auto"/>
        <w:left w:val="none" w:sz="0" w:space="0" w:color="auto"/>
        <w:bottom w:val="none" w:sz="0" w:space="0" w:color="auto"/>
        <w:right w:val="none" w:sz="0" w:space="0" w:color="auto"/>
      </w:divBdr>
    </w:div>
    <w:div w:id="1051726900">
      <w:bodyDiv w:val="1"/>
      <w:marLeft w:val="0"/>
      <w:marRight w:val="0"/>
      <w:marTop w:val="0"/>
      <w:marBottom w:val="0"/>
      <w:divBdr>
        <w:top w:val="none" w:sz="0" w:space="0" w:color="auto"/>
        <w:left w:val="none" w:sz="0" w:space="0" w:color="auto"/>
        <w:bottom w:val="none" w:sz="0" w:space="0" w:color="auto"/>
        <w:right w:val="none" w:sz="0" w:space="0" w:color="auto"/>
      </w:divBdr>
    </w:div>
    <w:div w:id="1114714543">
      <w:bodyDiv w:val="1"/>
      <w:marLeft w:val="0"/>
      <w:marRight w:val="0"/>
      <w:marTop w:val="0"/>
      <w:marBottom w:val="0"/>
      <w:divBdr>
        <w:top w:val="none" w:sz="0" w:space="0" w:color="auto"/>
        <w:left w:val="none" w:sz="0" w:space="0" w:color="auto"/>
        <w:bottom w:val="none" w:sz="0" w:space="0" w:color="auto"/>
        <w:right w:val="none" w:sz="0" w:space="0" w:color="auto"/>
      </w:divBdr>
    </w:div>
    <w:div w:id="1139616970">
      <w:bodyDiv w:val="1"/>
      <w:marLeft w:val="0"/>
      <w:marRight w:val="0"/>
      <w:marTop w:val="0"/>
      <w:marBottom w:val="0"/>
      <w:divBdr>
        <w:top w:val="none" w:sz="0" w:space="0" w:color="auto"/>
        <w:left w:val="none" w:sz="0" w:space="0" w:color="auto"/>
        <w:bottom w:val="none" w:sz="0" w:space="0" w:color="auto"/>
        <w:right w:val="none" w:sz="0" w:space="0" w:color="auto"/>
      </w:divBdr>
    </w:div>
    <w:div w:id="1140805964">
      <w:bodyDiv w:val="1"/>
      <w:marLeft w:val="0"/>
      <w:marRight w:val="0"/>
      <w:marTop w:val="0"/>
      <w:marBottom w:val="0"/>
      <w:divBdr>
        <w:top w:val="none" w:sz="0" w:space="0" w:color="auto"/>
        <w:left w:val="none" w:sz="0" w:space="0" w:color="auto"/>
        <w:bottom w:val="none" w:sz="0" w:space="0" w:color="auto"/>
        <w:right w:val="none" w:sz="0" w:space="0" w:color="auto"/>
      </w:divBdr>
    </w:div>
    <w:div w:id="1151143606">
      <w:bodyDiv w:val="1"/>
      <w:marLeft w:val="0"/>
      <w:marRight w:val="0"/>
      <w:marTop w:val="0"/>
      <w:marBottom w:val="0"/>
      <w:divBdr>
        <w:top w:val="none" w:sz="0" w:space="0" w:color="auto"/>
        <w:left w:val="none" w:sz="0" w:space="0" w:color="auto"/>
        <w:bottom w:val="none" w:sz="0" w:space="0" w:color="auto"/>
        <w:right w:val="none" w:sz="0" w:space="0" w:color="auto"/>
      </w:divBdr>
    </w:div>
    <w:div w:id="1156535951">
      <w:bodyDiv w:val="1"/>
      <w:marLeft w:val="0"/>
      <w:marRight w:val="0"/>
      <w:marTop w:val="0"/>
      <w:marBottom w:val="0"/>
      <w:divBdr>
        <w:top w:val="none" w:sz="0" w:space="0" w:color="auto"/>
        <w:left w:val="none" w:sz="0" w:space="0" w:color="auto"/>
        <w:bottom w:val="none" w:sz="0" w:space="0" w:color="auto"/>
        <w:right w:val="none" w:sz="0" w:space="0" w:color="auto"/>
      </w:divBdr>
    </w:div>
    <w:div w:id="1156802540">
      <w:bodyDiv w:val="1"/>
      <w:marLeft w:val="0"/>
      <w:marRight w:val="0"/>
      <w:marTop w:val="0"/>
      <w:marBottom w:val="0"/>
      <w:divBdr>
        <w:top w:val="none" w:sz="0" w:space="0" w:color="auto"/>
        <w:left w:val="none" w:sz="0" w:space="0" w:color="auto"/>
        <w:bottom w:val="none" w:sz="0" w:space="0" w:color="auto"/>
        <w:right w:val="none" w:sz="0" w:space="0" w:color="auto"/>
      </w:divBdr>
    </w:div>
    <w:div w:id="1211915447">
      <w:bodyDiv w:val="1"/>
      <w:marLeft w:val="0"/>
      <w:marRight w:val="0"/>
      <w:marTop w:val="0"/>
      <w:marBottom w:val="0"/>
      <w:divBdr>
        <w:top w:val="none" w:sz="0" w:space="0" w:color="auto"/>
        <w:left w:val="none" w:sz="0" w:space="0" w:color="auto"/>
        <w:bottom w:val="none" w:sz="0" w:space="0" w:color="auto"/>
        <w:right w:val="none" w:sz="0" w:space="0" w:color="auto"/>
      </w:divBdr>
    </w:div>
    <w:div w:id="1214393367">
      <w:bodyDiv w:val="1"/>
      <w:marLeft w:val="0"/>
      <w:marRight w:val="0"/>
      <w:marTop w:val="0"/>
      <w:marBottom w:val="0"/>
      <w:divBdr>
        <w:top w:val="none" w:sz="0" w:space="0" w:color="auto"/>
        <w:left w:val="none" w:sz="0" w:space="0" w:color="auto"/>
        <w:bottom w:val="none" w:sz="0" w:space="0" w:color="auto"/>
        <w:right w:val="none" w:sz="0" w:space="0" w:color="auto"/>
      </w:divBdr>
    </w:div>
    <w:div w:id="1216358131">
      <w:bodyDiv w:val="1"/>
      <w:marLeft w:val="0"/>
      <w:marRight w:val="0"/>
      <w:marTop w:val="0"/>
      <w:marBottom w:val="0"/>
      <w:divBdr>
        <w:top w:val="none" w:sz="0" w:space="0" w:color="auto"/>
        <w:left w:val="none" w:sz="0" w:space="0" w:color="auto"/>
        <w:bottom w:val="none" w:sz="0" w:space="0" w:color="auto"/>
        <w:right w:val="none" w:sz="0" w:space="0" w:color="auto"/>
      </w:divBdr>
    </w:div>
    <w:div w:id="1283465639">
      <w:bodyDiv w:val="1"/>
      <w:marLeft w:val="0"/>
      <w:marRight w:val="0"/>
      <w:marTop w:val="0"/>
      <w:marBottom w:val="0"/>
      <w:divBdr>
        <w:top w:val="none" w:sz="0" w:space="0" w:color="auto"/>
        <w:left w:val="none" w:sz="0" w:space="0" w:color="auto"/>
        <w:bottom w:val="none" w:sz="0" w:space="0" w:color="auto"/>
        <w:right w:val="none" w:sz="0" w:space="0" w:color="auto"/>
      </w:divBdr>
    </w:div>
    <w:div w:id="1293363625">
      <w:bodyDiv w:val="1"/>
      <w:marLeft w:val="0"/>
      <w:marRight w:val="0"/>
      <w:marTop w:val="0"/>
      <w:marBottom w:val="0"/>
      <w:divBdr>
        <w:top w:val="none" w:sz="0" w:space="0" w:color="auto"/>
        <w:left w:val="none" w:sz="0" w:space="0" w:color="auto"/>
        <w:bottom w:val="none" w:sz="0" w:space="0" w:color="auto"/>
        <w:right w:val="none" w:sz="0" w:space="0" w:color="auto"/>
      </w:divBdr>
    </w:div>
    <w:div w:id="1300382757">
      <w:bodyDiv w:val="1"/>
      <w:marLeft w:val="0"/>
      <w:marRight w:val="0"/>
      <w:marTop w:val="0"/>
      <w:marBottom w:val="0"/>
      <w:divBdr>
        <w:top w:val="none" w:sz="0" w:space="0" w:color="auto"/>
        <w:left w:val="none" w:sz="0" w:space="0" w:color="auto"/>
        <w:bottom w:val="none" w:sz="0" w:space="0" w:color="auto"/>
        <w:right w:val="none" w:sz="0" w:space="0" w:color="auto"/>
      </w:divBdr>
    </w:div>
    <w:div w:id="1308053475">
      <w:bodyDiv w:val="1"/>
      <w:marLeft w:val="0"/>
      <w:marRight w:val="0"/>
      <w:marTop w:val="0"/>
      <w:marBottom w:val="0"/>
      <w:divBdr>
        <w:top w:val="none" w:sz="0" w:space="0" w:color="auto"/>
        <w:left w:val="none" w:sz="0" w:space="0" w:color="auto"/>
        <w:bottom w:val="none" w:sz="0" w:space="0" w:color="auto"/>
        <w:right w:val="none" w:sz="0" w:space="0" w:color="auto"/>
      </w:divBdr>
    </w:div>
    <w:div w:id="1321808066">
      <w:bodyDiv w:val="1"/>
      <w:marLeft w:val="0"/>
      <w:marRight w:val="0"/>
      <w:marTop w:val="0"/>
      <w:marBottom w:val="0"/>
      <w:divBdr>
        <w:top w:val="none" w:sz="0" w:space="0" w:color="auto"/>
        <w:left w:val="none" w:sz="0" w:space="0" w:color="auto"/>
        <w:bottom w:val="none" w:sz="0" w:space="0" w:color="auto"/>
        <w:right w:val="none" w:sz="0" w:space="0" w:color="auto"/>
      </w:divBdr>
    </w:div>
    <w:div w:id="1351836130">
      <w:bodyDiv w:val="1"/>
      <w:marLeft w:val="0"/>
      <w:marRight w:val="0"/>
      <w:marTop w:val="0"/>
      <w:marBottom w:val="0"/>
      <w:divBdr>
        <w:top w:val="none" w:sz="0" w:space="0" w:color="auto"/>
        <w:left w:val="none" w:sz="0" w:space="0" w:color="auto"/>
        <w:bottom w:val="none" w:sz="0" w:space="0" w:color="auto"/>
        <w:right w:val="none" w:sz="0" w:space="0" w:color="auto"/>
      </w:divBdr>
    </w:div>
    <w:div w:id="1386946198">
      <w:bodyDiv w:val="1"/>
      <w:marLeft w:val="0"/>
      <w:marRight w:val="0"/>
      <w:marTop w:val="0"/>
      <w:marBottom w:val="0"/>
      <w:divBdr>
        <w:top w:val="none" w:sz="0" w:space="0" w:color="auto"/>
        <w:left w:val="none" w:sz="0" w:space="0" w:color="auto"/>
        <w:bottom w:val="none" w:sz="0" w:space="0" w:color="auto"/>
        <w:right w:val="none" w:sz="0" w:space="0" w:color="auto"/>
      </w:divBdr>
    </w:div>
    <w:div w:id="1405840490">
      <w:bodyDiv w:val="1"/>
      <w:marLeft w:val="0"/>
      <w:marRight w:val="0"/>
      <w:marTop w:val="0"/>
      <w:marBottom w:val="0"/>
      <w:divBdr>
        <w:top w:val="none" w:sz="0" w:space="0" w:color="auto"/>
        <w:left w:val="none" w:sz="0" w:space="0" w:color="auto"/>
        <w:bottom w:val="none" w:sz="0" w:space="0" w:color="auto"/>
        <w:right w:val="none" w:sz="0" w:space="0" w:color="auto"/>
      </w:divBdr>
    </w:div>
    <w:div w:id="1415975971">
      <w:bodyDiv w:val="1"/>
      <w:marLeft w:val="0"/>
      <w:marRight w:val="0"/>
      <w:marTop w:val="0"/>
      <w:marBottom w:val="0"/>
      <w:divBdr>
        <w:top w:val="none" w:sz="0" w:space="0" w:color="auto"/>
        <w:left w:val="none" w:sz="0" w:space="0" w:color="auto"/>
        <w:bottom w:val="none" w:sz="0" w:space="0" w:color="auto"/>
        <w:right w:val="none" w:sz="0" w:space="0" w:color="auto"/>
      </w:divBdr>
    </w:div>
    <w:div w:id="1439372852">
      <w:bodyDiv w:val="1"/>
      <w:marLeft w:val="0"/>
      <w:marRight w:val="0"/>
      <w:marTop w:val="0"/>
      <w:marBottom w:val="0"/>
      <w:divBdr>
        <w:top w:val="none" w:sz="0" w:space="0" w:color="auto"/>
        <w:left w:val="none" w:sz="0" w:space="0" w:color="auto"/>
        <w:bottom w:val="none" w:sz="0" w:space="0" w:color="auto"/>
        <w:right w:val="none" w:sz="0" w:space="0" w:color="auto"/>
      </w:divBdr>
    </w:div>
    <w:div w:id="1463233510">
      <w:bodyDiv w:val="1"/>
      <w:marLeft w:val="0"/>
      <w:marRight w:val="0"/>
      <w:marTop w:val="0"/>
      <w:marBottom w:val="0"/>
      <w:divBdr>
        <w:top w:val="none" w:sz="0" w:space="0" w:color="auto"/>
        <w:left w:val="none" w:sz="0" w:space="0" w:color="auto"/>
        <w:bottom w:val="none" w:sz="0" w:space="0" w:color="auto"/>
        <w:right w:val="none" w:sz="0" w:space="0" w:color="auto"/>
      </w:divBdr>
    </w:div>
    <w:div w:id="1470633469">
      <w:bodyDiv w:val="1"/>
      <w:marLeft w:val="0"/>
      <w:marRight w:val="0"/>
      <w:marTop w:val="0"/>
      <w:marBottom w:val="0"/>
      <w:divBdr>
        <w:top w:val="none" w:sz="0" w:space="0" w:color="auto"/>
        <w:left w:val="none" w:sz="0" w:space="0" w:color="auto"/>
        <w:bottom w:val="none" w:sz="0" w:space="0" w:color="auto"/>
        <w:right w:val="none" w:sz="0" w:space="0" w:color="auto"/>
      </w:divBdr>
    </w:div>
    <w:div w:id="1512144580">
      <w:bodyDiv w:val="1"/>
      <w:marLeft w:val="0"/>
      <w:marRight w:val="0"/>
      <w:marTop w:val="0"/>
      <w:marBottom w:val="0"/>
      <w:divBdr>
        <w:top w:val="none" w:sz="0" w:space="0" w:color="auto"/>
        <w:left w:val="none" w:sz="0" w:space="0" w:color="auto"/>
        <w:bottom w:val="none" w:sz="0" w:space="0" w:color="auto"/>
        <w:right w:val="none" w:sz="0" w:space="0" w:color="auto"/>
      </w:divBdr>
    </w:div>
    <w:div w:id="1517765034">
      <w:bodyDiv w:val="1"/>
      <w:marLeft w:val="0"/>
      <w:marRight w:val="0"/>
      <w:marTop w:val="0"/>
      <w:marBottom w:val="0"/>
      <w:divBdr>
        <w:top w:val="none" w:sz="0" w:space="0" w:color="auto"/>
        <w:left w:val="none" w:sz="0" w:space="0" w:color="auto"/>
        <w:bottom w:val="none" w:sz="0" w:space="0" w:color="auto"/>
        <w:right w:val="none" w:sz="0" w:space="0" w:color="auto"/>
      </w:divBdr>
    </w:div>
    <w:div w:id="1532036565">
      <w:bodyDiv w:val="1"/>
      <w:marLeft w:val="0"/>
      <w:marRight w:val="0"/>
      <w:marTop w:val="0"/>
      <w:marBottom w:val="0"/>
      <w:divBdr>
        <w:top w:val="none" w:sz="0" w:space="0" w:color="auto"/>
        <w:left w:val="none" w:sz="0" w:space="0" w:color="auto"/>
        <w:bottom w:val="none" w:sz="0" w:space="0" w:color="auto"/>
        <w:right w:val="none" w:sz="0" w:space="0" w:color="auto"/>
      </w:divBdr>
    </w:div>
    <w:div w:id="1547721988">
      <w:bodyDiv w:val="1"/>
      <w:marLeft w:val="0"/>
      <w:marRight w:val="0"/>
      <w:marTop w:val="0"/>
      <w:marBottom w:val="0"/>
      <w:divBdr>
        <w:top w:val="none" w:sz="0" w:space="0" w:color="auto"/>
        <w:left w:val="none" w:sz="0" w:space="0" w:color="auto"/>
        <w:bottom w:val="none" w:sz="0" w:space="0" w:color="auto"/>
        <w:right w:val="none" w:sz="0" w:space="0" w:color="auto"/>
      </w:divBdr>
    </w:div>
    <w:div w:id="1588729039">
      <w:bodyDiv w:val="1"/>
      <w:marLeft w:val="0"/>
      <w:marRight w:val="0"/>
      <w:marTop w:val="0"/>
      <w:marBottom w:val="0"/>
      <w:divBdr>
        <w:top w:val="none" w:sz="0" w:space="0" w:color="auto"/>
        <w:left w:val="none" w:sz="0" w:space="0" w:color="auto"/>
        <w:bottom w:val="none" w:sz="0" w:space="0" w:color="auto"/>
        <w:right w:val="none" w:sz="0" w:space="0" w:color="auto"/>
      </w:divBdr>
    </w:div>
    <w:div w:id="1602106324">
      <w:bodyDiv w:val="1"/>
      <w:marLeft w:val="0"/>
      <w:marRight w:val="0"/>
      <w:marTop w:val="0"/>
      <w:marBottom w:val="0"/>
      <w:divBdr>
        <w:top w:val="none" w:sz="0" w:space="0" w:color="auto"/>
        <w:left w:val="none" w:sz="0" w:space="0" w:color="auto"/>
        <w:bottom w:val="none" w:sz="0" w:space="0" w:color="auto"/>
        <w:right w:val="none" w:sz="0" w:space="0" w:color="auto"/>
      </w:divBdr>
    </w:div>
    <w:div w:id="1650665759">
      <w:bodyDiv w:val="1"/>
      <w:marLeft w:val="0"/>
      <w:marRight w:val="0"/>
      <w:marTop w:val="0"/>
      <w:marBottom w:val="0"/>
      <w:divBdr>
        <w:top w:val="none" w:sz="0" w:space="0" w:color="auto"/>
        <w:left w:val="none" w:sz="0" w:space="0" w:color="auto"/>
        <w:bottom w:val="none" w:sz="0" w:space="0" w:color="auto"/>
        <w:right w:val="none" w:sz="0" w:space="0" w:color="auto"/>
      </w:divBdr>
    </w:div>
    <w:div w:id="1656495558">
      <w:bodyDiv w:val="1"/>
      <w:marLeft w:val="0"/>
      <w:marRight w:val="0"/>
      <w:marTop w:val="0"/>
      <w:marBottom w:val="0"/>
      <w:divBdr>
        <w:top w:val="none" w:sz="0" w:space="0" w:color="auto"/>
        <w:left w:val="none" w:sz="0" w:space="0" w:color="auto"/>
        <w:bottom w:val="none" w:sz="0" w:space="0" w:color="auto"/>
        <w:right w:val="none" w:sz="0" w:space="0" w:color="auto"/>
      </w:divBdr>
    </w:div>
    <w:div w:id="1658338443">
      <w:bodyDiv w:val="1"/>
      <w:marLeft w:val="0"/>
      <w:marRight w:val="0"/>
      <w:marTop w:val="0"/>
      <w:marBottom w:val="0"/>
      <w:divBdr>
        <w:top w:val="none" w:sz="0" w:space="0" w:color="auto"/>
        <w:left w:val="none" w:sz="0" w:space="0" w:color="auto"/>
        <w:bottom w:val="none" w:sz="0" w:space="0" w:color="auto"/>
        <w:right w:val="none" w:sz="0" w:space="0" w:color="auto"/>
      </w:divBdr>
    </w:div>
    <w:div w:id="1706055289">
      <w:bodyDiv w:val="1"/>
      <w:marLeft w:val="0"/>
      <w:marRight w:val="0"/>
      <w:marTop w:val="0"/>
      <w:marBottom w:val="0"/>
      <w:divBdr>
        <w:top w:val="none" w:sz="0" w:space="0" w:color="auto"/>
        <w:left w:val="none" w:sz="0" w:space="0" w:color="auto"/>
        <w:bottom w:val="none" w:sz="0" w:space="0" w:color="auto"/>
        <w:right w:val="none" w:sz="0" w:space="0" w:color="auto"/>
      </w:divBdr>
    </w:div>
    <w:div w:id="1720130926">
      <w:bodyDiv w:val="1"/>
      <w:marLeft w:val="0"/>
      <w:marRight w:val="0"/>
      <w:marTop w:val="0"/>
      <w:marBottom w:val="0"/>
      <w:divBdr>
        <w:top w:val="none" w:sz="0" w:space="0" w:color="auto"/>
        <w:left w:val="none" w:sz="0" w:space="0" w:color="auto"/>
        <w:bottom w:val="none" w:sz="0" w:space="0" w:color="auto"/>
        <w:right w:val="none" w:sz="0" w:space="0" w:color="auto"/>
      </w:divBdr>
    </w:div>
    <w:div w:id="1728410482">
      <w:bodyDiv w:val="1"/>
      <w:marLeft w:val="0"/>
      <w:marRight w:val="0"/>
      <w:marTop w:val="0"/>
      <w:marBottom w:val="0"/>
      <w:divBdr>
        <w:top w:val="none" w:sz="0" w:space="0" w:color="auto"/>
        <w:left w:val="none" w:sz="0" w:space="0" w:color="auto"/>
        <w:bottom w:val="none" w:sz="0" w:space="0" w:color="auto"/>
        <w:right w:val="none" w:sz="0" w:space="0" w:color="auto"/>
      </w:divBdr>
    </w:div>
    <w:div w:id="1739744955">
      <w:bodyDiv w:val="1"/>
      <w:marLeft w:val="0"/>
      <w:marRight w:val="0"/>
      <w:marTop w:val="0"/>
      <w:marBottom w:val="0"/>
      <w:divBdr>
        <w:top w:val="none" w:sz="0" w:space="0" w:color="auto"/>
        <w:left w:val="none" w:sz="0" w:space="0" w:color="auto"/>
        <w:bottom w:val="none" w:sz="0" w:space="0" w:color="auto"/>
        <w:right w:val="none" w:sz="0" w:space="0" w:color="auto"/>
      </w:divBdr>
    </w:div>
    <w:div w:id="1754282304">
      <w:bodyDiv w:val="1"/>
      <w:marLeft w:val="0"/>
      <w:marRight w:val="0"/>
      <w:marTop w:val="0"/>
      <w:marBottom w:val="0"/>
      <w:divBdr>
        <w:top w:val="none" w:sz="0" w:space="0" w:color="auto"/>
        <w:left w:val="none" w:sz="0" w:space="0" w:color="auto"/>
        <w:bottom w:val="none" w:sz="0" w:space="0" w:color="auto"/>
        <w:right w:val="none" w:sz="0" w:space="0" w:color="auto"/>
      </w:divBdr>
    </w:div>
    <w:div w:id="1756853009">
      <w:bodyDiv w:val="1"/>
      <w:marLeft w:val="0"/>
      <w:marRight w:val="0"/>
      <w:marTop w:val="0"/>
      <w:marBottom w:val="0"/>
      <w:divBdr>
        <w:top w:val="none" w:sz="0" w:space="0" w:color="auto"/>
        <w:left w:val="none" w:sz="0" w:space="0" w:color="auto"/>
        <w:bottom w:val="none" w:sz="0" w:space="0" w:color="auto"/>
        <w:right w:val="none" w:sz="0" w:space="0" w:color="auto"/>
      </w:divBdr>
    </w:div>
    <w:div w:id="1764109469">
      <w:bodyDiv w:val="1"/>
      <w:marLeft w:val="0"/>
      <w:marRight w:val="0"/>
      <w:marTop w:val="0"/>
      <w:marBottom w:val="0"/>
      <w:divBdr>
        <w:top w:val="none" w:sz="0" w:space="0" w:color="auto"/>
        <w:left w:val="none" w:sz="0" w:space="0" w:color="auto"/>
        <w:bottom w:val="none" w:sz="0" w:space="0" w:color="auto"/>
        <w:right w:val="none" w:sz="0" w:space="0" w:color="auto"/>
      </w:divBdr>
    </w:div>
    <w:div w:id="1786608072">
      <w:bodyDiv w:val="1"/>
      <w:marLeft w:val="0"/>
      <w:marRight w:val="0"/>
      <w:marTop w:val="0"/>
      <w:marBottom w:val="0"/>
      <w:divBdr>
        <w:top w:val="none" w:sz="0" w:space="0" w:color="auto"/>
        <w:left w:val="none" w:sz="0" w:space="0" w:color="auto"/>
        <w:bottom w:val="none" w:sz="0" w:space="0" w:color="auto"/>
        <w:right w:val="none" w:sz="0" w:space="0" w:color="auto"/>
      </w:divBdr>
    </w:div>
    <w:div w:id="1824464154">
      <w:bodyDiv w:val="1"/>
      <w:marLeft w:val="0"/>
      <w:marRight w:val="0"/>
      <w:marTop w:val="0"/>
      <w:marBottom w:val="0"/>
      <w:divBdr>
        <w:top w:val="none" w:sz="0" w:space="0" w:color="auto"/>
        <w:left w:val="none" w:sz="0" w:space="0" w:color="auto"/>
        <w:bottom w:val="none" w:sz="0" w:space="0" w:color="auto"/>
        <w:right w:val="none" w:sz="0" w:space="0" w:color="auto"/>
      </w:divBdr>
    </w:div>
    <w:div w:id="1847404902">
      <w:bodyDiv w:val="1"/>
      <w:marLeft w:val="0"/>
      <w:marRight w:val="0"/>
      <w:marTop w:val="0"/>
      <w:marBottom w:val="0"/>
      <w:divBdr>
        <w:top w:val="none" w:sz="0" w:space="0" w:color="auto"/>
        <w:left w:val="none" w:sz="0" w:space="0" w:color="auto"/>
        <w:bottom w:val="none" w:sz="0" w:space="0" w:color="auto"/>
        <w:right w:val="none" w:sz="0" w:space="0" w:color="auto"/>
      </w:divBdr>
    </w:div>
    <w:div w:id="1879275842">
      <w:bodyDiv w:val="1"/>
      <w:marLeft w:val="0"/>
      <w:marRight w:val="0"/>
      <w:marTop w:val="0"/>
      <w:marBottom w:val="0"/>
      <w:divBdr>
        <w:top w:val="none" w:sz="0" w:space="0" w:color="auto"/>
        <w:left w:val="none" w:sz="0" w:space="0" w:color="auto"/>
        <w:bottom w:val="none" w:sz="0" w:space="0" w:color="auto"/>
        <w:right w:val="none" w:sz="0" w:space="0" w:color="auto"/>
      </w:divBdr>
    </w:div>
    <w:div w:id="1879389234">
      <w:bodyDiv w:val="1"/>
      <w:marLeft w:val="0"/>
      <w:marRight w:val="0"/>
      <w:marTop w:val="0"/>
      <w:marBottom w:val="0"/>
      <w:divBdr>
        <w:top w:val="none" w:sz="0" w:space="0" w:color="auto"/>
        <w:left w:val="none" w:sz="0" w:space="0" w:color="auto"/>
        <w:bottom w:val="none" w:sz="0" w:space="0" w:color="auto"/>
        <w:right w:val="none" w:sz="0" w:space="0" w:color="auto"/>
      </w:divBdr>
    </w:div>
    <w:div w:id="1956326695">
      <w:bodyDiv w:val="1"/>
      <w:marLeft w:val="0"/>
      <w:marRight w:val="0"/>
      <w:marTop w:val="0"/>
      <w:marBottom w:val="0"/>
      <w:divBdr>
        <w:top w:val="none" w:sz="0" w:space="0" w:color="auto"/>
        <w:left w:val="none" w:sz="0" w:space="0" w:color="auto"/>
        <w:bottom w:val="none" w:sz="0" w:space="0" w:color="auto"/>
        <w:right w:val="none" w:sz="0" w:space="0" w:color="auto"/>
      </w:divBdr>
    </w:div>
    <w:div w:id="1986817502">
      <w:bodyDiv w:val="1"/>
      <w:marLeft w:val="0"/>
      <w:marRight w:val="0"/>
      <w:marTop w:val="0"/>
      <w:marBottom w:val="0"/>
      <w:divBdr>
        <w:top w:val="none" w:sz="0" w:space="0" w:color="auto"/>
        <w:left w:val="none" w:sz="0" w:space="0" w:color="auto"/>
        <w:bottom w:val="none" w:sz="0" w:space="0" w:color="auto"/>
        <w:right w:val="none" w:sz="0" w:space="0" w:color="auto"/>
      </w:divBdr>
    </w:div>
    <w:div w:id="2026245403">
      <w:bodyDiv w:val="1"/>
      <w:marLeft w:val="0"/>
      <w:marRight w:val="0"/>
      <w:marTop w:val="0"/>
      <w:marBottom w:val="0"/>
      <w:divBdr>
        <w:top w:val="none" w:sz="0" w:space="0" w:color="auto"/>
        <w:left w:val="none" w:sz="0" w:space="0" w:color="auto"/>
        <w:bottom w:val="none" w:sz="0" w:space="0" w:color="auto"/>
        <w:right w:val="none" w:sz="0" w:space="0" w:color="auto"/>
      </w:divBdr>
    </w:div>
    <w:div w:id="2053797879">
      <w:bodyDiv w:val="1"/>
      <w:marLeft w:val="0"/>
      <w:marRight w:val="0"/>
      <w:marTop w:val="0"/>
      <w:marBottom w:val="0"/>
      <w:divBdr>
        <w:top w:val="none" w:sz="0" w:space="0" w:color="auto"/>
        <w:left w:val="none" w:sz="0" w:space="0" w:color="auto"/>
        <w:bottom w:val="none" w:sz="0" w:space="0" w:color="auto"/>
        <w:right w:val="none" w:sz="0" w:space="0" w:color="auto"/>
      </w:divBdr>
    </w:div>
    <w:div w:id="2133204028">
      <w:bodyDiv w:val="1"/>
      <w:marLeft w:val="0"/>
      <w:marRight w:val="0"/>
      <w:marTop w:val="0"/>
      <w:marBottom w:val="0"/>
      <w:divBdr>
        <w:top w:val="none" w:sz="0" w:space="0" w:color="auto"/>
        <w:left w:val="none" w:sz="0" w:space="0" w:color="auto"/>
        <w:bottom w:val="none" w:sz="0" w:space="0" w:color="auto"/>
        <w:right w:val="none" w:sz="0" w:space="0" w:color="auto"/>
      </w:divBdr>
    </w:div>
    <w:div w:id="2135824150">
      <w:bodyDiv w:val="1"/>
      <w:marLeft w:val="0"/>
      <w:marRight w:val="0"/>
      <w:marTop w:val="0"/>
      <w:marBottom w:val="0"/>
      <w:divBdr>
        <w:top w:val="none" w:sz="0" w:space="0" w:color="auto"/>
        <w:left w:val="none" w:sz="0" w:space="0" w:color="auto"/>
        <w:bottom w:val="none" w:sz="0" w:space="0" w:color="auto"/>
        <w:right w:val="none" w:sz="0" w:space="0" w:color="auto"/>
      </w:divBdr>
    </w:div>
    <w:div w:id="214298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finanzasoaxaca.gob.mx/ceaco/infinanciera/fondo_seguridad.html" TargetMode="External"/><Relationship Id="rId21" Type="http://schemas.openxmlformats.org/officeDocument/2006/relationships/image" Target="media/image2.emf"/><Relationship Id="rId42" Type="http://schemas.openxmlformats.org/officeDocument/2006/relationships/image" Target="media/image16.emf"/><Relationship Id="rId63" Type="http://schemas.openxmlformats.org/officeDocument/2006/relationships/image" Target="media/image31.wmf"/><Relationship Id="rId84" Type="http://schemas.openxmlformats.org/officeDocument/2006/relationships/image" Target="media/image50.wmf"/><Relationship Id="rId138" Type="http://schemas.openxmlformats.org/officeDocument/2006/relationships/hyperlink" Target="http://www.miahuatlan.mx/transparencia" TargetMode="External"/><Relationship Id="rId159" Type="http://schemas.openxmlformats.org/officeDocument/2006/relationships/hyperlink" Target="http://sanmiguelchicahua.gob.mx/" TargetMode="External"/><Relationship Id="rId170" Type="http://schemas.openxmlformats.org/officeDocument/2006/relationships/hyperlink" Target="http://santaanatlapacoyan.gob.mx/" TargetMode="External"/><Relationship Id="rId191" Type="http://schemas.openxmlformats.org/officeDocument/2006/relationships/hyperlink" Target="http://www.municipiozanatepec.com.mx/" TargetMode="External"/><Relationship Id="rId205" Type="http://schemas.openxmlformats.org/officeDocument/2006/relationships/fontTable" Target="fontTable.xml"/><Relationship Id="rId16" Type="http://schemas.openxmlformats.org/officeDocument/2006/relationships/chart" Target="charts/chart8.xml"/><Relationship Id="rId107" Type="http://schemas.openxmlformats.org/officeDocument/2006/relationships/image" Target="media/image72.wmf"/><Relationship Id="rId11" Type="http://schemas.openxmlformats.org/officeDocument/2006/relationships/chart" Target="charts/chart4.xml"/><Relationship Id="rId32" Type="http://schemas.openxmlformats.org/officeDocument/2006/relationships/chart" Target="charts/chart16.xml"/><Relationship Id="rId37" Type="http://schemas.openxmlformats.org/officeDocument/2006/relationships/chart" Target="charts/chart18.xml"/><Relationship Id="rId53" Type="http://schemas.openxmlformats.org/officeDocument/2006/relationships/image" Target="media/image24.emf"/><Relationship Id="rId58" Type="http://schemas.openxmlformats.org/officeDocument/2006/relationships/chart" Target="charts/chart24.xml"/><Relationship Id="rId74" Type="http://schemas.openxmlformats.org/officeDocument/2006/relationships/image" Target="media/image41.wmf"/><Relationship Id="rId79" Type="http://schemas.openxmlformats.org/officeDocument/2006/relationships/image" Target="media/image45.wmf"/><Relationship Id="rId102" Type="http://schemas.openxmlformats.org/officeDocument/2006/relationships/image" Target="media/image67.emf"/><Relationship Id="rId123" Type="http://schemas.openxmlformats.org/officeDocument/2006/relationships/hyperlink" Target="http://www.finanzasoaxaca.gob.mx/ceaco/infinanciera/aportaciones.html" TargetMode="External"/><Relationship Id="rId128" Type="http://schemas.openxmlformats.org/officeDocument/2006/relationships/hyperlink" Target="http://www.finanzasoaxaca.gob.mx/ceaco/infinanciera/ejercicio.html" TargetMode="External"/><Relationship Id="rId144" Type="http://schemas.openxmlformats.org/officeDocument/2006/relationships/hyperlink" Target="http://municipiodesanbartolomeyucuane.gob.mx/" TargetMode="External"/><Relationship Id="rId149" Type="http://schemas.openxmlformats.org/officeDocument/2006/relationships/hyperlink" Target="http://sanfranciscologueche.org/" TargetMode="External"/><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image" Target="media/image60.wmf"/><Relationship Id="rId160" Type="http://schemas.openxmlformats.org/officeDocument/2006/relationships/hyperlink" Target="http://www.sanmiguelejutla.gob.mx/transparencia.php" TargetMode="External"/><Relationship Id="rId165" Type="http://schemas.openxmlformats.org/officeDocument/2006/relationships/hyperlink" Target="http://www.municipiodesanpedrotapanatepec.gob.mx/" TargetMode="External"/><Relationship Id="rId181" Type="http://schemas.openxmlformats.org/officeDocument/2006/relationships/hyperlink" Target="http://www.municipiosantamariapenoles.gob.mx/" TargetMode="External"/><Relationship Id="rId186" Type="http://schemas.openxmlformats.org/officeDocument/2006/relationships/hyperlink" Target="http://santiagotillo.gob.mx/transparencia-2014/" TargetMode="External"/><Relationship Id="rId22" Type="http://schemas.openxmlformats.org/officeDocument/2006/relationships/image" Target="media/image3.png"/><Relationship Id="rId27" Type="http://schemas.openxmlformats.org/officeDocument/2006/relationships/chart" Target="charts/chart15.xml"/><Relationship Id="rId43" Type="http://schemas.openxmlformats.org/officeDocument/2006/relationships/chart" Target="charts/chart20.xml"/><Relationship Id="rId48" Type="http://schemas.openxmlformats.org/officeDocument/2006/relationships/image" Target="media/image21.emf"/><Relationship Id="rId64" Type="http://schemas.openxmlformats.org/officeDocument/2006/relationships/image" Target="media/image32.wmf"/><Relationship Id="rId69" Type="http://schemas.openxmlformats.org/officeDocument/2006/relationships/image" Target="media/image36.wmf"/><Relationship Id="rId113" Type="http://schemas.openxmlformats.org/officeDocument/2006/relationships/hyperlink" Target="http://www.finanzasoaxaca.gob.mx/ceaco/infinanciera/cuentas.html" TargetMode="External"/><Relationship Id="rId118" Type="http://schemas.openxmlformats.org/officeDocument/2006/relationships/hyperlink" Target="http://www.finanzasoaxaca.gob.mx/ceaco/infinanciera/obligaciones.html" TargetMode="External"/><Relationship Id="rId134" Type="http://schemas.openxmlformats.org/officeDocument/2006/relationships/hyperlink" Target="http://www.elespinal.gob.mx/" TargetMode="External"/><Relationship Id="rId139" Type="http://schemas.openxmlformats.org/officeDocument/2006/relationships/hyperlink" Target="http://nazarenoetla.gob.mx/transparencia/" TargetMode="External"/><Relationship Id="rId80" Type="http://schemas.openxmlformats.org/officeDocument/2006/relationships/image" Target="media/image46.wmf"/><Relationship Id="rId85" Type="http://schemas.openxmlformats.org/officeDocument/2006/relationships/image" Target="media/image51.wmf"/><Relationship Id="rId150" Type="http://schemas.openxmlformats.org/officeDocument/2006/relationships/hyperlink" Target="http://sangabrielmixtepec.gob.mx/" TargetMode="External"/><Relationship Id="rId155" Type="http://schemas.openxmlformats.org/officeDocument/2006/relationships/hyperlink" Target="http://sanjuanteitipac.gob.mx/transparencia" TargetMode="External"/><Relationship Id="rId171" Type="http://schemas.openxmlformats.org/officeDocument/2006/relationships/hyperlink" Target="http://www.santacatarinaloxicha.gob.mx/" TargetMode="External"/><Relationship Id="rId176" Type="http://schemas.openxmlformats.org/officeDocument/2006/relationships/hyperlink" Target="http://www.santamariacamotlan.gob.mx/transparencia.php" TargetMode="External"/><Relationship Id="rId192" Type="http://schemas.openxmlformats.org/officeDocument/2006/relationships/hyperlink" Target="http://www.santosreyespapalo.org.mx/index.php/transparencia" TargetMode="External"/><Relationship Id="rId197" Type="http://schemas.openxmlformats.org/officeDocument/2006/relationships/hyperlink" Target="http://www.municipioyodocono.gob.mx/" TargetMode="External"/><Relationship Id="rId206" Type="http://schemas.openxmlformats.org/officeDocument/2006/relationships/theme" Target="theme/theme1.xml"/><Relationship Id="rId201" Type="http://schemas.openxmlformats.org/officeDocument/2006/relationships/header" Target="header1.xml"/><Relationship Id="rId12" Type="http://schemas.openxmlformats.org/officeDocument/2006/relationships/chart" Target="charts/chart5.xml"/><Relationship Id="rId17" Type="http://schemas.openxmlformats.org/officeDocument/2006/relationships/chart" Target="charts/chart9.xml"/><Relationship Id="rId33" Type="http://schemas.openxmlformats.org/officeDocument/2006/relationships/image" Target="media/image10.png"/><Relationship Id="rId38" Type="http://schemas.openxmlformats.org/officeDocument/2006/relationships/image" Target="media/image13.png"/><Relationship Id="rId59" Type="http://schemas.openxmlformats.org/officeDocument/2006/relationships/image" Target="media/image28.emf"/><Relationship Id="rId103" Type="http://schemas.openxmlformats.org/officeDocument/2006/relationships/image" Target="media/image68.emf"/><Relationship Id="rId108" Type="http://schemas.openxmlformats.org/officeDocument/2006/relationships/image" Target="media/image73.wmf"/><Relationship Id="rId124" Type="http://schemas.openxmlformats.org/officeDocument/2006/relationships/hyperlink" Target="http://www.finanzasoaxaca.gob.mx/ceaco/infinanciera/fondo_salud.html" TargetMode="External"/><Relationship Id="rId129" Type="http://schemas.openxmlformats.org/officeDocument/2006/relationships/hyperlink" Target="http://www.finanzasoaxaca.gob.mx/ceaco/municipios.html" TargetMode="External"/><Relationship Id="rId54" Type="http://schemas.openxmlformats.org/officeDocument/2006/relationships/chart" Target="charts/chart23.xml"/><Relationship Id="rId70" Type="http://schemas.openxmlformats.org/officeDocument/2006/relationships/image" Target="media/image37.wmf"/><Relationship Id="rId75" Type="http://schemas.openxmlformats.org/officeDocument/2006/relationships/image" Target="media/image42.wmf"/><Relationship Id="rId91" Type="http://schemas.openxmlformats.org/officeDocument/2006/relationships/image" Target="media/image56.wmf"/><Relationship Id="rId96" Type="http://schemas.openxmlformats.org/officeDocument/2006/relationships/image" Target="media/image61.emf"/><Relationship Id="rId140" Type="http://schemas.openxmlformats.org/officeDocument/2006/relationships/hyperlink" Target="http://municipiodeoaxaca.gob.mx/transparencia/2014-2016" TargetMode="External"/><Relationship Id="rId145" Type="http://schemas.openxmlformats.org/officeDocument/2006/relationships/hyperlink" Target="http://sancristobalamatlan.org/" TargetMode="External"/><Relationship Id="rId161" Type="http://schemas.openxmlformats.org/officeDocument/2006/relationships/hyperlink" Target="http://www.sanpedroixtlahuaca.gob.mx/portal-de-transparencia/" TargetMode="External"/><Relationship Id="rId166" Type="http://schemas.openxmlformats.org/officeDocument/2006/relationships/hyperlink" Target="http://www.tututepec.oaxaca.gob.mx/" TargetMode="External"/><Relationship Id="rId182" Type="http://schemas.openxmlformats.org/officeDocument/2006/relationships/hyperlink" Target="http://www.municipiostransparentes.org/iniciotemaxcaltepec.html" TargetMode="External"/><Relationship Id="rId187" Type="http://schemas.openxmlformats.org/officeDocument/2006/relationships/hyperlink" Target="http://www.santiagoxanica.com.m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3.xml"/><Relationship Id="rId28" Type="http://schemas.openxmlformats.org/officeDocument/2006/relationships/image" Target="media/image6.png"/><Relationship Id="rId49" Type="http://schemas.openxmlformats.org/officeDocument/2006/relationships/image" Target="media/image22.emf"/><Relationship Id="rId114" Type="http://schemas.openxmlformats.org/officeDocument/2006/relationships/hyperlink" Target="http://www.finanzasoaxaca.gob.mx/ceaco/infinanciera/aportaciones.html" TargetMode="External"/><Relationship Id="rId119" Type="http://schemas.openxmlformats.org/officeDocument/2006/relationships/hyperlink" Target="http://www.finanzasoaxaca.gob.mx/ceaco/infinanciera/ejercicio.html" TargetMode="External"/><Relationship Id="rId44" Type="http://schemas.openxmlformats.org/officeDocument/2006/relationships/image" Target="media/image17.emf"/><Relationship Id="rId60" Type="http://schemas.openxmlformats.org/officeDocument/2006/relationships/image" Target="media/image29.emf"/><Relationship Id="rId65" Type="http://schemas.openxmlformats.org/officeDocument/2006/relationships/chart" Target="charts/chart26.xml"/><Relationship Id="rId81" Type="http://schemas.openxmlformats.org/officeDocument/2006/relationships/image" Target="media/image47.wmf"/><Relationship Id="rId86" Type="http://schemas.openxmlformats.org/officeDocument/2006/relationships/image" Target="media/image52.wmf"/><Relationship Id="rId130" Type="http://schemas.openxmlformats.org/officeDocument/2006/relationships/hyperlink" Target="http://www.acatlandeperezayuntamiento.com.mx/transparencia/" TargetMode="External"/><Relationship Id="rId135" Type="http://schemas.openxmlformats.org/officeDocument/2006/relationships/hyperlink" Target="http://www.huajuapandeleon.gob.mx/transparencia/" TargetMode="External"/><Relationship Id="rId151" Type="http://schemas.openxmlformats.org/officeDocument/2006/relationships/hyperlink" Target="http://www.tuxtepec.gob.mx/index.php?File=TRANS" TargetMode="External"/><Relationship Id="rId156" Type="http://schemas.openxmlformats.org/officeDocument/2006/relationships/hyperlink" Target="http://municipiodesanlorenzoalbarradas.gob.mx/" TargetMode="External"/><Relationship Id="rId177" Type="http://schemas.openxmlformats.org/officeDocument/2006/relationships/hyperlink" Target="http://santamariachachoapam.gob.mx/" TargetMode="External"/><Relationship Id="rId198" Type="http://schemas.openxmlformats.org/officeDocument/2006/relationships/hyperlink" Target="http://www.zaachila.gob.mx/" TargetMode="External"/><Relationship Id="rId172" Type="http://schemas.openxmlformats.org/officeDocument/2006/relationships/hyperlink" Target="http://www.santacruzamilpas.com/" TargetMode="External"/><Relationship Id="rId193" Type="http://schemas.openxmlformats.org/officeDocument/2006/relationships/hyperlink" Target="http://www.santotomasjalieza.com/" TargetMode="External"/><Relationship Id="rId202" Type="http://schemas.openxmlformats.org/officeDocument/2006/relationships/header" Target="header2.xml"/><Relationship Id="rId13" Type="http://schemas.openxmlformats.org/officeDocument/2006/relationships/chart" Target="charts/chart6.xml"/><Relationship Id="rId18" Type="http://schemas.openxmlformats.org/officeDocument/2006/relationships/chart" Target="charts/chart10.xml"/><Relationship Id="rId39" Type="http://schemas.openxmlformats.org/officeDocument/2006/relationships/image" Target="media/image14.emf"/><Relationship Id="rId109" Type="http://schemas.openxmlformats.org/officeDocument/2006/relationships/image" Target="media/image74.wmf"/><Relationship Id="rId34" Type="http://schemas.openxmlformats.org/officeDocument/2006/relationships/image" Target="media/image11.emf"/><Relationship Id="rId50" Type="http://schemas.openxmlformats.org/officeDocument/2006/relationships/chart" Target="charts/chart21.xml"/><Relationship Id="rId55" Type="http://schemas.openxmlformats.org/officeDocument/2006/relationships/image" Target="media/image25.emf"/><Relationship Id="rId76" Type="http://schemas.openxmlformats.org/officeDocument/2006/relationships/chart" Target="charts/chart27.xml"/><Relationship Id="rId97" Type="http://schemas.openxmlformats.org/officeDocument/2006/relationships/image" Target="media/image62.emf"/><Relationship Id="rId104" Type="http://schemas.openxmlformats.org/officeDocument/2006/relationships/image" Target="media/image69.emf"/><Relationship Id="rId120" Type="http://schemas.openxmlformats.org/officeDocument/2006/relationships/hyperlink" Target="http://www.finanzasoaxaca.gob.mx/ceaco/infinanciera/montos.html" TargetMode="External"/><Relationship Id="rId125" Type="http://schemas.openxmlformats.org/officeDocument/2006/relationships/hyperlink" Target="http://www.finanzasoaxaca.gob.mx/ceaco/infinanciera/aplicacion_recursos.html" TargetMode="External"/><Relationship Id="rId141" Type="http://schemas.openxmlformats.org/officeDocument/2006/relationships/hyperlink" Target="http://www.municipiodeocotlandemorelos.gob.mx/" TargetMode="External"/><Relationship Id="rId146" Type="http://schemas.openxmlformats.org/officeDocument/2006/relationships/hyperlink" Target="http://www.sanfranciscocahuacua.gob.mx/transparencia.html" TargetMode="External"/><Relationship Id="rId167" Type="http://schemas.openxmlformats.org/officeDocument/2006/relationships/hyperlink" Target="http://municipiosanraymundojalpan.gob.mx/" TargetMode="External"/><Relationship Id="rId188" Type="http://schemas.openxmlformats.org/officeDocument/2006/relationships/hyperlink" Target="http://www.santiagoyolomecatl.com.mx/" TargetMode="Externa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7.wmf"/><Relationship Id="rId162" Type="http://schemas.openxmlformats.org/officeDocument/2006/relationships/hyperlink" Target="http://sanpedromolinos.gob.mx/" TargetMode="External"/><Relationship Id="rId183" Type="http://schemas.openxmlformats.org/officeDocument/2006/relationships/hyperlink" Target="http://www.juxtlahuaca-municipio.mx/"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4.png"/><Relationship Id="rId40" Type="http://schemas.openxmlformats.org/officeDocument/2006/relationships/chart" Target="charts/chart19.xml"/><Relationship Id="rId45" Type="http://schemas.openxmlformats.org/officeDocument/2006/relationships/image" Target="media/image18.emf"/><Relationship Id="rId66" Type="http://schemas.openxmlformats.org/officeDocument/2006/relationships/image" Target="media/image33.wmf"/><Relationship Id="rId87" Type="http://schemas.openxmlformats.org/officeDocument/2006/relationships/chart" Target="charts/chart28.xml"/><Relationship Id="rId110" Type="http://schemas.openxmlformats.org/officeDocument/2006/relationships/image" Target="media/image75.wmf"/><Relationship Id="rId115" Type="http://schemas.openxmlformats.org/officeDocument/2006/relationships/hyperlink" Target="http://www.finanzasoaxaca.gob.mx/ceaco/infinanciera/fondo_salud.html" TargetMode="External"/><Relationship Id="rId131" Type="http://schemas.openxmlformats.org/officeDocument/2006/relationships/hyperlink" Target="http://www.municipiodecoatecasaltas.gob.mx/" TargetMode="External"/><Relationship Id="rId136" Type="http://schemas.openxmlformats.org/officeDocument/2006/relationships/hyperlink" Target="http://www.juchitandezaragoza.gob.mx/" TargetMode="External"/><Relationship Id="rId157" Type="http://schemas.openxmlformats.org/officeDocument/2006/relationships/hyperlink" Target="http://www.municipiostransparentes.org/san-lucas-quiavini.html" TargetMode="External"/><Relationship Id="rId178" Type="http://schemas.openxmlformats.org/officeDocument/2006/relationships/hyperlink" Target="http://www.municipiotule.com.mx/" TargetMode="External"/><Relationship Id="rId61" Type="http://schemas.openxmlformats.org/officeDocument/2006/relationships/image" Target="media/image30.wmf"/><Relationship Id="rId82" Type="http://schemas.openxmlformats.org/officeDocument/2006/relationships/image" Target="media/image48.wmf"/><Relationship Id="rId152" Type="http://schemas.openxmlformats.org/officeDocument/2006/relationships/hyperlink" Target="http://sanjuanguelavia.gob.mx/transparencia/" TargetMode="External"/><Relationship Id="rId173" Type="http://schemas.openxmlformats.org/officeDocument/2006/relationships/hyperlink" Target="http://municipiosantacruzmixtepec.com/" TargetMode="External"/><Relationship Id="rId194" Type="http://schemas.openxmlformats.org/officeDocument/2006/relationships/hyperlink" Target="http://santotomastamazulapan.org/" TargetMode="External"/><Relationship Id="rId199" Type="http://schemas.openxmlformats.org/officeDocument/2006/relationships/hyperlink" Target="http://cogo.com.mx/santainesdezaragoza.gob.mx/index.php/transparencia" TargetMode="External"/><Relationship Id="rId203" Type="http://schemas.openxmlformats.org/officeDocument/2006/relationships/footer" Target="footer1.xml"/><Relationship Id="rId19" Type="http://schemas.openxmlformats.org/officeDocument/2006/relationships/chart" Target="charts/chart11.xml"/><Relationship Id="rId14" Type="http://schemas.openxmlformats.org/officeDocument/2006/relationships/image" Target="media/image1.emf"/><Relationship Id="rId30" Type="http://schemas.openxmlformats.org/officeDocument/2006/relationships/image" Target="media/image8.png"/><Relationship Id="rId35" Type="http://schemas.openxmlformats.org/officeDocument/2006/relationships/chart" Target="charts/chart17.xml"/><Relationship Id="rId56" Type="http://schemas.openxmlformats.org/officeDocument/2006/relationships/image" Target="media/image26.emf"/><Relationship Id="rId77" Type="http://schemas.openxmlformats.org/officeDocument/2006/relationships/image" Target="media/image43.wmf"/><Relationship Id="rId100" Type="http://schemas.openxmlformats.org/officeDocument/2006/relationships/image" Target="media/image65.emf"/><Relationship Id="rId105" Type="http://schemas.openxmlformats.org/officeDocument/2006/relationships/image" Target="media/image70.emf"/><Relationship Id="rId126" Type="http://schemas.openxmlformats.org/officeDocument/2006/relationships/hyperlink" Target="http://www.finanzasoaxaca.gob.mx/ceaco/infinanciera/fondo_seguridad.html" TargetMode="External"/><Relationship Id="rId147" Type="http://schemas.openxmlformats.org/officeDocument/2006/relationships/hyperlink" Target="http://www.municipiosanfranciscodelmar.com/" TargetMode="External"/><Relationship Id="rId168" Type="http://schemas.openxmlformats.org/officeDocument/2006/relationships/hyperlink" Target="http://www.ixcapa.com.mx/" TargetMode="External"/><Relationship Id="rId8" Type="http://schemas.openxmlformats.org/officeDocument/2006/relationships/chart" Target="charts/chart1.xml"/><Relationship Id="rId51" Type="http://schemas.openxmlformats.org/officeDocument/2006/relationships/image" Target="media/image23.emf"/><Relationship Id="rId72" Type="http://schemas.openxmlformats.org/officeDocument/2006/relationships/image" Target="media/image39.wmf"/><Relationship Id="rId93" Type="http://schemas.openxmlformats.org/officeDocument/2006/relationships/image" Target="media/image58.wmf"/><Relationship Id="rId98" Type="http://schemas.openxmlformats.org/officeDocument/2006/relationships/image" Target="media/image63.wmf"/><Relationship Id="rId121" Type="http://schemas.openxmlformats.org/officeDocument/2006/relationships/hyperlink" Target="http://www.finanzasoaxaca.gob.mx/ceaco/infinanciera/programa_recursos.html" TargetMode="External"/><Relationship Id="rId142" Type="http://schemas.openxmlformats.org/officeDocument/2006/relationships/hyperlink" Target="http://rojasdecuauhtemoc.gob.mx/" TargetMode="External"/><Relationship Id="rId163" Type="http://schemas.openxmlformats.org/officeDocument/2006/relationships/hyperlink" Target="http://www.sanpedroocopetatillo.org/" TargetMode="External"/><Relationship Id="rId184" Type="http://schemas.openxmlformats.org/officeDocument/2006/relationships/hyperlink" Target="http://santiagolaollaga.com/" TargetMode="External"/><Relationship Id="rId189" Type="http://schemas.openxmlformats.org/officeDocument/2006/relationships/hyperlink" Target="http://santodomingoozolotepec.org/" TargetMode="External"/><Relationship Id="rId3" Type="http://schemas.openxmlformats.org/officeDocument/2006/relationships/styles" Target="styles.xml"/><Relationship Id="rId214" Type="http://schemas.microsoft.com/office/2007/relationships/stylesWithEffects" Target="stylesWithEffects.xml"/><Relationship Id="rId25" Type="http://schemas.openxmlformats.org/officeDocument/2006/relationships/chart" Target="charts/chart14.xml"/><Relationship Id="rId46" Type="http://schemas.openxmlformats.org/officeDocument/2006/relationships/image" Target="media/image19.emf"/><Relationship Id="rId67" Type="http://schemas.openxmlformats.org/officeDocument/2006/relationships/image" Target="media/image34.wmf"/><Relationship Id="rId116" Type="http://schemas.openxmlformats.org/officeDocument/2006/relationships/hyperlink" Target="http://www.finanzasoaxaca.gob.mx/ceaco/infinanciera/aplicacion_recursos.html" TargetMode="External"/><Relationship Id="rId137" Type="http://schemas.openxmlformats.org/officeDocument/2006/relationships/hyperlink" Target="http://www.magdalenaocotlan.gob.mx/" TargetMode="External"/><Relationship Id="rId158" Type="http://schemas.openxmlformats.org/officeDocument/2006/relationships/hyperlink" Target="http://www.sanmateodelmar.com.mx/transparencia/" TargetMode="External"/><Relationship Id="rId20" Type="http://schemas.openxmlformats.org/officeDocument/2006/relationships/chart" Target="charts/chart12.xml"/><Relationship Id="rId41" Type="http://schemas.openxmlformats.org/officeDocument/2006/relationships/image" Target="media/image15.png"/><Relationship Id="rId62" Type="http://schemas.openxmlformats.org/officeDocument/2006/relationships/chart" Target="charts/chart25.xml"/><Relationship Id="rId83" Type="http://schemas.openxmlformats.org/officeDocument/2006/relationships/image" Target="media/image49.wmf"/><Relationship Id="rId88" Type="http://schemas.openxmlformats.org/officeDocument/2006/relationships/image" Target="media/image53.wmf"/><Relationship Id="rId111" Type="http://schemas.openxmlformats.org/officeDocument/2006/relationships/hyperlink" Target="http://www.finanzasoaxaca.gob.mx/ceaco/infinanciera/montos.html" TargetMode="External"/><Relationship Id="rId132" Type="http://schemas.openxmlformats.org/officeDocument/2006/relationships/hyperlink" Target="http://www.constanciadelrosario.gob.mx/" TargetMode="External"/><Relationship Id="rId153" Type="http://schemas.openxmlformats.org/officeDocument/2006/relationships/hyperlink" Target="http://municipiosanjuanguichicovi.gob.mx/" TargetMode="External"/><Relationship Id="rId174" Type="http://schemas.openxmlformats.org/officeDocument/2006/relationships/hyperlink" Target="http://transparencia.xoxocotlan.gob.mx/" TargetMode="External"/><Relationship Id="rId179" Type="http://schemas.openxmlformats.org/officeDocument/2006/relationships/hyperlink" Target="http://huatulco.gob.mx/" TargetMode="External"/><Relationship Id="rId195" Type="http://schemas.openxmlformats.org/officeDocument/2006/relationships/hyperlink" Target="http://municipiodiazordaz.gob.mx/" TargetMode="External"/><Relationship Id="rId190" Type="http://schemas.openxmlformats.org/officeDocument/2006/relationships/hyperlink" Target="http://www.tehuantepec.gob.mx/" TargetMode="External"/><Relationship Id="rId204" Type="http://schemas.openxmlformats.org/officeDocument/2006/relationships/footer" Target="footer2.xml"/><Relationship Id="rId15" Type="http://schemas.openxmlformats.org/officeDocument/2006/relationships/chart" Target="charts/chart7.xml"/><Relationship Id="rId36" Type="http://schemas.openxmlformats.org/officeDocument/2006/relationships/image" Target="media/image12.emf"/><Relationship Id="rId57" Type="http://schemas.openxmlformats.org/officeDocument/2006/relationships/image" Target="media/image27.emf"/><Relationship Id="rId106" Type="http://schemas.openxmlformats.org/officeDocument/2006/relationships/image" Target="media/image71.emf"/><Relationship Id="rId127" Type="http://schemas.openxmlformats.org/officeDocument/2006/relationships/hyperlink" Target="http://www.finanzasoaxaca.gob.mx/ceaco/infinanciera/obligaciones.html" TargetMode="External"/><Relationship Id="rId10" Type="http://schemas.openxmlformats.org/officeDocument/2006/relationships/chart" Target="charts/chart3.xml"/><Relationship Id="rId31" Type="http://schemas.openxmlformats.org/officeDocument/2006/relationships/image" Target="media/image9.png"/><Relationship Id="rId52" Type="http://schemas.openxmlformats.org/officeDocument/2006/relationships/chart" Target="charts/chart22.xml"/><Relationship Id="rId73" Type="http://schemas.openxmlformats.org/officeDocument/2006/relationships/image" Target="media/image40.wmf"/><Relationship Id="rId78" Type="http://schemas.openxmlformats.org/officeDocument/2006/relationships/image" Target="media/image44.wmf"/><Relationship Id="rId94" Type="http://schemas.openxmlformats.org/officeDocument/2006/relationships/image" Target="media/image59.wmf"/><Relationship Id="rId99" Type="http://schemas.openxmlformats.org/officeDocument/2006/relationships/image" Target="media/image64.wmf"/><Relationship Id="rId101" Type="http://schemas.openxmlformats.org/officeDocument/2006/relationships/image" Target="media/image66.emf"/><Relationship Id="rId122" Type="http://schemas.openxmlformats.org/officeDocument/2006/relationships/hyperlink" Target="http://www.finanzasoaxaca.gob.mx/ceaco/infinanciera/cuentas.html" TargetMode="External"/><Relationship Id="rId143" Type="http://schemas.openxmlformats.org/officeDocument/2006/relationships/hyperlink" Target="http://www.sanandreshuayapam.gob.mx/finanzas" TargetMode="External"/><Relationship Id="rId148" Type="http://schemas.openxmlformats.org/officeDocument/2006/relationships/hyperlink" Target="http://www.sanfranciscolachigolo.gob.mx/" TargetMode="External"/><Relationship Id="rId164" Type="http://schemas.openxmlformats.org/officeDocument/2006/relationships/hyperlink" Target="http://www.sanpedropochutla.gob.mx/" TargetMode="External"/><Relationship Id="rId169" Type="http://schemas.openxmlformats.org/officeDocument/2006/relationships/hyperlink" Target="http://santaanamiahuatlan.gob.mx/web/transparencia/" TargetMode="External"/><Relationship Id="rId185" Type="http://schemas.openxmlformats.org/officeDocument/2006/relationships/hyperlink" Target="http://municipiomatatlan.gob.mx/" TargetMode="Externa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hyperlink" Target="http://huazolotitlan.gob.mx/haciendapublica.php" TargetMode="External"/><Relationship Id="rId26" Type="http://schemas.openxmlformats.org/officeDocument/2006/relationships/image" Target="media/image5.png"/><Relationship Id="rId47" Type="http://schemas.openxmlformats.org/officeDocument/2006/relationships/image" Target="media/image20.emf"/><Relationship Id="rId68" Type="http://schemas.openxmlformats.org/officeDocument/2006/relationships/image" Target="media/image35.wmf"/><Relationship Id="rId89" Type="http://schemas.openxmlformats.org/officeDocument/2006/relationships/image" Target="media/image54.wmf"/><Relationship Id="rId112" Type="http://schemas.openxmlformats.org/officeDocument/2006/relationships/hyperlink" Target="http://www.finanzasoaxaca.gob.mx/ceaco/infinanciera/programa_recursos.html" TargetMode="External"/><Relationship Id="rId133" Type="http://schemas.openxmlformats.org/officeDocument/2006/relationships/hyperlink" Target="http://cuilapam.gob.mx/transparencia" TargetMode="External"/><Relationship Id="rId154" Type="http://schemas.openxmlformats.org/officeDocument/2006/relationships/hyperlink" Target="http://www.sanjuantabaa.org.mx/" TargetMode="External"/><Relationship Id="rId175" Type="http://schemas.openxmlformats.org/officeDocument/2006/relationships/hyperlink" Target="http://www.municipiotlaxiaco.gob.mx/" TargetMode="External"/><Relationship Id="rId196" Type="http://schemas.openxmlformats.org/officeDocument/2006/relationships/hyperlink" Target="http://yaxe2014-2016.wix.com/yaxe" TargetMode="External"/><Relationship Id="rId200" Type="http://schemas.openxmlformats.org/officeDocument/2006/relationships/hyperlink" Target="http://municipiodezimatlan.gob.mx/transparenc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0.emf"/></Relationships>
</file>

<file path=word/_rels/footer2.xml.rels><?xml version="1.0" encoding="UTF-8" standalone="yes"?>
<Relationships xmlns="http://schemas.openxmlformats.org/package/2006/relationships"><Relationship Id="rId1" Type="http://schemas.openxmlformats.org/officeDocument/2006/relationships/image" Target="media/image80.emf"/></Relationships>
</file>

<file path=word/_rels/header1.xml.rels><?xml version="1.0" encoding="UTF-8" standalone="yes"?>
<Relationships xmlns="http://schemas.openxmlformats.org/package/2006/relationships"><Relationship Id="rId3" Type="http://schemas.openxmlformats.org/officeDocument/2006/relationships/image" Target="media/image78.emf"/><Relationship Id="rId2" Type="http://schemas.openxmlformats.org/officeDocument/2006/relationships/image" Target="media/image77.emf"/><Relationship Id="rId1" Type="http://schemas.openxmlformats.org/officeDocument/2006/relationships/image" Target="media/image76.emf"/></Relationships>
</file>

<file path=word/_rels/header2.xml.rels><?xml version="1.0" encoding="UTF-8" standalone="yes"?>
<Relationships xmlns="http://schemas.openxmlformats.org/package/2006/relationships"><Relationship Id="rId1" Type="http://schemas.openxmlformats.org/officeDocument/2006/relationships/image" Target="media/image7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OPORTE\Dropbox\SEFIN\PIB,%20PIBE,%20sectores,%20oaxaca%20vs%20nacional%20oc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terna\Desktop\IED%20oax%20Flujosporentidadfederativa2%20mar%20201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PORTE\Downloads\INP_INP20160421213409.XLS" TargetMode="Externa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dell\Desktop\2016\Cuenta%20P&#250;blica%202016\Primer%20Trimeste\Graficas%20padr&#243;n%20cta%20p&#250;blica.xlsx"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dell\Desktop\2016\Cuenta%20P&#250;blica%202016\Primer%20Trimeste\Graficas%20padr&#243;n%20cta%20p&#250;blica.xlsx"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dell\Desktop\2016\Cuenta%20P&#250;blica%202016\Primer%20Trimeste\Graficas%20padr&#243;n%20cta%20p&#250;blica.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dell\Desktop\2016\Cuenta%20P&#250;blica%202016\Primer%20Trimeste\graficas%20ingresos%20gestion2015.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terna\Downloads\BIE_BIE20160306192905%20(version%201).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admin\Desktop\avance%20de%20gestion%20financiera\2016\1er%20trimestre\ingresos\cuadros_de_ingr%20%201er%20trim%202016.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admin\Desktop\avance%20de%20gestion%20financiera\2016\1er%20trimestre\egresos\TABLAS%20PARA%20EL%20TEXTO%20DEFINITIVO%2027%20DE%20ABRIL%20modificadas%20por%20javier.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admin\Desktop\avance%20de%20gestion%20financiera\2016\1er%20trimestre\egresos\TABLAS%20PARA%20EL%20TEXTO%20DEFINITIVO%2027%20DE%20ABRIL%20modificadas%20por%20javier.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admin\Desktop\avance%20de%20gestion%20financiera\2016\1er%20trimestre\egresos\TABLAS%20PARA%20EL%20TEXTO%20DEFINITIVO%2027%20DE%20ABRIL%20modificadas%20por%20javier.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admin\Desktop\avance%20de%20gestion%20financiera\2016\1er%20trimestre\egresos\TABLAS%20PARA%20EL%20TEXTO%20DEFINITIVO%2027%20DE%20ABRIL%20modificadas%20por%20javi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terna\Downloads\BIE_BIE20160306192905%20(version%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terna\Downloads\BIE_BIE20160306192905%20(version%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terna\Downloads\BIE_BIE20160306192905%20(version%20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terna\Desktop\CUENTA%20PUBLICA%20empleo%20por%20actividad%20oct21%20actualizado%20mar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Cuenta%20P&#250;blica.%20Ingresos%20Marzo%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terna\Desktop\CUENTA%20PUBLICA%20empleo%20por%20actividad%20oct21%20actualizado%20mar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Cuenta%20P&#250;blica.%20Ingresos%20Marzo%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prstClr val="black"/>
                </a:solidFill>
                <a:latin typeface="Arial Narrow" pitchFamily="34" charset="0"/>
                <a:ea typeface="+mn-ea"/>
                <a:cs typeface="+mn-cs"/>
              </a:defRPr>
            </a:pPr>
            <a:r>
              <a:rPr lang="es-MX" sz="1200" b="1" i="0" baseline="0" dirty="0" smtClean="0">
                <a:effectLst/>
                <a:latin typeface="Arial Narrow" pitchFamily="34" charset="0"/>
              </a:rPr>
              <a:t>ESTADO DE OAXACA: PIBE (2005-2015*)</a:t>
            </a:r>
            <a:endParaRPr lang="es-MX" sz="1200" dirty="0" smtClean="0">
              <a:effectLst/>
              <a:latin typeface="Arial Narrow"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prstClr val="black"/>
                </a:solidFill>
                <a:latin typeface="Arial Narrow" pitchFamily="34" charset="0"/>
                <a:ea typeface="+mn-ea"/>
                <a:cs typeface="+mn-cs"/>
              </a:defRPr>
            </a:pPr>
            <a:endParaRPr lang="en-US" sz="1400" dirty="0">
              <a:latin typeface="Arial Narrow" pitchFamily="34" charset="0"/>
            </a:endParaRPr>
          </a:p>
        </c:rich>
      </c:tx>
    </c:title>
    <c:plotArea>
      <c:layout>
        <c:manualLayout>
          <c:layoutTarget val="inner"/>
          <c:xMode val="edge"/>
          <c:yMode val="edge"/>
          <c:x val="2.8956152467304652E-2"/>
          <c:y val="4.5180082221268972E-2"/>
          <c:w val="0.9420876950653907"/>
          <c:h val="0.84602252818691259"/>
        </c:manualLayout>
      </c:layout>
      <c:barChart>
        <c:barDir val="col"/>
        <c:grouping val="clustered"/>
        <c:ser>
          <c:idx val="0"/>
          <c:order val="0"/>
          <c:tx>
            <c:strRef>
              <c:f>'PIBE OAXACA'!$W$6</c:f>
              <c:strCache>
                <c:ptCount val="1"/>
                <c:pt idx="0">
                  <c:v>PIBE</c:v>
                </c:pt>
              </c:strCache>
            </c:strRef>
          </c:tx>
          <c:spPr>
            <a:solidFill>
              <a:schemeClr val="accent1"/>
            </a:solidFill>
          </c:spPr>
          <c:dLbls>
            <c:numFmt formatCode="#,##0" sourceLinked="0"/>
            <c:spPr>
              <a:noFill/>
              <a:ln>
                <a:noFill/>
              </a:ln>
              <a:effectLst/>
            </c:spPr>
            <c:txPr>
              <a:bodyPr rot="-5400000" vert="horz"/>
              <a:lstStyle/>
              <a:p>
                <a:pPr>
                  <a:defRPr sz="1200" b="0">
                    <a:solidFill>
                      <a:schemeClr val="bg1"/>
                    </a:solidFill>
                  </a:defRPr>
                </a:pPr>
                <a:endParaRPr lang="es-MX"/>
              </a:p>
            </c:txPr>
            <c:dLblPos val="inEnd"/>
            <c:showVal val="1"/>
            <c:extLst>
              <c:ext xmlns:c15="http://schemas.microsoft.com/office/drawing/2012/chart" uri="{CE6537A1-D6FC-4f65-9D91-7224C49458BB}">
                <c15:layout/>
                <c15:showLeaderLines val="0"/>
              </c:ext>
            </c:extLst>
          </c:dLbls>
          <c:cat>
            <c:strRef>
              <c:f>'PIBE OAXACA'!$V$7:$V$18</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'PIBE OAXACA'!$W$7:$W$18</c:f>
              <c:numCache>
                <c:formatCode>#,##0.00</c:formatCode>
                <c:ptCount val="12"/>
                <c:pt idx="0">
                  <c:v>173875.54199999999</c:v>
                </c:pt>
                <c:pt idx="1">
                  <c:v>175914.345</c:v>
                </c:pt>
                <c:pt idx="2">
                  <c:v>178421.87900000002</c:v>
                </c:pt>
                <c:pt idx="3">
                  <c:v>181732.16600000003</c:v>
                </c:pt>
                <c:pt idx="4">
                  <c:v>183904.85099999965</c:v>
                </c:pt>
                <c:pt idx="5">
                  <c:v>182120.24300000007</c:v>
                </c:pt>
                <c:pt idx="6">
                  <c:v>185660.05599999998</c:v>
                </c:pt>
                <c:pt idx="7">
                  <c:v>194106.85599999968</c:v>
                </c:pt>
                <c:pt idx="8">
                  <c:v>199424.802</c:v>
                </c:pt>
                <c:pt idx="9">
                  <c:v>204829</c:v>
                </c:pt>
                <c:pt idx="10">
                  <c:v>208849</c:v>
                </c:pt>
                <c:pt idx="11">
                  <c:v>214467.03809999998</c:v>
                </c:pt>
              </c:numCache>
            </c:numRef>
          </c:val>
        </c:ser>
        <c:gapWidth val="70"/>
        <c:axId val="113301760"/>
        <c:axId val="113512448"/>
      </c:barChart>
      <c:catAx>
        <c:axId val="113301760"/>
        <c:scaling>
          <c:orientation val="minMax"/>
        </c:scaling>
        <c:axPos val="b"/>
        <c:numFmt formatCode="General" sourceLinked="1"/>
        <c:tickLblPos val="nextTo"/>
        <c:crossAx val="113512448"/>
        <c:crosses val="autoZero"/>
        <c:auto val="1"/>
        <c:lblAlgn val="ctr"/>
        <c:lblOffset val="100"/>
      </c:catAx>
      <c:valAx>
        <c:axId val="113512448"/>
        <c:scaling>
          <c:orientation val="minMax"/>
        </c:scaling>
        <c:delete val="1"/>
        <c:axPos val="l"/>
        <c:majorGridlines>
          <c:spPr>
            <a:ln>
              <a:noFill/>
            </a:ln>
          </c:spPr>
        </c:majorGridlines>
        <c:numFmt formatCode="#,##0.00" sourceLinked="1"/>
        <c:tickLblPos val="none"/>
        <c:crossAx val="113301760"/>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100" cap="all" baseline="0">
                <a:latin typeface="Arial Narrow" pitchFamily="34" charset="0"/>
              </a:defRPr>
            </a:pPr>
            <a:r>
              <a:rPr lang="es-ES" sz="1100" cap="all" baseline="0">
                <a:effectLst/>
                <a:latin typeface="Arial Narrow" pitchFamily="34" charset="0"/>
              </a:rPr>
              <a:t>ESTADO DE OAXACA: Trabajadores permanentes </a:t>
            </a:r>
          </a:p>
          <a:p>
            <a:pPr>
              <a:defRPr sz="1100" cap="all" baseline="0">
                <a:latin typeface="Arial Narrow" pitchFamily="34" charset="0"/>
              </a:defRPr>
            </a:pPr>
            <a:r>
              <a:rPr lang="es-ES" sz="1100" cap="all" baseline="0">
                <a:effectLst/>
                <a:latin typeface="Arial Narrow" pitchFamily="34" charset="0"/>
              </a:rPr>
              <a:t>y eventuales asegurados en el IMSS  (2010-2016*)</a:t>
            </a:r>
            <a:endParaRPr lang="es-MX" sz="1100" cap="all" baseline="0">
              <a:effectLst/>
              <a:latin typeface="Arial Narrow" pitchFamily="34" charset="0"/>
            </a:endParaRPr>
          </a:p>
        </c:rich>
      </c:tx>
      <c:layout>
        <c:manualLayout>
          <c:xMode val="edge"/>
          <c:yMode val="edge"/>
          <c:x val="0.16304155730533684"/>
          <c:y val="0"/>
        </c:manualLayout>
      </c:layout>
    </c:title>
    <c:plotArea>
      <c:layout/>
      <c:lineChart>
        <c:grouping val="standard"/>
        <c:ser>
          <c:idx val="0"/>
          <c:order val="0"/>
          <c:tx>
            <c:strRef>
              <c:f>Hoja1!$B$1</c:f>
              <c:strCache>
                <c:ptCount val="1"/>
                <c:pt idx="0">
                  <c:v>Dato</c:v>
                </c:pt>
              </c:strCache>
            </c:strRef>
          </c:tx>
          <c:marker>
            <c:symbol val="none"/>
          </c:marker>
          <c:dLbls>
            <c:dLbl>
              <c:idx val="73"/>
              <c:layout>
                <c:manualLayout>
                  <c:x val="0"/>
                  <c:y val="-5.5555555555555455E-2"/>
                </c:manualLayout>
              </c:layout>
              <c:showVal val="1"/>
              <c:extLst>
                <c:ext xmlns:c15="http://schemas.microsoft.com/office/drawing/2012/chart" uri="{CE6537A1-D6FC-4f65-9D91-7224C49458BB}">
                  <c15:layout/>
                </c:ext>
              </c:extLst>
            </c:dLbl>
            <c:delete val="1"/>
            <c:spPr>
              <a:noFill/>
              <a:ln>
                <a:noFill/>
              </a:ln>
              <a:effectLst/>
            </c:spPr>
            <c:txPr>
              <a:bodyPr/>
              <a:lstStyle/>
              <a:p>
                <a:pPr>
                  <a:defRPr b="1">
                    <a:solidFill>
                      <a:schemeClr val="accent1"/>
                    </a:solidFill>
                  </a:defRPr>
                </a:pPr>
                <a:endParaRPr lang="es-MX"/>
              </a:p>
            </c:txPr>
            <c:extLst>
              <c:ext xmlns:c15="http://schemas.microsoft.com/office/drawing/2012/chart" uri="{CE6537A1-D6FC-4f65-9D91-7224C49458BB}">
                <c15:showLeaderLines val="0"/>
              </c:ext>
            </c:extLst>
          </c:dLbls>
          <c:cat>
            <c:strRef>
              <c:f>Hoja1!$A$2:$A$76</c:f>
              <c:strCache>
                <c:ptCount val="75"/>
                <c:pt idx="0">
                  <c:v>2010/01</c:v>
                </c:pt>
                <c:pt idx="1">
                  <c:v>2010/02</c:v>
                </c:pt>
                <c:pt idx="2">
                  <c:v>2010/03</c:v>
                </c:pt>
                <c:pt idx="3">
                  <c:v>2010/04</c:v>
                </c:pt>
                <c:pt idx="4">
                  <c:v>2010/05</c:v>
                </c:pt>
                <c:pt idx="5">
                  <c:v>2010/06</c:v>
                </c:pt>
                <c:pt idx="6">
                  <c:v>2010/07</c:v>
                </c:pt>
                <c:pt idx="7">
                  <c:v>2010/08</c:v>
                </c:pt>
                <c:pt idx="8">
                  <c:v>2010/09</c:v>
                </c:pt>
                <c:pt idx="9">
                  <c:v>2010/10</c:v>
                </c:pt>
                <c:pt idx="10">
                  <c:v>2010/11</c:v>
                </c:pt>
                <c:pt idx="11">
                  <c:v>2010/12</c:v>
                </c:pt>
                <c:pt idx="12">
                  <c:v>2011/01</c:v>
                </c:pt>
                <c:pt idx="13">
                  <c:v>2011/02</c:v>
                </c:pt>
                <c:pt idx="14">
                  <c:v>2011/03</c:v>
                </c:pt>
                <c:pt idx="15">
                  <c:v>2011/04</c:v>
                </c:pt>
                <c:pt idx="16">
                  <c:v>2011/05</c:v>
                </c:pt>
                <c:pt idx="17">
                  <c:v>2011/06</c:v>
                </c:pt>
                <c:pt idx="18">
                  <c:v>2011/07</c:v>
                </c:pt>
                <c:pt idx="19">
                  <c:v>2011/08</c:v>
                </c:pt>
                <c:pt idx="20">
                  <c:v>2011/09</c:v>
                </c:pt>
                <c:pt idx="21">
                  <c:v>2011/10</c:v>
                </c:pt>
                <c:pt idx="22">
                  <c:v>2011/11</c:v>
                </c:pt>
                <c:pt idx="23">
                  <c:v>2011/12</c:v>
                </c:pt>
                <c:pt idx="24">
                  <c:v>2012/01</c:v>
                </c:pt>
                <c:pt idx="25">
                  <c:v>2012/02</c:v>
                </c:pt>
                <c:pt idx="26">
                  <c:v>2012/03</c:v>
                </c:pt>
                <c:pt idx="27">
                  <c:v>2012/04</c:v>
                </c:pt>
                <c:pt idx="28">
                  <c:v>2012/05</c:v>
                </c:pt>
                <c:pt idx="29">
                  <c:v>2012/06</c:v>
                </c:pt>
                <c:pt idx="30">
                  <c:v>2012/07</c:v>
                </c:pt>
                <c:pt idx="31">
                  <c:v>2012/08</c:v>
                </c:pt>
                <c:pt idx="32">
                  <c:v>2012/09</c:v>
                </c:pt>
                <c:pt idx="33">
                  <c:v>2012/10</c:v>
                </c:pt>
                <c:pt idx="34">
                  <c:v>2012/11</c:v>
                </c:pt>
                <c:pt idx="35">
                  <c:v>2012/12</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2014/01</c:v>
                </c:pt>
                <c:pt idx="49">
                  <c:v>2014/02</c:v>
                </c:pt>
                <c:pt idx="50">
                  <c:v>2014/03</c:v>
                </c:pt>
                <c:pt idx="51">
                  <c:v>2014/04</c:v>
                </c:pt>
                <c:pt idx="52">
                  <c:v>2014/05</c:v>
                </c:pt>
                <c:pt idx="53">
                  <c:v>2014/06</c:v>
                </c:pt>
                <c:pt idx="54">
                  <c:v>2014/07</c:v>
                </c:pt>
                <c:pt idx="55">
                  <c:v>2014/08</c:v>
                </c:pt>
                <c:pt idx="56">
                  <c:v>2014/09</c:v>
                </c:pt>
                <c:pt idx="57">
                  <c:v>2014/10</c:v>
                </c:pt>
                <c:pt idx="58">
                  <c:v>2014/11</c:v>
                </c:pt>
                <c:pt idx="59">
                  <c:v>2014/12</c:v>
                </c:pt>
                <c:pt idx="60">
                  <c:v>2015/01</c:v>
                </c:pt>
                <c:pt idx="61">
                  <c:v>2015/02</c:v>
                </c:pt>
                <c:pt idx="62">
                  <c:v>2015/03</c:v>
                </c:pt>
                <c:pt idx="63">
                  <c:v>2015/04</c:v>
                </c:pt>
                <c:pt idx="64">
                  <c:v>2015/05</c:v>
                </c:pt>
                <c:pt idx="65">
                  <c:v>2015/06</c:v>
                </c:pt>
                <c:pt idx="66">
                  <c:v>2015/07</c:v>
                </c:pt>
                <c:pt idx="67">
                  <c:v>2015/08</c:v>
                </c:pt>
                <c:pt idx="68">
                  <c:v>2015/09</c:v>
                </c:pt>
                <c:pt idx="69">
                  <c:v>2015/10</c:v>
                </c:pt>
                <c:pt idx="70">
                  <c:v>2015/11</c:v>
                </c:pt>
                <c:pt idx="71">
                  <c:v>2015/12</c:v>
                </c:pt>
                <c:pt idx="72">
                  <c:v>2016/01</c:v>
                </c:pt>
                <c:pt idx="73">
                  <c:v>2016/02</c:v>
                </c:pt>
                <c:pt idx="74">
                  <c:v>2016/03</c:v>
                </c:pt>
              </c:strCache>
            </c:strRef>
          </c:cat>
          <c:val>
            <c:numRef>
              <c:f>Hoja1!$B$2:$B$76</c:f>
              <c:numCache>
                <c:formatCode>#,##0</c:formatCode>
                <c:ptCount val="75"/>
                <c:pt idx="0">
                  <c:v>156148</c:v>
                </c:pt>
                <c:pt idx="1">
                  <c:v>156815</c:v>
                </c:pt>
                <c:pt idx="2">
                  <c:v>158065</c:v>
                </c:pt>
                <c:pt idx="3">
                  <c:v>158349</c:v>
                </c:pt>
                <c:pt idx="4">
                  <c:v>159060</c:v>
                </c:pt>
                <c:pt idx="5">
                  <c:v>158958</c:v>
                </c:pt>
                <c:pt idx="6">
                  <c:v>159371</c:v>
                </c:pt>
                <c:pt idx="7">
                  <c:v>159293</c:v>
                </c:pt>
                <c:pt idx="8">
                  <c:v>159740</c:v>
                </c:pt>
                <c:pt idx="9">
                  <c:v>164257</c:v>
                </c:pt>
                <c:pt idx="10">
                  <c:v>163893</c:v>
                </c:pt>
                <c:pt idx="11">
                  <c:v>160749</c:v>
                </c:pt>
                <c:pt idx="12">
                  <c:v>158674</c:v>
                </c:pt>
                <c:pt idx="13">
                  <c:v>158983</c:v>
                </c:pt>
                <c:pt idx="14">
                  <c:v>160364</c:v>
                </c:pt>
                <c:pt idx="15">
                  <c:v>162030</c:v>
                </c:pt>
                <c:pt idx="16">
                  <c:v>162289</c:v>
                </c:pt>
                <c:pt idx="17">
                  <c:v>162373</c:v>
                </c:pt>
                <c:pt idx="18">
                  <c:v>163236</c:v>
                </c:pt>
                <c:pt idx="19">
                  <c:v>163813</c:v>
                </c:pt>
                <c:pt idx="20">
                  <c:v>165542</c:v>
                </c:pt>
                <c:pt idx="21">
                  <c:v>167029</c:v>
                </c:pt>
                <c:pt idx="22">
                  <c:v>168297</c:v>
                </c:pt>
                <c:pt idx="23">
                  <c:v>167459</c:v>
                </c:pt>
                <c:pt idx="24">
                  <c:v>166315</c:v>
                </c:pt>
                <c:pt idx="25">
                  <c:v>168017</c:v>
                </c:pt>
                <c:pt idx="26">
                  <c:v>169334</c:v>
                </c:pt>
                <c:pt idx="27">
                  <c:v>169577</c:v>
                </c:pt>
                <c:pt idx="28">
                  <c:v>169896</c:v>
                </c:pt>
                <c:pt idx="29">
                  <c:v>170735</c:v>
                </c:pt>
                <c:pt idx="30">
                  <c:v>171694</c:v>
                </c:pt>
                <c:pt idx="31">
                  <c:v>173282</c:v>
                </c:pt>
                <c:pt idx="32">
                  <c:v>177840</c:v>
                </c:pt>
                <c:pt idx="33">
                  <c:v>179933</c:v>
                </c:pt>
                <c:pt idx="34">
                  <c:v>179567</c:v>
                </c:pt>
                <c:pt idx="35">
                  <c:v>177166</c:v>
                </c:pt>
                <c:pt idx="36">
                  <c:v>175557</c:v>
                </c:pt>
                <c:pt idx="37">
                  <c:v>176840</c:v>
                </c:pt>
                <c:pt idx="38">
                  <c:v>177334</c:v>
                </c:pt>
                <c:pt idx="39">
                  <c:v>178495</c:v>
                </c:pt>
                <c:pt idx="40">
                  <c:v>179680</c:v>
                </c:pt>
                <c:pt idx="41">
                  <c:v>179888</c:v>
                </c:pt>
                <c:pt idx="42">
                  <c:v>180297</c:v>
                </c:pt>
                <c:pt idx="43">
                  <c:v>180285</c:v>
                </c:pt>
                <c:pt idx="44">
                  <c:v>181414</c:v>
                </c:pt>
                <c:pt idx="45">
                  <c:v>183051</c:v>
                </c:pt>
                <c:pt idx="46">
                  <c:v>186974</c:v>
                </c:pt>
                <c:pt idx="47">
                  <c:v>183134</c:v>
                </c:pt>
                <c:pt idx="48">
                  <c:v>181100</c:v>
                </c:pt>
                <c:pt idx="49">
                  <c:v>182233</c:v>
                </c:pt>
                <c:pt idx="50">
                  <c:v>182684</c:v>
                </c:pt>
                <c:pt idx="51">
                  <c:v>183072</c:v>
                </c:pt>
                <c:pt idx="52">
                  <c:v>184404</c:v>
                </c:pt>
                <c:pt idx="53">
                  <c:v>185872</c:v>
                </c:pt>
                <c:pt idx="54">
                  <c:v>186584</c:v>
                </c:pt>
                <c:pt idx="55">
                  <c:v>186291</c:v>
                </c:pt>
                <c:pt idx="56">
                  <c:v>186605</c:v>
                </c:pt>
                <c:pt idx="57">
                  <c:v>188549</c:v>
                </c:pt>
                <c:pt idx="58">
                  <c:v>191099</c:v>
                </c:pt>
                <c:pt idx="59">
                  <c:v>188616</c:v>
                </c:pt>
                <c:pt idx="60">
                  <c:v>188050</c:v>
                </c:pt>
                <c:pt idx="61">
                  <c:v>189358</c:v>
                </c:pt>
                <c:pt idx="62">
                  <c:v>191767</c:v>
                </c:pt>
                <c:pt idx="63">
                  <c:v>192223</c:v>
                </c:pt>
                <c:pt idx="64">
                  <c:v>191159</c:v>
                </c:pt>
                <c:pt idx="65">
                  <c:v>191973</c:v>
                </c:pt>
                <c:pt idx="66">
                  <c:v>192375</c:v>
                </c:pt>
                <c:pt idx="67">
                  <c:v>193025</c:v>
                </c:pt>
                <c:pt idx="68">
                  <c:v>194194</c:v>
                </c:pt>
                <c:pt idx="69">
                  <c:v>195883</c:v>
                </c:pt>
                <c:pt idx="70">
                  <c:v>196489</c:v>
                </c:pt>
                <c:pt idx="71">
                  <c:v>192787</c:v>
                </c:pt>
                <c:pt idx="72">
                  <c:v>191545</c:v>
                </c:pt>
                <c:pt idx="73">
                  <c:v>192374</c:v>
                </c:pt>
                <c:pt idx="74">
                  <c:v>191822</c:v>
                </c:pt>
              </c:numCache>
            </c:numRef>
          </c:val>
        </c:ser>
        <c:marker val="1"/>
        <c:axId val="113758592"/>
        <c:axId val="113760128"/>
      </c:lineChart>
      <c:catAx>
        <c:axId val="113758592"/>
        <c:scaling>
          <c:orientation val="minMax"/>
        </c:scaling>
        <c:axPos val="b"/>
        <c:numFmt formatCode="General" sourceLinked="0"/>
        <c:tickLblPos val="nextTo"/>
        <c:crossAx val="113760128"/>
        <c:crosses val="autoZero"/>
        <c:auto val="1"/>
        <c:lblAlgn val="ctr"/>
        <c:lblOffset val="100"/>
      </c:catAx>
      <c:valAx>
        <c:axId val="113760128"/>
        <c:scaling>
          <c:orientation val="minMax"/>
        </c:scaling>
        <c:axPos val="l"/>
        <c:majorGridlines/>
        <c:numFmt formatCode="#,##0" sourceLinked="1"/>
        <c:tickLblPos val="nextTo"/>
        <c:crossAx val="113758592"/>
        <c:crosses val="autoZero"/>
        <c:crossBetween val="between"/>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a:latin typeface="Arial Narrow" pitchFamily="34" charset="0"/>
              </a:defRPr>
            </a:pPr>
            <a:r>
              <a:rPr lang="es-MX" sz="1200" b="1" i="0" baseline="0">
                <a:effectLst/>
                <a:latin typeface="Arial Narrow" pitchFamily="34" charset="0"/>
              </a:rPr>
              <a:t>ESTADO DE OAXACA: </a:t>
            </a:r>
          </a:p>
          <a:p>
            <a:pPr>
              <a:defRPr sz="1200">
                <a:latin typeface="Arial Narrow" pitchFamily="34" charset="0"/>
              </a:defRPr>
            </a:pPr>
            <a:r>
              <a:rPr lang="es-MX" sz="1200" b="1" i="0" baseline="0">
                <a:effectLst/>
                <a:latin typeface="Arial Narrow" pitchFamily="34" charset="0"/>
              </a:rPr>
              <a:t>EVOLUCIÓN DE LA IED, POR COMPONENTES (2005-2015)* </a:t>
            </a:r>
            <a:endParaRPr lang="es-MX" sz="1200">
              <a:effectLst/>
              <a:latin typeface="Arial Narrow" pitchFamily="34" charset="0"/>
            </a:endParaRPr>
          </a:p>
        </c:rich>
      </c:tx>
    </c:title>
    <c:plotArea>
      <c:layout/>
      <c:barChart>
        <c:barDir val="col"/>
        <c:grouping val="stacked"/>
        <c:ser>
          <c:idx val="0"/>
          <c:order val="0"/>
          <c:tx>
            <c:strRef>
              <c:f>'calculos oax'!$A$8</c:f>
              <c:strCache>
                <c:ptCount val="1"/>
                <c:pt idx="0">
                  <c:v>Nuevas inversiones</c:v>
                </c:pt>
              </c:strCache>
            </c:strRef>
          </c:tx>
          <c:spPr>
            <a:solidFill>
              <a:schemeClr val="accent3"/>
            </a:solidFill>
          </c:spPr>
          <c:cat>
            <c:numRef>
              <c:f>'calculos oax'!$B$7:$L$7</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'calculos oax'!$B$8:$L$8</c:f>
              <c:numCache>
                <c:formatCode>#,##0.0</c:formatCode>
                <c:ptCount val="11"/>
                <c:pt idx="0">
                  <c:v>52.473778140000164</c:v>
                </c:pt>
                <c:pt idx="1">
                  <c:v>29.894347560000003</c:v>
                </c:pt>
                <c:pt idx="2">
                  <c:v>71.103727849999643</c:v>
                </c:pt>
                <c:pt idx="3">
                  <c:v>39.966340880000011</c:v>
                </c:pt>
                <c:pt idx="4">
                  <c:v>85.821196290000003</c:v>
                </c:pt>
                <c:pt idx="5">
                  <c:v>31.153145279999986</c:v>
                </c:pt>
                <c:pt idx="6">
                  <c:v>9.8598825800000593</c:v>
                </c:pt>
                <c:pt idx="7">
                  <c:v>83.480651699999996</c:v>
                </c:pt>
                <c:pt idx="8">
                  <c:v>1453.8139976399998</c:v>
                </c:pt>
                <c:pt idx="9">
                  <c:v>53.271448300000003</c:v>
                </c:pt>
                <c:pt idx="10">
                  <c:v>83.627313490000006</c:v>
                </c:pt>
              </c:numCache>
            </c:numRef>
          </c:val>
        </c:ser>
        <c:ser>
          <c:idx val="1"/>
          <c:order val="1"/>
          <c:tx>
            <c:strRef>
              <c:f>'calculos oax'!$A$9</c:f>
              <c:strCache>
                <c:ptCount val="1"/>
                <c:pt idx="0">
                  <c:v>Reinversión de utilidades</c:v>
                </c:pt>
              </c:strCache>
            </c:strRef>
          </c:tx>
          <c:cat>
            <c:numRef>
              <c:f>'calculos oax'!$B$7:$L$7</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'calculos oax'!$B$9:$L$9</c:f>
              <c:numCache>
                <c:formatCode>#,##0.0</c:formatCode>
                <c:ptCount val="11"/>
                <c:pt idx="0">
                  <c:v>51.793956700000216</c:v>
                </c:pt>
                <c:pt idx="1">
                  <c:v>73.414923250000669</c:v>
                </c:pt>
                <c:pt idx="2">
                  <c:v>87.031591129999981</c:v>
                </c:pt>
                <c:pt idx="3">
                  <c:v>107.65482759000001</c:v>
                </c:pt>
                <c:pt idx="4">
                  <c:v>69.125296400000011</c:v>
                </c:pt>
                <c:pt idx="5">
                  <c:v>47.825145270000171</c:v>
                </c:pt>
                <c:pt idx="6">
                  <c:v>75.554487069999979</c:v>
                </c:pt>
                <c:pt idx="7">
                  <c:v>72.423723530000004</c:v>
                </c:pt>
                <c:pt idx="8">
                  <c:v>103.04160816999999</c:v>
                </c:pt>
                <c:pt idx="9">
                  <c:v>181.59787144000001</c:v>
                </c:pt>
                <c:pt idx="10">
                  <c:v>109.78264360000036</c:v>
                </c:pt>
              </c:numCache>
            </c:numRef>
          </c:val>
        </c:ser>
        <c:ser>
          <c:idx val="2"/>
          <c:order val="2"/>
          <c:tx>
            <c:strRef>
              <c:f>'calculos oax'!$A$10</c:f>
              <c:strCache>
                <c:ptCount val="1"/>
                <c:pt idx="0">
                  <c:v>Cuentas entre compañías</c:v>
                </c:pt>
              </c:strCache>
            </c:strRef>
          </c:tx>
          <c:spPr>
            <a:solidFill>
              <a:schemeClr val="accent1"/>
            </a:solidFill>
          </c:spPr>
          <c:cat>
            <c:numRef>
              <c:f>'calculos oax'!$B$7:$L$7</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'calculos oax'!$B$10:$L$10</c:f>
              <c:numCache>
                <c:formatCode>#,##0.0</c:formatCode>
                <c:ptCount val="11"/>
                <c:pt idx="0">
                  <c:v>22.320451590000001</c:v>
                </c:pt>
                <c:pt idx="1">
                  <c:v>7.0079604600000005</c:v>
                </c:pt>
                <c:pt idx="2">
                  <c:v>14.577524140000001</c:v>
                </c:pt>
                <c:pt idx="3">
                  <c:v>53.102854120000003</c:v>
                </c:pt>
                <c:pt idx="4">
                  <c:v>80.941302749999991</c:v>
                </c:pt>
                <c:pt idx="5">
                  <c:v>37.630529240000186</c:v>
                </c:pt>
                <c:pt idx="6">
                  <c:v>91.250780699999979</c:v>
                </c:pt>
                <c:pt idx="7">
                  <c:v>194.33723617000086</c:v>
                </c:pt>
                <c:pt idx="8">
                  <c:v>379.80569745000003</c:v>
                </c:pt>
                <c:pt idx="9">
                  <c:v>244.93947971999998</c:v>
                </c:pt>
                <c:pt idx="10">
                  <c:v>-12.467310629999986</c:v>
                </c:pt>
              </c:numCache>
            </c:numRef>
          </c:val>
        </c:ser>
        <c:overlap val="100"/>
        <c:axId val="113786240"/>
        <c:axId val="113796224"/>
      </c:barChart>
      <c:lineChart>
        <c:grouping val="standard"/>
        <c:ser>
          <c:idx val="3"/>
          <c:order val="3"/>
          <c:tx>
            <c:strRef>
              <c:f>'calculos oax'!$A$11</c:f>
              <c:strCache>
                <c:ptCount val="1"/>
                <c:pt idx="0">
                  <c:v>Total general</c:v>
                </c:pt>
              </c:strCache>
            </c:strRef>
          </c:tx>
          <c:spPr>
            <a:ln>
              <a:noFill/>
            </a:ln>
          </c:spPr>
          <c:marker>
            <c:symbol val="none"/>
          </c:marker>
          <c:dLbls>
            <c:numFmt formatCode="#,##0" sourceLinked="0"/>
            <c:spPr>
              <a:noFill/>
              <a:ln>
                <a:noFill/>
              </a:ln>
              <a:effectLst/>
            </c:spPr>
            <c:dLblPos val="t"/>
            <c:showVal val="1"/>
            <c:extLst>
              <c:ext xmlns:c15="http://schemas.microsoft.com/office/drawing/2012/chart" uri="{CE6537A1-D6FC-4f65-9D91-7224C49458BB}">
                <c15:layout/>
                <c15:showLeaderLines val="0"/>
              </c:ext>
            </c:extLst>
          </c:dLbls>
          <c:cat>
            <c:numRef>
              <c:f>'calculos oax'!$B$7:$L$7</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'calculos oax'!$B$11:$L$11</c:f>
              <c:numCache>
                <c:formatCode>#,##0.0</c:formatCode>
                <c:ptCount val="11"/>
                <c:pt idx="0">
                  <c:v>126.58818642999998</c:v>
                </c:pt>
                <c:pt idx="1">
                  <c:v>110.31723127000002</c:v>
                </c:pt>
                <c:pt idx="2">
                  <c:v>172.71284311999997</c:v>
                </c:pt>
                <c:pt idx="3">
                  <c:v>200.72402259</c:v>
                </c:pt>
                <c:pt idx="4">
                  <c:v>235.88779544000027</c:v>
                </c:pt>
                <c:pt idx="5">
                  <c:v>116.60881979</c:v>
                </c:pt>
                <c:pt idx="6">
                  <c:v>176.66515035000003</c:v>
                </c:pt>
                <c:pt idx="7">
                  <c:v>350.2416113999999</c:v>
                </c:pt>
                <c:pt idx="8">
                  <c:v>1936.661303259991</c:v>
                </c:pt>
                <c:pt idx="9">
                  <c:v>479.80879945999828</c:v>
                </c:pt>
                <c:pt idx="10">
                  <c:v>180.94264646000047</c:v>
                </c:pt>
              </c:numCache>
            </c:numRef>
          </c:val>
        </c:ser>
        <c:marker val="1"/>
        <c:axId val="113786240"/>
        <c:axId val="113796224"/>
      </c:lineChart>
      <c:catAx>
        <c:axId val="113786240"/>
        <c:scaling>
          <c:orientation val="minMax"/>
        </c:scaling>
        <c:axPos val="b"/>
        <c:numFmt formatCode="General" sourceLinked="1"/>
        <c:tickLblPos val="nextTo"/>
        <c:crossAx val="113796224"/>
        <c:crosses val="autoZero"/>
        <c:auto val="1"/>
        <c:lblAlgn val="ctr"/>
        <c:lblOffset val="100"/>
      </c:catAx>
      <c:valAx>
        <c:axId val="113796224"/>
        <c:scaling>
          <c:orientation val="minMax"/>
          <c:max val="2500"/>
          <c:min val="0"/>
        </c:scaling>
        <c:axPos val="l"/>
        <c:majorGridlines>
          <c:spPr>
            <a:ln>
              <a:noFill/>
            </a:ln>
          </c:spPr>
        </c:majorGridlines>
        <c:numFmt formatCode="#,##0" sourceLinked="0"/>
        <c:tickLblPos val="nextTo"/>
        <c:crossAx val="113786240"/>
        <c:crosses val="autoZero"/>
        <c:crossBetween val="between"/>
        <c:majorUnit val="500"/>
      </c:valAx>
    </c:plotArea>
    <c:legend>
      <c:legendPos val="t"/>
      <c:legendEntry>
        <c:idx val="3"/>
        <c:delete val="1"/>
      </c:legendEntry>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sz="1200">
                <a:latin typeface="Arial Narrow" pitchFamily="34" charset="0"/>
              </a:rPr>
              <a:t>ESTADO DE OAXACA:</a:t>
            </a:r>
            <a:r>
              <a:rPr lang="es-MX" sz="1200" baseline="0">
                <a:latin typeface="Arial Narrow" pitchFamily="34" charset="0"/>
              </a:rPr>
              <a:t> </a:t>
            </a:r>
            <a:r>
              <a:rPr lang="es-MX" sz="1200">
                <a:latin typeface="Arial Narrow" pitchFamily="34" charset="0"/>
              </a:rPr>
              <a:t>VARIACIÓN</a:t>
            </a:r>
            <a:r>
              <a:rPr lang="es-MX" sz="1200" baseline="0">
                <a:latin typeface="Arial Narrow" pitchFamily="34" charset="0"/>
              </a:rPr>
              <a:t> ANUAL DE LOS ÍNDICES </a:t>
            </a:r>
          </a:p>
          <a:p>
            <a:pPr>
              <a:defRPr/>
            </a:pPr>
            <a:r>
              <a:rPr lang="es-MX" sz="1200" baseline="0">
                <a:latin typeface="Arial Narrow" pitchFamily="34" charset="0"/>
              </a:rPr>
              <a:t>DE PRECIOS </a:t>
            </a:r>
            <a:r>
              <a:rPr lang="es-MX" sz="1200">
                <a:latin typeface="Arial Narrow" pitchFamily="34" charset="0"/>
              </a:rPr>
              <a:t>NACIONAL</a:t>
            </a:r>
            <a:r>
              <a:rPr lang="es-MX" sz="1200" baseline="0">
                <a:latin typeface="Arial Narrow" pitchFamily="34" charset="0"/>
              </a:rPr>
              <a:t> Y DE LA CIUDAD DE OAXACA, OAX. </a:t>
            </a:r>
          </a:p>
          <a:p>
            <a:pPr>
              <a:defRPr/>
            </a:pPr>
            <a:r>
              <a:rPr lang="es-MX" sz="1200" baseline="0">
                <a:latin typeface="Arial Narrow" pitchFamily="34" charset="0"/>
              </a:rPr>
              <a:t>(2005-2016*)</a:t>
            </a:r>
            <a:endParaRPr lang="es-MX" sz="1200">
              <a:latin typeface="Arial Narrow" pitchFamily="34" charset="0"/>
            </a:endParaRPr>
          </a:p>
        </c:rich>
      </c:tx>
    </c:title>
    <c:plotArea>
      <c:layout/>
      <c:lineChart>
        <c:grouping val="standard"/>
        <c:ser>
          <c:idx val="0"/>
          <c:order val="0"/>
          <c:tx>
            <c:strRef>
              <c:f>[INP_INP20160421213409.XLS]Niveles!$G$10</c:f>
              <c:strCache>
                <c:ptCount val="1"/>
                <c:pt idx="0">
                  <c:v>Oaxaca, Oax.</c:v>
                </c:pt>
              </c:strCache>
            </c:strRef>
          </c:tx>
          <c:marker>
            <c:symbol val="none"/>
          </c:marker>
          <c:dLbls>
            <c:dLbl>
              <c:idx val="134"/>
              <c:layout>
                <c:manualLayout>
                  <c:x val="0"/>
                  <c:y val="-8.2671945712812833E-2"/>
                </c:manualLayout>
              </c:layout>
              <c:spPr/>
              <c:txPr>
                <a:bodyPr/>
                <a:lstStyle/>
                <a:p>
                  <a:pPr>
                    <a:defRPr b="1">
                      <a:solidFill>
                        <a:schemeClr val="accent1"/>
                      </a:solidFill>
                    </a:defRPr>
                  </a:pPr>
                  <a:endParaRPr lang="es-MX"/>
                </a:p>
              </c:txPr>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trendline>
            <c:spPr>
              <a:ln>
                <a:solidFill>
                  <a:schemeClr val="accent1"/>
                </a:solidFill>
                <a:prstDash val="sysDot"/>
              </a:ln>
            </c:spPr>
            <c:trendlineType val="linear"/>
          </c:trendline>
          <c:cat>
            <c:multiLvlStrRef>
              <c:f>[INP_INP20160421213409.XLS]Niveles!$C$23:$D$157</c:f>
              <c:multiLvlStrCache>
                <c:ptCount val="135"/>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pt idx="81">
                    <c:v>oct</c:v>
                  </c:pt>
                  <c:pt idx="82">
                    <c:v>nov</c:v>
                  </c:pt>
                  <c:pt idx="83">
                    <c:v>dic</c:v>
                  </c:pt>
                  <c:pt idx="84">
                    <c:v>ene</c:v>
                  </c:pt>
                  <c:pt idx="85">
                    <c:v>feb</c:v>
                  </c:pt>
                  <c:pt idx="86">
                    <c:v>mar</c:v>
                  </c:pt>
                  <c:pt idx="87">
                    <c:v>abr</c:v>
                  </c:pt>
                  <c:pt idx="88">
                    <c:v>may</c:v>
                  </c:pt>
                  <c:pt idx="89">
                    <c:v>jun</c:v>
                  </c:pt>
                  <c:pt idx="90">
                    <c:v>jul</c:v>
                  </c:pt>
                  <c:pt idx="91">
                    <c:v>ago</c:v>
                  </c:pt>
                  <c:pt idx="92">
                    <c:v>sep</c:v>
                  </c:pt>
                  <c:pt idx="93">
                    <c:v>oct</c:v>
                  </c:pt>
                  <c:pt idx="94">
                    <c:v>nov</c:v>
                  </c:pt>
                  <c:pt idx="95">
                    <c:v>dic</c:v>
                  </c:pt>
                  <c:pt idx="96">
                    <c:v>ene</c:v>
                  </c:pt>
                  <c:pt idx="97">
                    <c:v>feb</c:v>
                  </c:pt>
                  <c:pt idx="98">
                    <c:v>mar</c:v>
                  </c:pt>
                  <c:pt idx="99">
                    <c:v>abr</c:v>
                  </c:pt>
                  <c:pt idx="100">
                    <c:v>may</c:v>
                  </c:pt>
                  <c:pt idx="101">
                    <c:v>jun</c:v>
                  </c:pt>
                  <c:pt idx="102">
                    <c:v>jul</c:v>
                  </c:pt>
                  <c:pt idx="103">
                    <c:v>ago</c:v>
                  </c:pt>
                  <c:pt idx="104">
                    <c:v>sep</c:v>
                  </c:pt>
                  <c:pt idx="105">
                    <c:v>oct</c:v>
                  </c:pt>
                  <c:pt idx="106">
                    <c:v>nov</c:v>
                  </c:pt>
                  <c:pt idx="107">
                    <c:v>dic</c:v>
                  </c:pt>
                  <c:pt idx="108">
                    <c:v>ene</c:v>
                  </c:pt>
                  <c:pt idx="109">
                    <c:v>feb</c:v>
                  </c:pt>
                  <c:pt idx="110">
                    <c:v>mar</c:v>
                  </c:pt>
                  <c:pt idx="111">
                    <c:v>abr</c:v>
                  </c:pt>
                  <c:pt idx="112">
                    <c:v>may</c:v>
                  </c:pt>
                  <c:pt idx="113">
                    <c:v>jun</c:v>
                  </c:pt>
                  <c:pt idx="114">
                    <c:v>jul</c:v>
                  </c:pt>
                  <c:pt idx="115">
                    <c:v>ago</c:v>
                  </c:pt>
                  <c:pt idx="116">
                    <c:v>sep</c:v>
                  </c:pt>
                  <c:pt idx="117">
                    <c:v>oct</c:v>
                  </c:pt>
                  <c:pt idx="118">
                    <c:v>nov</c:v>
                  </c:pt>
                  <c:pt idx="119">
                    <c:v>dic</c:v>
                  </c:pt>
                  <c:pt idx="120">
                    <c:v>ene</c:v>
                  </c:pt>
                  <c:pt idx="121">
                    <c:v>feb</c:v>
                  </c:pt>
                  <c:pt idx="122">
                    <c:v>mar</c:v>
                  </c:pt>
                  <c:pt idx="123">
                    <c:v>abr</c:v>
                  </c:pt>
                  <c:pt idx="124">
                    <c:v>may</c:v>
                  </c:pt>
                  <c:pt idx="125">
                    <c:v>jun</c:v>
                  </c:pt>
                  <c:pt idx="126">
                    <c:v>jul</c:v>
                  </c:pt>
                  <c:pt idx="127">
                    <c:v>ago</c:v>
                  </c:pt>
                  <c:pt idx="128">
                    <c:v>sep</c:v>
                  </c:pt>
                  <c:pt idx="129">
                    <c:v>oct</c:v>
                  </c:pt>
                  <c:pt idx="130">
                    <c:v>nov</c:v>
                  </c:pt>
                  <c:pt idx="131">
                    <c:v>dic</c:v>
                  </c:pt>
                  <c:pt idx="132">
                    <c:v>ene</c:v>
                  </c:pt>
                  <c:pt idx="133">
                    <c:v>feb</c:v>
                  </c:pt>
                  <c:pt idx="134">
                    <c:v>mar</c:v>
                  </c:pt>
                </c:lvl>
                <c:lvl>
                  <c:pt idx="0">
                    <c:v>2005</c:v>
                  </c:pt>
                  <c:pt idx="12">
                    <c:v>2006</c:v>
                  </c:pt>
                  <c:pt idx="24">
                    <c:v>2007</c:v>
                  </c:pt>
                  <c:pt idx="36">
                    <c:v>2008</c:v>
                  </c:pt>
                  <c:pt idx="48">
                    <c:v>2009</c:v>
                  </c:pt>
                  <c:pt idx="60">
                    <c:v>2010</c:v>
                  </c:pt>
                  <c:pt idx="72">
                    <c:v>2011</c:v>
                  </c:pt>
                  <c:pt idx="84">
                    <c:v>2012</c:v>
                  </c:pt>
                  <c:pt idx="96">
                    <c:v>2013</c:v>
                  </c:pt>
                  <c:pt idx="108">
                    <c:v>2014</c:v>
                  </c:pt>
                  <c:pt idx="120">
                    <c:v>2015</c:v>
                  </c:pt>
                  <c:pt idx="132">
                    <c:v>2016</c:v>
                  </c:pt>
                </c:lvl>
              </c:multiLvlStrCache>
            </c:multiLvlStrRef>
          </c:cat>
          <c:val>
            <c:numRef>
              <c:f>[INP_INP20160421213409.XLS]Niveles!$G$23:$G$157</c:f>
              <c:numCache>
                <c:formatCode>0.00%</c:formatCode>
                <c:ptCount val="135"/>
                <c:pt idx="0">
                  <c:v>3.1607066388440082E-2</c:v>
                </c:pt>
                <c:pt idx="1">
                  <c:v>3.1974116191650095E-2</c:v>
                </c:pt>
                <c:pt idx="2">
                  <c:v>3.3347154344439925E-2</c:v>
                </c:pt>
                <c:pt idx="3">
                  <c:v>3.6725371977780009E-2</c:v>
                </c:pt>
                <c:pt idx="4">
                  <c:v>3.5243578327750012E-2</c:v>
                </c:pt>
                <c:pt idx="5">
                  <c:v>3.2898537918280006E-2</c:v>
                </c:pt>
                <c:pt idx="6">
                  <c:v>3.3938512360739991E-2</c:v>
                </c:pt>
                <c:pt idx="7">
                  <c:v>2.8636681869780033E-2</c:v>
                </c:pt>
                <c:pt idx="8">
                  <c:v>2.5985766624300053E-2</c:v>
                </c:pt>
                <c:pt idx="9">
                  <c:v>2.1261699712480039E-2</c:v>
                </c:pt>
                <c:pt idx="10">
                  <c:v>1.833209850529002E-2</c:v>
                </c:pt>
                <c:pt idx="11">
                  <c:v>2.2192918657690092E-2</c:v>
                </c:pt>
                <c:pt idx="12">
                  <c:v>2.7725854580300011E-2</c:v>
                </c:pt>
                <c:pt idx="13">
                  <c:v>2.6984957755290011E-2</c:v>
                </c:pt>
                <c:pt idx="14">
                  <c:v>2.6427585831879992E-2</c:v>
                </c:pt>
                <c:pt idx="15">
                  <c:v>2.2403632433610248E-2</c:v>
                </c:pt>
                <c:pt idx="16">
                  <c:v>2.5577933509610132E-2</c:v>
                </c:pt>
                <c:pt idx="17">
                  <c:v>2.6984957755290011E-2</c:v>
                </c:pt>
                <c:pt idx="18">
                  <c:v>2.3858237209339991E-2</c:v>
                </c:pt>
                <c:pt idx="19">
                  <c:v>2.5666297351120051E-2</c:v>
                </c:pt>
                <c:pt idx="20">
                  <c:v>3.4747381371540056E-2</c:v>
                </c:pt>
                <c:pt idx="21">
                  <c:v>3.9117992917300094E-2</c:v>
                </c:pt>
                <c:pt idx="22">
                  <c:v>3.5909705748410042E-2</c:v>
                </c:pt>
                <c:pt idx="23">
                  <c:v>3.8594607086780003E-2</c:v>
                </c:pt>
                <c:pt idx="24">
                  <c:v>3.7466268802810052E-2</c:v>
                </c:pt>
                <c:pt idx="25">
                  <c:v>3.7337121649820129E-2</c:v>
                </c:pt>
                <c:pt idx="26">
                  <c:v>3.5610628130970101E-2</c:v>
                </c:pt>
                <c:pt idx="27">
                  <c:v>3.6637008136270105E-2</c:v>
                </c:pt>
                <c:pt idx="28">
                  <c:v>3.0648658568910161E-2</c:v>
                </c:pt>
                <c:pt idx="29">
                  <c:v>3.4230792759600212E-2</c:v>
                </c:pt>
                <c:pt idx="30">
                  <c:v>3.678654694499002E-2</c:v>
                </c:pt>
                <c:pt idx="31">
                  <c:v>3.5386319917889895E-2</c:v>
                </c:pt>
                <c:pt idx="32">
                  <c:v>3.0866169563410002E-2</c:v>
                </c:pt>
                <c:pt idx="33">
                  <c:v>2.5319639203639922E-2</c:v>
                </c:pt>
                <c:pt idx="34">
                  <c:v>3.0798197377630031E-2</c:v>
                </c:pt>
                <c:pt idx="35">
                  <c:v>3.2415935399230052E-2</c:v>
                </c:pt>
                <c:pt idx="36">
                  <c:v>3.5236781109170036E-2</c:v>
                </c:pt>
                <c:pt idx="37">
                  <c:v>3.5100836737610025E-2</c:v>
                </c:pt>
                <c:pt idx="38">
                  <c:v>4.2693329889410034E-2</c:v>
                </c:pt>
                <c:pt idx="39">
                  <c:v>4.3624548834620067E-2</c:v>
                </c:pt>
                <c:pt idx="40">
                  <c:v>4.8273846342079686E-2</c:v>
                </c:pt>
                <c:pt idx="41">
                  <c:v>4.9538128997619987E-2</c:v>
                </c:pt>
                <c:pt idx="42">
                  <c:v>4.8267049123499946E-2</c:v>
                </c:pt>
                <c:pt idx="43">
                  <c:v>5.105390874055004E-2</c:v>
                </c:pt>
                <c:pt idx="44">
                  <c:v>4.6078344741340087E-2</c:v>
                </c:pt>
                <c:pt idx="45">
                  <c:v>4.8838015484059846E-2</c:v>
                </c:pt>
                <c:pt idx="46">
                  <c:v>5.2590080139210425E-2</c:v>
                </c:pt>
                <c:pt idx="47">
                  <c:v>5.5111848231709865E-2</c:v>
                </c:pt>
                <c:pt idx="48">
                  <c:v>4.8939973762729856E-2</c:v>
                </c:pt>
                <c:pt idx="49">
                  <c:v>4.7193088588149974E-2</c:v>
                </c:pt>
                <c:pt idx="50">
                  <c:v>4.2496210550640519E-2</c:v>
                </c:pt>
                <c:pt idx="51">
                  <c:v>4.7954377068899975E-2</c:v>
                </c:pt>
                <c:pt idx="52">
                  <c:v>4.6961983156489986E-2</c:v>
                </c:pt>
                <c:pt idx="53">
                  <c:v>4.5704497719530272E-2</c:v>
                </c:pt>
                <c:pt idx="54">
                  <c:v>4.6622122227580005E-2</c:v>
                </c:pt>
                <c:pt idx="55">
                  <c:v>4.1170752927900046E-2</c:v>
                </c:pt>
                <c:pt idx="56">
                  <c:v>4.2618560485049951E-2</c:v>
                </c:pt>
                <c:pt idx="57">
                  <c:v>4.2469021676330113E-2</c:v>
                </c:pt>
                <c:pt idx="58">
                  <c:v>3.4563856469930002E-2</c:v>
                </c:pt>
                <c:pt idx="59">
                  <c:v>2.6944174443810042E-2</c:v>
                </c:pt>
                <c:pt idx="60">
                  <c:v>3.8839306955600256E-2</c:v>
                </c:pt>
                <c:pt idx="61">
                  <c:v>4.2706924326560487E-2</c:v>
                </c:pt>
                <c:pt idx="62">
                  <c:v>4.8294237997809984E-2</c:v>
                </c:pt>
                <c:pt idx="63">
                  <c:v>3.6507860983290091E-2</c:v>
                </c:pt>
                <c:pt idx="64">
                  <c:v>3.2633446393730031E-2</c:v>
                </c:pt>
                <c:pt idx="65">
                  <c:v>2.7093713252540216E-2</c:v>
                </c:pt>
                <c:pt idx="66">
                  <c:v>2.7229657624100144E-2</c:v>
                </c:pt>
                <c:pt idx="67">
                  <c:v>3.1776996852890003E-2</c:v>
                </c:pt>
                <c:pt idx="68">
                  <c:v>3.3911323486420245E-2</c:v>
                </c:pt>
                <c:pt idx="69">
                  <c:v>3.6677791447740082E-2</c:v>
                </c:pt>
                <c:pt idx="70">
                  <c:v>4.2910840883910034E-2</c:v>
                </c:pt>
                <c:pt idx="71">
                  <c:v>4.5670511626649951E-2</c:v>
                </c:pt>
                <c:pt idx="72">
                  <c:v>3.8531682447540044E-2</c:v>
                </c:pt>
                <c:pt idx="73">
                  <c:v>3.816118441534002E-2</c:v>
                </c:pt>
                <c:pt idx="74">
                  <c:v>3.0918647285530055E-2</c:v>
                </c:pt>
                <c:pt idx="75">
                  <c:v>3.5585254317930005E-2</c:v>
                </c:pt>
                <c:pt idx="76">
                  <c:v>3.8660269169860012E-2</c:v>
                </c:pt>
                <c:pt idx="77">
                  <c:v>4.2195126530219916E-2</c:v>
                </c:pt>
                <c:pt idx="78">
                  <c:v>4.4970781476220092E-2</c:v>
                </c:pt>
                <c:pt idx="79">
                  <c:v>4.1244016952259946E-2</c:v>
                </c:pt>
                <c:pt idx="80">
                  <c:v>3.5918504068140039E-2</c:v>
                </c:pt>
                <c:pt idx="81">
                  <c:v>3.1771512517080353E-2</c:v>
                </c:pt>
                <c:pt idx="82">
                  <c:v>3.016834243028001E-2</c:v>
                </c:pt>
                <c:pt idx="83">
                  <c:v>3.5458539753529986E-2</c:v>
                </c:pt>
                <c:pt idx="84">
                  <c:v>3.9729999999999988E-2</c:v>
                </c:pt>
                <c:pt idx="85">
                  <c:v>3.7059999999999892E-2</c:v>
                </c:pt>
                <c:pt idx="86">
                  <c:v>3.6819999999999881E-2</c:v>
                </c:pt>
                <c:pt idx="87">
                  <c:v>3.8150000000000121E-2</c:v>
                </c:pt>
                <c:pt idx="88">
                  <c:v>3.9840000000000014E-2</c:v>
                </c:pt>
                <c:pt idx="89">
                  <c:v>4.4609999999999983E-2</c:v>
                </c:pt>
                <c:pt idx="90">
                  <c:v>4.4459999999999993E-2</c:v>
                </c:pt>
                <c:pt idx="91">
                  <c:v>4.6940000000000016E-2</c:v>
                </c:pt>
                <c:pt idx="92">
                  <c:v>4.9919999999999923E-2</c:v>
                </c:pt>
                <c:pt idx="93">
                  <c:v>4.9389999999999934E-2</c:v>
                </c:pt>
                <c:pt idx="94">
                  <c:v>4.5529999999999966E-2</c:v>
                </c:pt>
                <c:pt idx="95">
                  <c:v>3.8630000000000192E-2</c:v>
                </c:pt>
                <c:pt idx="96">
                  <c:v>3.5859999999999982E-2</c:v>
                </c:pt>
                <c:pt idx="97">
                  <c:v>3.690000000000021E-2</c:v>
                </c:pt>
                <c:pt idx="98">
                  <c:v>4.2960000000000102E-2</c:v>
                </c:pt>
                <c:pt idx="99">
                  <c:v>4.0899999999999923E-2</c:v>
                </c:pt>
                <c:pt idx="100">
                  <c:v>4.5760000000000134E-2</c:v>
                </c:pt>
                <c:pt idx="101">
                  <c:v>4.0320000000000002E-2</c:v>
                </c:pt>
                <c:pt idx="102">
                  <c:v>3.4419999999989986E-2</c:v>
                </c:pt>
                <c:pt idx="103">
                  <c:v>3.4739999999999896E-2</c:v>
                </c:pt>
                <c:pt idx="104">
                  <c:v>3.2450000000000055E-2</c:v>
                </c:pt>
                <c:pt idx="105">
                  <c:v>3.1460000000000009E-2</c:v>
                </c:pt>
                <c:pt idx="106">
                  <c:v>3.7060000000000051E-2</c:v>
                </c:pt>
                <c:pt idx="107">
                  <c:v>4.0119999999989914E-2</c:v>
                </c:pt>
                <c:pt idx="108">
                  <c:v>4.1709999999999921E-2</c:v>
                </c:pt>
                <c:pt idx="109">
                  <c:v>3.9449999999999992E-2</c:v>
                </c:pt>
                <c:pt idx="110">
                  <c:v>3.3679999999990003E-2</c:v>
                </c:pt>
                <c:pt idx="111">
                  <c:v>3.4130000000000112E-2</c:v>
                </c:pt>
                <c:pt idx="112">
                  <c:v>3.3609999999999897E-2</c:v>
                </c:pt>
                <c:pt idx="113">
                  <c:v>3.4000000000000058E-2</c:v>
                </c:pt>
                <c:pt idx="114">
                  <c:v>3.7970000000010246E-2</c:v>
                </c:pt>
                <c:pt idx="115">
                  <c:v>4.0370000000000072E-2</c:v>
                </c:pt>
                <c:pt idx="116">
                  <c:v>4.1329999999999957E-2</c:v>
                </c:pt>
                <c:pt idx="117">
                  <c:v>4.3389999999999984E-2</c:v>
                </c:pt>
                <c:pt idx="118">
                  <c:v>4.0150000000000012E-2</c:v>
                </c:pt>
                <c:pt idx="119">
                  <c:v>4.0260000000010072E-2</c:v>
                </c:pt>
                <c:pt idx="120">
                  <c:v>3.2980000000000016E-2</c:v>
                </c:pt>
                <c:pt idx="121">
                  <c:v>3.4560000000000028E-2</c:v>
                </c:pt>
                <c:pt idx="122">
                  <c:v>3.7480000000010193E-2</c:v>
                </c:pt>
                <c:pt idx="123">
                  <c:v>3.7280000000000056E-2</c:v>
                </c:pt>
                <c:pt idx="124">
                  <c:v>3.0660000000000041E-2</c:v>
                </c:pt>
                <c:pt idx="125">
                  <c:v>2.9850000000000002E-2</c:v>
                </c:pt>
                <c:pt idx="126">
                  <c:v>2.837999999999995E-2</c:v>
                </c:pt>
                <c:pt idx="127">
                  <c:v>2.4309999999999981E-2</c:v>
                </c:pt>
                <c:pt idx="128">
                  <c:v>2.4530000000000031E-2</c:v>
                </c:pt>
                <c:pt idx="129">
                  <c:v>2.6940000000000051E-2</c:v>
                </c:pt>
                <c:pt idx="130">
                  <c:v>3.0610000000000002E-2</c:v>
                </c:pt>
                <c:pt idx="131">
                  <c:v>2.965999999999995E-2</c:v>
                </c:pt>
                <c:pt idx="132">
                  <c:v>3.5810000000000036E-2</c:v>
                </c:pt>
                <c:pt idx="133">
                  <c:v>3.917999999998998E-2</c:v>
                </c:pt>
                <c:pt idx="134">
                  <c:v>3.5640000000000081E-2</c:v>
                </c:pt>
              </c:numCache>
            </c:numRef>
          </c:val>
        </c:ser>
        <c:ser>
          <c:idx val="1"/>
          <c:order val="1"/>
          <c:tx>
            <c:strRef>
              <c:f>[INP_INP20160421213409.XLS]Niveles!$H$10</c:f>
              <c:strCache>
                <c:ptCount val="1"/>
                <c:pt idx="0">
                  <c:v>Nacional</c:v>
                </c:pt>
              </c:strCache>
            </c:strRef>
          </c:tx>
          <c:marker>
            <c:symbol val="none"/>
          </c:marker>
          <c:dLbls>
            <c:dLbl>
              <c:idx val="134"/>
              <c:layout>
                <c:manualLayout>
                  <c:x val="0"/>
                  <c:y val="9.6450603331614343E-2"/>
                </c:manualLayout>
              </c:layout>
              <c:spPr/>
              <c:txPr>
                <a:bodyPr/>
                <a:lstStyle/>
                <a:p>
                  <a:pPr>
                    <a:defRPr b="1">
                      <a:solidFill>
                        <a:srgbClr val="C00000"/>
                      </a:solidFill>
                    </a:defRPr>
                  </a:pPr>
                  <a:endParaRPr lang="es-MX"/>
                </a:p>
              </c:txPr>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cat>
            <c:multiLvlStrRef>
              <c:f>[INP_INP20160421213409.XLS]Niveles!$C$23:$D$157</c:f>
              <c:multiLvlStrCache>
                <c:ptCount val="135"/>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pt idx="71">
                    <c:v>dic</c:v>
                  </c:pt>
                  <c:pt idx="72">
                    <c:v>ene</c:v>
                  </c:pt>
                  <c:pt idx="73">
                    <c:v>feb</c:v>
                  </c:pt>
                  <c:pt idx="74">
                    <c:v>mar</c:v>
                  </c:pt>
                  <c:pt idx="75">
                    <c:v>abr</c:v>
                  </c:pt>
                  <c:pt idx="76">
                    <c:v>may</c:v>
                  </c:pt>
                  <c:pt idx="77">
                    <c:v>jun</c:v>
                  </c:pt>
                  <c:pt idx="78">
                    <c:v>jul</c:v>
                  </c:pt>
                  <c:pt idx="79">
                    <c:v>ago</c:v>
                  </c:pt>
                  <c:pt idx="80">
                    <c:v>sep</c:v>
                  </c:pt>
                  <c:pt idx="81">
                    <c:v>oct</c:v>
                  </c:pt>
                  <c:pt idx="82">
                    <c:v>nov</c:v>
                  </c:pt>
                  <c:pt idx="83">
                    <c:v>dic</c:v>
                  </c:pt>
                  <c:pt idx="84">
                    <c:v>ene</c:v>
                  </c:pt>
                  <c:pt idx="85">
                    <c:v>feb</c:v>
                  </c:pt>
                  <c:pt idx="86">
                    <c:v>mar</c:v>
                  </c:pt>
                  <c:pt idx="87">
                    <c:v>abr</c:v>
                  </c:pt>
                  <c:pt idx="88">
                    <c:v>may</c:v>
                  </c:pt>
                  <c:pt idx="89">
                    <c:v>jun</c:v>
                  </c:pt>
                  <c:pt idx="90">
                    <c:v>jul</c:v>
                  </c:pt>
                  <c:pt idx="91">
                    <c:v>ago</c:v>
                  </c:pt>
                  <c:pt idx="92">
                    <c:v>sep</c:v>
                  </c:pt>
                  <c:pt idx="93">
                    <c:v>oct</c:v>
                  </c:pt>
                  <c:pt idx="94">
                    <c:v>nov</c:v>
                  </c:pt>
                  <c:pt idx="95">
                    <c:v>dic</c:v>
                  </c:pt>
                  <c:pt idx="96">
                    <c:v>ene</c:v>
                  </c:pt>
                  <c:pt idx="97">
                    <c:v>feb</c:v>
                  </c:pt>
                  <c:pt idx="98">
                    <c:v>mar</c:v>
                  </c:pt>
                  <c:pt idx="99">
                    <c:v>abr</c:v>
                  </c:pt>
                  <c:pt idx="100">
                    <c:v>may</c:v>
                  </c:pt>
                  <c:pt idx="101">
                    <c:v>jun</c:v>
                  </c:pt>
                  <c:pt idx="102">
                    <c:v>jul</c:v>
                  </c:pt>
                  <c:pt idx="103">
                    <c:v>ago</c:v>
                  </c:pt>
                  <c:pt idx="104">
                    <c:v>sep</c:v>
                  </c:pt>
                  <c:pt idx="105">
                    <c:v>oct</c:v>
                  </c:pt>
                  <c:pt idx="106">
                    <c:v>nov</c:v>
                  </c:pt>
                  <c:pt idx="107">
                    <c:v>dic</c:v>
                  </c:pt>
                  <c:pt idx="108">
                    <c:v>ene</c:v>
                  </c:pt>
                  <c:pt idx="109">
                    <c:v>feb</c:v>
                  </c:pt>
                  <c:pt idx="110">
                    <c:v>mar</c:v>
                  </c:pt>
                  <c:pt idx="111">
                    <c:v>abr</c:v>
                  </c:pt>
                  <c:pt idx="112">
                    <c:v>may</c:v>
                  </c:pt>
                  <c:pt idx="113">
                    <c:v>jun</c:v>
                  </c:pt>
                  <c:pt idx="114">
                    <c:v>jul</c:v>
                  </c:pt>
                  <c:pt idx="115">
                    <c:v>ago</c:v>
                  </c:pt>
                  <c:pt idx="116">
                    <c:v>sep</c:v>
                  </c:pt>
                  <c:pt idx="117">
                    <c:v>oct</c:v>
                  </c:pt>
                  <c:pt idx="118">
                    <c:v>nov</c:v>
                  </c:pt>
                  <c:pt idx="119">
                    <c:v>dic</c:v>
                  </c:pt>
                  <c:pt idx="120">
                    <c:v>ene</c:v>
                  </c:pt>
                  <c:pt idx="121">
                    <c:v>feb</c:v>
                  </c:pt>
                  <c:pt idx="122">
                    <c:v>mar</c:v>
                  </c:pt>
                  <c:pt idx="123">
                    <c:v>abr</c:v>
                  </c:pt>
                  <c:pt idx="124">
                    <c:v>may</c:v>
                  </c:pt>
                  <c:pt idx="125">
                    <c:v>jun</c:v>
                  </c:pt>
                  <c:pt idx="126">
                    <c:v>jul</c:v>
                  </c:pt>
                  <c:pt idx="127">
                    <c:v>ago</c:v>
                  </c:pt>
                  <c:pt idx="128">
                    <c:v>sep</c:v>
                  </c:pt>
                  <c:pt idx="129">
                    <c:v>oct</c:v>
                  </c:pt>
                  <c:pt idx="130">
                    <c:v>nov</c:v>
                  </c:pt>
                  <c:pt idx="131">
                    <c:v>dic</c:v>
                  </c:pt>
                  <c:pt idx="132">
                    <c:v>ene</c:v>
                  </c:pt>
                  <c:pt idx="133">
                    <c:v>feb</c:v>
                  </c:pt>
                  <c:pt idx="134">
                    <c:v>mar</c:v>
                  </c:pt>
                </c:lvl>
                <c:lvl>
                  <c:pt idx="0">
                    <c:v>2005</c:v>
                  </c:pt>
                  <c:pt idx="12">
                    <c:v>2006</c:v>
                  </c:pt>
                  <c:pt idx="24">
                    <c:v>2007</c:v>
                  </c:pt>
                  <c:pt idx="36">
                    <c:v>2008</c:v>
                  </c:pt>
                  <c:pt idx="48">
                    <c:v>2009</c:v>
                  </c:pt>
                  <c:pt idx="60">
                    <c:v>2010</c:v>
                  </c:pt>
                  <c:pt idx="72">
                    <c:v>2011</c:v>
                  </c:pt>
                  <c:pt idx="84">
                    <c:v>2012</c:v>
                  </c:pt>
                  <c:pt idx="96">
                    <c:v>2013</c:v>
                  </c:pt>
                  <c:pt idx="108">
                    <c:v>2014</c:v>
                  </c:pt>
                  <c:pt idx="120">
                    <c:v>2015</c:v>
                  </c:pt>
                  <c:pt idx="132">
                    <c:v>2016</c:v>
                  </c:pt>
                </c:lvl>
              </c:multiLvlStrCache>
            </c:multiLvlStrRef>
          </c:cat>
          <c:val>
            <c:numRef>
              <c:f>[INP_INP20160421213409.XLS]Niveles!$H$23:$H$157</c:f>
              <c:numCache>
                <c:formatCode>0.00%</c:formatCode>
                <c:ptCount val="135"/>
                <c:pt idx="0">
                  <c:v>3.3741802459090052E-2</c:v>
                </c:pt>
                <c:pt idx="1">
                  <c:v>3.1886796356189975E-2</c:v>
                </c:pt>
                <c:pt idx="2">
                  <c:v>3.2866018908650006E-2</c:v>
                </c:pt>
                <c:pt idx="3">
                  <c:v>3.4521042940980004E-2</c:v>
                </c:pt>
                <c:pt idx="4">
                  <c:v>3.4431395805900225E-2</c:v>
                </c:pt>
                <c:pt idx="5">
                  <c:v>3.2479846634440229E-2</c:v>
                </c:pt>
                <c:pt idx="6">
                  <c:v>3.3576300055860042E-2</c:v>
                </c:pt>
                <c:pt idx="7">
                  <c:v>2.9873183783520243E-2</c:v>
                </c:pt>
                <c:pt idx="8">
                  <c:v>2.6770013722900256E-2</c:v>
                </c:pt>
                <c:pt idx="9">
                  <c:v>2.3425485990909867E-2</c:v>
                </c:pt>
                <c:pt idx="10">
                  <c:v>2.2570390240880006E-2</c:v>
                </c:pt>
                <c:pt idx="11">
                  <c:v>2.5866646438589956E-2</c:v>
                </c:pt>
                <c:pt idx="12">
                  <c:v>3.0542089329919982E-2</c:v>
                </c:pt>
                <c:pt idx="13">
                  <c:v>2.9190486370189967E-2</c:v>
                </c:pt>
                <c:pt idx="14">
                  <c:v>2.669415845476009E-2</c:v>
                </c:pt>
                <c:pt idx="15">
                  <c:v>2.5094301890170152E-2</c:v>
                </c:pt>
                <c:pt idx="16">
                  <c:v>2.3459965658250016E-2</c:v>
                </c:pt>
                <c:pt idx="17">
                  <c:v>2.4908111686540082E-2</c:v>
                </c:pt>
                <c:pt idx="18">
                  <c:v>2.4059911869970148E-2</c:v>
                </c:pt>
                <c:pt idx="19">
                  <c:v>2.7252729065670011E-2</c:v>
                </c:pt>
                <c:pt idx="20">
                  <c:v>3.2314344231209872E-2</c:v>
                </c:pt>
                <c:pt idx="21">
                  <c:v>3.3969368263540078E-2</c:v>
                </c:pt>
                <c:pt idx="22">
                  <c:v>3.2603973436860376E-2</c:v>
                </c:pt>
                <c:pt idx="23">
                  <c:v>3.2507430368310004E-2</c:v>
                </c:pt>
                <c:pt idx="24">
                  <c:v>3.2114362160630072E-2</c:v>
                </c:pt>
                <c:pt idx="25">
                  <c:v>3.3224607448989897E-2</c:v>
                </c:pt>
                <c:pt idx="26">
                  <c:v>3.4031431664750054E-2</c:v>
                </c:pt>
                <c:pt idx="27">
                  <c:v>3.2341927965080015E-2</c:v>
                </c:pt>
                <c:pt idx="28">
                  <c:v>3.1838524821910005E-2</c:v>
                </c:pt>
                <c:pt idx="29">
                  <c:v>3.2148841827970016E-2</c:v>
                </c:pt>
                <c:pt idx="30">
                  <c:v>3.3500444787709985E-2</c:v>
                </c:pt>
                <c:pt idx="31">
                  <c:v>3.2803955507440301E-2</c:v>
                </c:pt>
                <c:pt idx="32">
                  <c:v>3.1162723342050027E-2</c:v>
                </c:pt>
                <c:pt idx="33">
                  <c:v>3.0893781936789971E-2</c:v>
                </c:pt>
                <c:pt idx="34">
                  <c:v>3.2603973436870354E-2</c:v>
                </c:pt>
                <c:pt idx="35">
                  <c:v>3.136960134608998E-2</c:v>
                </c:pt>
                <c:pt idx="36">
                  <c:v>3.1073076206960128E-2</c:v>
                </c:pt>
                <c:pt idx="37">
                  <c:v>3.1314433878340112E-2</c:v>
                </c:pt>
                <c:pt idx="38">
                  <c:v>3.5817478432960091E-2</c:v>
                </c:pt>
                <c:pt idx="39">
                  <c:v>3.8320702281859985E-2</c:v>
                </c:pt>
                <c:pt idx="40">
                  <c:v>4.1479039810230094E-2</c:v>
                </c:pt>
                <c:pt idx="41">
                  <c:v>4.4113286395020358E-2</c:v>
                </c:pt>
                <c:pt idx="42">
                  <c:v>4.5471785288210075E-2</c:v>
                </c:pt>
                <c:pt idx="43">
                  <c:v>4.7168184921350102E-2</c:v>
                </c:pt>
                <c:pt idx="44">
                  <c:v>4.6685469578579643E-2</c:v>
                </c:pt>
                <c:pt idx="45">
                  <c:v>4.9492114500079933E-2</c:v>
                </c:pt>
                <c:pt idx="46">
                  <c:v>5.3746905449850002E-2</c:v>
                </c:pt>
                <c:pt idx="47">
                  <c:v>5.6525966637470046E-2</c:v>
                </c:pt>
                <c:pt idx="48">
                  <c:v>5.4650272734170072E-2</c:v>
                </c:pt>
                <c:pt idx="49">
                  <c:v>5.4105493990189914E-2</c:v>
                </c:pt>
                <c:pt idx="50">
                  <c:v>5.3112479570799988E-2</c:v>
                </c:pt>
                <c:pt idx="51">
                  <c:v>5.4374435395450012E-2</c:v>
                </c:pt>
                <c:pt idx="52">
                  <c:v>5.2602180494159947E-2</c:v>
                </c:pt>
                <c:pt idx="53">
                  <c:v>5.0678215056580017E-2</c:v>
                </c:pt>
                <c:pt idx="54">
                  <c:v>4.8299118010109846E-2</c:v>
                </c:pt>
                <c:pt idx="55">
                  <c:v>4.5409721886999974E-2</c:v>
                </c:pt>
                <c:pt idx="56">
                  <c:v>4.4030535193400104E-2</c:v>
                </c:pt>
                <c:pt idx="57">
                  <c:v>4.075496679608008E-2</c:v>
                </c:pt>
                <c:pt idx="58">
                  <c:v>3.5369242757550011E-2</c:v>
                </c:pt>
                <c:pt idx="59">
                  <c:v>3.2962561977199982E-2</c:v>
                </c:pt>
                <c:pt idx="60">
                  <c:v>4.1210098404969767E-2</c:v>
                </c:pt>
                <c:pt idx="61">
                  <c:v>4.4754608207540431E-2</c:v>
                </c:pt>
                <c:pt idx="62">
                  <c:v>4.6319985104789935E-2</c:v>
                </c:pt>
                <c:pt idx="63">
                  <c:v>3.9941246646850052E-2</c:v>
                </c:pt>
                <c:pt idx="64">
                  <c:v>3.6520863646710075E-2</c:v>
                </c:pt>
                <c:pt idx="65">
                  <c:v>3.4500355140569941E-2</c:v>
                </c:pt>
                <c:pt idx="66">
                  <c:v>3.405901539862001E-2</c:v>
                </c:pt>
                <c:pt idx="67">
                  <c:v>3.4514147007510015E-2</c:v>
                </c:pt>
                <c:pt idx="68">
                  <c:v>3.4907215215190052E-2</c:v>
                </c:pt>
                <c:pt idx="69">
                  <c:v>3.8093136477420249E-2</c:v>
                </c:pt>
                <c:pt idx="70">
                  <c:v>4.1072179735609865E-2</c:v>
                </c:pt>
                <c:pt idx="71">
                  <c:v>4.2051402288080054E-2</c:v>
                </c:pt>
                <c:pt idx="72">
                  <c:v>3.6525205602260052E-2</c:v>
                </c:pt>
                <c:pt idx="73">
                  <c:v>3.4699499493149946E-2</c:v>
                </c:pt>
                <c:pt idx="74">
                  <c:v>2.9733566025110052E-2</c:v>
                </c:pt>
                <c:pt idx="75">
                  <c:v>3.2770527952670006E-2</c:v>
                </c:pt>
                <c:pt idx="76">
                  <c:v>3.1484804672680014E-2</c:v>
                </c:pt>
                <c:pt idx="77">
                  <c:v>3.1738225745280034E-2</c:v>
                </c:pt>
                <c:pt idx="78">
                  <c:v>3.4434966037530046E-2</c:v>
                </c:pt>
                <c:pt idx="79">
                  <c:v>3.3328656051529994E-2</c:v>
                </c:pt>
                <c:pt idx="80">
                  <c:v>3.0695665285180234E-2</c:v>
                </c:pt>
                <c:pt idx="81">
                  <c:v>3.1464827567180012E-2</c:v>
                </c:pt>
                <c:pt idx="82">
                  <c:v>3.4565879679750014E-2</c:v>
                </c:pt>
                <c:pt idx="83">
                  <c:v>3.8089079117040001E-2</c:v>
                </c:pt>
                <c:pt idx="84">
                  <c:v>4.0560000000000124E-2</c:v>
                </c:pt>
                <c:pt idx="85">
                  <c:v>3.8919999999999962E-2</c:v>
                </c:pt>
                <c:pt idx="86">
                  <c:v>3.7590000000000005E-2</c:v>
                </c:pt>
                <c:pt idx="87">
                  <c:v>3.4389999999999935E-2</c:v>
                </c:pt>
                <c:pt idx="88">
                  <c:v>3.8529999999999946E-2</c:v>
                </c:pt>
                <c:pt idx="89">
                  <c:v>4.3370000000000027E-2</c:v>
                </c:pt>
                <c:pt idx="90">
                  <c:v>4.4429999999999983E-2</c:v>
                </c:pt>
                <c:pt idx="91">
                  <c:v>4.5989999999999892E-2</c:v>
                </c:pt>
                <c:pt idx="92">
                  <c:v>4.8159999999999877E-2</c:v>
                </c:pt>
                <c:pt idx="93">
                  <c:v>4.6700000000000019E-2</c:v>
                </c:pt>
                <c:pt idx="94">
                  <c:v>4.2930000000000093E-2</c:v>
                </c:pt>
                <c:pt idx="95">
                  <c:v>3.6949999999999955E-2</c:v>
                </c:pt>
                <c:pt idx="96">
                  <c:v>3.3939999999999915E-2</c:v>
                </c:pt>
                <c:pt idx="97">
                  <c:v>3.7120000000000035E-2</c:v>
                </c:pt>
                <c:pt idx="98">
                  <c:v>4.4459999999999993E-2</c:v>
                </c:pt>
                <c:pt idx="99">
                  <c:v>4.8460000000000093E-2</c:v>
                </c:pt>
                <c:pt idx="100">
                  <c:v>4.8119999999999982E-2</c:v>
                </c:pt>
                <c:pt idx="101">
                  <c:v>4.2669999999999972E-2</c:v>
                </c:pt>
                <c:pt idx="102">
                  <c:v>3.6449999999990011E-2</c:v>
                </c:pt>
                <c:pt idx="103">
                  <c:v>3.639000000000011E-2</c:v>
                </c:pt>
                <c:pt idx="104">
                  <c:v>3.5850000000000076E-2</c:v>
                </c:pt>
                <c:pt idx="105">
                  <c:v>3.5699999999999982E-2</c:v>
                </c:pt>
                <c:pt idx="106">
                  <c:v>3.8719999999999997E-2</c:v>
                </c:pt>
                <c:pt idx="107">
                  <c:v>4.2620000000000012E-2</c:v>
                </c:pt>
                <c:pt idx="108">
                  <c:v>4.826999999999998E-2</c:v>
                </c:pt>
                <c:pt idx="109">
                  <c:v>4.5820000000000083E-2</c:v>
                </c:pt>
                <c:pt idx="110">
                  <c:v>4.0970000000000083E-2</c:v>
                </c:pt>
                <c:pt idx="111">
                  <c:v>3.814000000000007E-2</c:v>
                </c:pt>
                <c:pt idx="112">
                  <c:v>3.8160000000000027E-2</c:v>
                </c:pt>
                <c:pt idx="113">
                  <c:v>4.0769999999990134E-2</c:v>
                </c:pt>
                <c:pt idx="114">
                  <c:v>4.4230000000009963E-2</c:v>
                </c:pt>
                <c:pt idx="115">
                  <c:v>4.5199999999999962E-2</c:v>
                </c:pt>
                <c:pt idx="116">
                  <c:v>4.6109999999989951E-2</c:v>
                </c:pt>
                <c:pt idx="117">
                  <c:v>4.7210000000000092E-2</c:v>
                </c:pt>
                <c:pt idx="118">
                  <c:v>4.6209999999990002E-2</c:v>
                </c:pt>
                <c:pt idx="119">
                  <c:v>4.5510000000000023E-2</c:v>
                </c:pt>
                <c:pt idx="120">
                  <c:v>3.4489999999990036E-2</c:v>
                </c:pt>
                <c:pt idx="121">
                  <c:v>3.3840000000000002E-2</c:v>
                </c:pt>
                <c:pt idx="122">
                  <c:v>3.5480000000000032E-2</c:v>
                </c:pt>
                <c:pt idx="123">
                  <c:v>3.4569999999999934E-2</c:v>
                </c:pt>
                <c:pt idx="124">
                  <c:v>3.2369999999999954E-2</c:v>
                </c:pt>
                <c:pt idx="125">
                  <c:v>3.2360000000009992E-2</c:v>
                </c:pt>
                <c:pt idx="126">
                  <c:v>3.0960000000000036E-2</c:v>
                </c:pt>
                <c:pt idx="127">
                  <c:v>2.9350000000000022E-2</c:v>
                </c:pt>
                <c:pt idx="128">
                  <c:v>2.8700000000009992E-2</c:v>
                </c:pt>
                <c:pt idx="129">
                  <c:v>2.8409999999999942E-2</c:v>
                </c:pt>
                <c:pt idx="130">
                  <c:v>2.5580000000010018E-2</c:v>
                </c:pt>
                <c:pt idx="131">
                  <c:v>2.4729999999999988E-2</c:v>
                </c:pt>
                <c:pt idx="132">
                  <c:v>3.0300000000000011E-2</c:v>
                </c:pt>
                <c:pt idx="133">
                  <c:v>3.3309999999999888E-2</c:v>
                </c:pt>
                <c:pt idx="134">
                  <c:v>3.0339999999999992E-2</c:v>
                </c:pt>
              </c:numCache>
            </c:numRef>
          </c:val>
        </c:ser>
        <c:marker val="1"/>
        <c:axId val="113923584"/>
        <c:axId val="113925120"/>
      </c:lineChart>
      <c:catAx>
        <c:axId val="113923584"/>
        <c:scaling>
          <c:orientation val="minMax"/>
        </c:scaling>
        <c:axPos val="b"/>
        <c:numFmt formatCode="General" sourceLinked="0"/>
        <c:tickLblPos val="nextTo"/>
        <c:txPr>
          <a:bodyPr rot="-5400000" vert="horz"/>
          <a:lstStyle/>
          <a:p>
            <a:pPr>
              <a:defRPr sz="700"/>
            </a:pPr>
            <a:endParaRPr lang="es-MX"/>
          </a:p>
        </c:txPr>
        <c:crossAx val="113925120"/>
        <c:crosses val="autoZero"/>
        <c:auto val="1"/>
        <c:lblAlgn val="ctr"/>
        <c:lblOffset val="100"/>
      </c:catAx>
      <c:valAx>
        <c:axId val="113925120"/>
        <c:scaling>
          <c:orientation val="minMax"/>
        </c:scaling>
        <c:axPos val="l"/>
        <c:majorGridlines>
          <c:spPr>
            <a:ln>
              <a:noFill/>
            </a:ln>
          </c:spPr>
        </c:majorGridlines>
        <c:numFmt formatCode="0%" sourceLinked="0"/>
        <c:tickLblPos val="nextTo"/>
        <c:crossAx val="113923584"/>
        <c:crosses val="autoZero"/>
        <c:crossBetween val="between"/>
      </c:valAx>
    </c:plotArea>
    <c:legend>
      <c:legendPos val="t"/>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2.767295049315114E-2"/>
          <c:y val="0.15513626834381553"/>
          <c:w val="0.86415097030634969"/>
          <c:h val="0.72424833688241863"/>
        </c:manualLayout>
      </c:layout>
      <c:bar3DChart>
        <c:barDir val="col"/>
        <c:grouping val="clustered"/>
        <c:ser>
          <c:idx val="0"/>
          <c:order val="0"/>
          <c:dPt>
            <c:idx val="0"/>
            <c:spPr>
              <a:solidFill>
                <a:srgbClr val="92D050"/>
              </a:solidFill>
            </c:spPr>
          </c:dPt>
          <c:dPt>
            <c:idx val="1"/>
            <c:spPr>
              <a:solidFill>
                <a:schemeClr val="tx2">
                  <a:lumMod val="60000"/>
                  <a:lumOff val="40000"/>
                </a:schemeClr>
              </a:solidFill>
            </c:spPr>
          </c:dPt>
          <c:dLbls>
            <c:dLbl>
              <c:idx val="0"/>
              <c:layout>
                <c:manualLayout>
                  <c:x val="-5.1887277395676334E-3"/>
                  <c:y val="0.1512055332706054"/>
                </c:manualLayout>
              </c:layout>
              <c:showVal val="1"/>
              <c:extLst>
                <c:ext xmlns:c15="http://schemas.microsoft.com/office/drawing/2012/chart" uri="{CE6537A1-D6FC-4f65-9D91-7224C49458BB}">
                  <c15:layout/>
                </c:ext>
              </c:extLst>
            </c:dLbl>
            <c:dLbl>
              <c:idx val="1"/>
              <c:layout>
                <c:manualLayout>
                  <c:x val="1.5240922053994539E-2"/>
                  <c:y val="0.27332739067993994"/>
                </c:manualLayout>
              </c:layout>
              <c:showVal val="1"/>
              <c:extLst>
                <c:ext xmlns:c15="http://schemas.microsoft.com/office/drawing/2012/chart" uri="{CE6537A1-D6FC-4f65-9D91-7224C49458BB}">
                  <c15:layout/>
                </c:ext>
              </c:extLst>
            </c:dLbl>
            <c:spPr>
              <a:noFill/>
              <a:ln>
                <a:noFill/>
              </a:ln>
              <a:effectLst/>
            </c:spPr>
            <c:txPr>
              <a:bodyPr/>
              <a:lstStyle/>
              <a:p>
                <a:pPr>
                  <a:defRPr sz="1200" b="1"/>
                </a:pPr>
                <a:endParaRPr lang="es-MX"/>
              </a:p>
            </c:txPr>
            <c:showVal val="1"/>
            <c:extLst>
              <c:ext xmlns:c15="http://schemas.microsoft.com/office/drawing/2012/chart" uri="{CE6537A1-D6FC-4f65-9D91-7224C49458BB}">
                <c15:showLeaderLines val="0"/>
              </c:ext>
            </c:extLst>
          </c:dLbls>
          <c:cat>
            <c:strRef>
              <c:f>auditoria!$A$96:$A$97</c:f>
              <c:strCache>
                <c:ptCount val="2"/>
                <c:pt idx="0">
                  <c:v>Realizado enero-marzo 2016</c:v>
                </c:pt>
                <c:pt idx="1">
                  <c:v>Meta anual</c:v>
                </c:pt>
              </c:strCache>
            </c:strRef>
          </c:cat>
          <c:val>
            <c:numRef>
              <c:f>auditoria!$B$96:$B$97</c:f>
              <c:numCache>
                <c:formatCode>General</c:formatCode>
                <c:ptCount val="2"/>
                <c:pt idx="0">
                  <c:v>15</c:v>
                </c:pt>
                <c:pt idx="1">
                  <c:v>25</c:v>
                </c:pt>
              </c:numCache>
            </c:numRef>
          </c:val>
        </c:ser>
        <c:shape val="box"/>
        <c:axId val="114098560"/>
        <c:axId val="114100096"/>
        <c:axId val="0"/>
      </c:bar3DChart>
      <c:catAx>
        <c:axId val="114098560"/>
        <c:scaling>
          <c:orientation val="minMax"/>
        </c:scaling>
        <c:axPos val="b"/>
        <c:numFmt formatCode="General" sourceLinked="1"/>
        <c:tickLblPos val="nextTo"/>
        <c:txPr>
          <a:bodyPr/>
          <a:lstStyle/>
          <a:p>
            <a:pPr>
              <a:defRPr sz="1200"/>
            </a:pPr>
            <a:endParaRPr lang="es-MX"/>
          </a:p>
        </c:txPr>
        <c:crossAx val="114100096"/>
        <c:crosses val="autoZero"/>
        <c:auto val="1"/>
        <c:lblAlgn val="ctr"/>
        <c:lblOffset val="100"/>
      </c:catAx>
      <c:valAx>
        <c:axId val="114100096"/>
        <c:scaling>
          <c:orientation val="minMax"/>
        </c:scaling>
        <c:delete val="1"/>
        <c:axPos val="l"/>
        <c:numFmt formatCode="General" sourceLinked="1"/>
        <c:tickLblPos val="none"/>
        <c:crossAx val="114098560"/>
        <c:crosses val="autoZero"/>
        <c:crossBetween val="between"/>
      </c:valAx>
    </c:plotArea>
    <c:plotVisOnly val="1"/>
    <c:dispBlanksAs val="gap"/>
  </c:chart>
  <c:spPr>
    <a:ln>
      <a:noFill/>
    </a:ln>
  </c:spPr>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dPt>
            <c:idx val="0"/>
            <c:spPr>
              <a:solidFill>
                <a:srgbClr val="92D050"/>
              </a:solidFill>
            </c:spPr>
          </c:dPt>
          <c:dPt>
            <c:idx val="2"/>
            <c:spPr>
              <a:solidFill>
                <a:srgbClr val="92D050"/>
              </a:solidFill>
            </c:spPr>
          </c:dPt>
          <c:dLbls>
            <c:dLbl>
              <c:idx val="0"/>
              <c:layout>
                <c:manualLayout>
                  <c:x val="1.1111111111111125E-2"/>
                  <c:y val="-0.10185185185185186"/>
                </c:manualLayout>
              </c:layout>
              <c:showVal val="1"/>
              <c:extLst>
                <c:ext xmlns:c15="http://schemas.microsoft.com/office/drawing/2012/chart" uri="{CE6537A1-D6FC-4f65-9D91-7224C49458BB}">
                  <c15:layout/>
                </c:ext>
              </c:extLst>
            </c:dLbl>
            <c:dLbl>
              <c:idx val="1"/>
              <c:layout>
                <c:manualLayout>
                  <c:x val="2.5000000000000001E-2"/>
                  <c:y val="-0.1388888888888889"/>
                </c:manualLayout>
              </c:layout>
              <c:showVal val="1"/>
              <c:extLst>
                <c:ext xmlns:c15="http://schemas.microsoft.com/office/drawing/2012/chart" uri="{CE6537A1-D6FC-4f65-9D91-7224C49458BB}">
                  <c15:layout/>
                </c:ext>
              </c:extLst>
            </c:dLbl>
            <c:dLbl>
              <c:idx val="2"/>
              <c:layout>
                <c:manualLayout>
                  <c:x val="5.5555555555555558E-3"/>
                  <c:y val="-0.37962962962963204"/>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es-MX"/>
              </a:p>
            </c:txPr>
            <c:showVal val="1"/>
            <c:extLst>
              <c:ext xmlns:c15="http://schemas.microsoft.com/office/drawing/2012/chart" uri="{CE6537A1-D6FC-4f65-9D91-7224C49458BB}">
                <c15:showLeaderLines val="0"/>
              </c:ext>
            </c:extLst>
          </c:dLbls>
          <c:cat>
            <c:strRef>
              <c:f>auditoria!$A$118:$A$120</c:f>
              <c:strCache>
                <c:ptCount val="3"/>
                <c:pt idx="0">
                  <c:v>Determinadas al mes de marzo</c:v>
                </c:pt>
                <c:pt idx="1">
                  <c:v>Programada al mes de marzo</c:v>
                </c:pt>
                <c:pt idx="2">
                  <c:v>Meta anual</c:v>
                </c:pt>
              </c:strCache>
            </c:strRef>
          </c:cat>
          <c:val>
            <c:numRef>
              <c:f>auditoria!$B$118:$B$120</c:f>
              <c:numCache>
                <c:formatCode>"$"#,##0_);[Red]\("$"#,##0\)</c:formatCode>
                <c:ptCount val="3"/>
                <c:pt idx="0">
                  <c:v>2796457</c:v>
                </c:pt>
                <c:pt idx="1">
                  <c:v>5673000</c:v>
                </c:pt>
                <c:pt idx="2">
                  <c:v>28800000</c:v>
                </c:pt>
              </c:numCache>
            </c:numRef>
          </c:val>
        </c:ser>
        <c:shape val="box"/>
        <c:axId val="114043136"/>
        <c:axId val="114044928"/>
        <c:axId val="0"/>
      </c:bar3DChart>
      <c:catAx>
        <c:axId val="114043136"/>
        <c:scaling>
          <c:orientation val="minMax"/>
        </c:scaling>
        <c:axPos val="b"/>
        <c:numFmt formatCode="General" sourceLinked="0"/>
        <c:tickLblPos val="nextTo"/>
        <c:crossAx val="114044928"/>
        <c:crosses val="autoZero"/>
        <c:auto val="1"/>
        <c:lblAlgn val="ctr"/>
        <c:lblOffset val="100"/>
      </c:catAx>
      <c:valAx>
        <c:axId val="114044928"/>
        <c:scaling>
          <c:orientation val="minMax"/>
        </c:scaling>
        <c:delete val="1"/>
        <c:axPos val="l"/>
        <c:numFmt formatCode="&quot;$&quot;#,##0_);[Red]\(&quot;$&quot;#,##0\)" sourceLinked="1"/>
        <c:tickLblPos val="none"/>
        <c:crossAx val="114043136"/>
        <c:crosses val="autoZero"/>
        <c:crossBetween val="between"/>
      </c:valAx>
    </c:plotArea>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title>
      <c:tx>
        <c:rich>
          <a:bodyPr/>
          <a:lstStyle/>
          <a:p>
            <a:pPr>
              <a:defRPr/>
            </a:pPr>
            <a:r>
              <a:rPr lang="es-MX"/>
              <a:t>Padrón</a:t>
            </a:r>
            <a:r>
              <a:rPr lang="es-MX" baseline="0"/>
              <a:t> Vehicular</a:t>
            </a:r>
            <a:endParaRPr lang="es-MX"/>
          </a:p>
        </c:rich>
      </c:tx>
    </c:title>
    <c:view3D>
      <c:rAngAx val="1"/>
    </c:view3D>
    <c:floor>
      <c:spPr>
        <a:noFill/>
        <a:ln w="9525">
          <a:noFill/>
        </a:ln>
      </c:spPr>
    </c:floor>
    <c:plotArea>
      <c:layout>
        <c:manualLayout>
          <c:layoutTarget val="inner"/>
          <c:xMode val="edge"/>
          <c:yMode val="edge"/>
          <c:x val="9.9770261071261065E-2"/>
          <c:y val="0.1644293830054023"/>
          <c:w val="0.86164808101069901"/>
          <c:h val="0.55094249713982901"/>
        </c:manualLayout>
      </c:layout>
      <c:bar3DChart>
        <c:barDir val="col"/>
        <c:grouping val="clustered"/>
        <c:ser>
          <c:idx val="0"/>
          <c:order val="0"/>
          <c:spPr>
            <a:solidFill>
              <a:srgbClr val="0070C0"/>
            </a:solidFill>
          </c:spPr>
          <c:dPt>
            <c:idx val="0"/>
            <c:spPr>
              <a:solidFill>
                <a:schemeClr val="accent5">
                  <a:lumMod val="40000"/>
                  <a:lumOff val="60000"/>
                </a:schemeClr>
              </a:solidFill>
            </c:spPr>
          </c:dPt>
          <c:dPt>
            <c:idx val="1"/>
            <c:spPr>
              <a:solidFill>
                <a:schemeClr val="accent5">
                  <a:lumMod val="75000"/>
                </a:schemeClr>
              </a:solidFill>
            </c:spPr>
          </c:dPt>
          <c:dPt>
            <c:idx val="2"/>
            <c:spPr>
              <a:solidFill>
                <a:schemeClr val="accent3">
                  <a:lumMod val="75000"/>
                </a:schemeClr>
              </a:solidFill>
            </c:spPr>
          </c:dPt>
          <c:dPt>
            <c:idx val="3"/>
            <c:spPr>
              <a:solidFill>
                <a:srgbClr val="669900"/>
              </a:solidFill>
            </c:spPr>
          </c:dPt>
          <c:dPt>
            <c:idx val="4"/>
            <c:spPr>
              <a:solidFill>
                <a:srgbClr val="996633"/>
              </a:solidFill>
            </c:spPr>
          </c:dPt>
          <c:dLbls>
            <c:dLbl>
              <c:idx val="0"/>
              <c:layout>
                <c:manualLayout>
                  <c:x val="2.3579845966386351E-2"/>
                  <c:y val="-1.8264844560659781E-2"/>
                </c:manualLayout>
              </c:layout>
              <c:showVal val="1"/>
              <c:extLst>
                <c:ext xmlns:c15="http://schemas.microsoft.com/office/drawing/2012/chart" uri="{CE6537A1-D6FC-4f65-9D91-7224C49458BB}">
                  <c15:layout/>
                </c:ext>
              </c:extLst>
            </c:dLbl>
            <c:dLbl>
              <c:idx val="1"/>
              <c:layout>
                <c:manualLayout>
                  <c:x val="1.7148978884644592E-2"/>
                  <c:y val="-1.5220703800549842E-2"/>
                </c:manualLayout>
              </c:layout>
              <c:showVal val="1"/>
              <c:extLst>
                <c:ext xmlns:c15="http://schemas.microsoft.com/office/drawing/2012/chart" uri="{CE6537A1-D6FC-4f65-9D91-7224C49458BB}">
                  <c15:layout/>
                </c:ext>
              </c:extLst>
            </c:dLbl>
            <c:dLbl>
              <c:idx val="2"/>
              <c:layout>
                <c:manualLayout>
                  <c:x val="6.430867081741785E-3"/>
                  <c:y val="-1.8264844560659781E-2"/>
                </c:manualLayout>
              </c:layout>
              <c:showVal val="1"/>
              <c:extLst>
                <c:ext xmlns:c15="http://schemas.microsoft.com/office/drawing/2012/chart" uri="{CE6537A1-D6FC-4f65-9D91-7224C49458BB}">
                  <c15:layout/>
                </c:ext>
              </c:extLst>
            </c:dLbl>
            <c:dLbl>
              <c:idx val="3"/>
              <c:layout>
                <c:manualLayout>
                  <c:x val="1.5005356524064017E-2"/>
                  <c:y val="-2.1308985320769792E-2"/>
                </c:manualLayout>
              </c:layout>
              <c:showVal val="1"/>
              <c:extLst>
                <c:ext xmlns:c15="http://schemas.microsoft.com/office/drawing/2012/chart" uri="{CE6537A1-D6FC-4f65-9D91-7224C49458BB}">
                  <c15:layout/>
                </c:ext>
              </c:extLst>
            </c:dLbl>
            <c:dLbl>
              <c:idx val="4"/>
              <c:layout>
                <c:manualLayout>
                  <c:x val="1.0718111802902873E-2"/>
                  <c:y val="-1.8264844560659781E-2"/>
                </c:manualLayout>
              </c:layout>
              <c:showVal val="1"/>
              <c:extLst>
                <c:ext xmlns:c15="http://schemas.microsoft.com/office/drawing/2012/chart" uri="{CE6537A1-D6FC-4f65-9D91-7224C49458BB}">
                  <c15:layout/>
                </c:ext>
              </c:extLst>
            </c:dLbl>
            <c:dLbl>
              <c:idx val="5"/>
              <c:layout>
                <c:manualLayout>
                  <c:x val="6.1151683621412404E-3"/>
                  <c:y val="-1.8942388292112641E-2"/>
                </c:manualLayout>
              </c:layout>
              <c:showVal val="1"/>
              <c:extLst>
                <c:ext xmlns:c15="http://schemas.microsoft.com/office/drawing/2012/chart" uri="{CE6537A1-D6FC-4f65-9D91-7224C49458BB}">
                  <c15:layout/>
                </c:ext>
              </c:extLst>
            </c:dLbl>
            <c:spPr>
              <a:noFill/>
              <a:ln>
                <a:noFill/>
              </a:ln>
              <a:effectLst/>
            </c:spPr>
            <c:txPr>
              <a:bodyPr/>
              <a:lstStyle/>
              <a:p>
                <a:pPr>
                  <a:defRPr sz="1100" b="1"/>
                </a:pPr>
                <a:endParaRPr lang="es-MX"/>
              </a:p>
            </c:txPr>
            <c:showVal val="1"/>
            <c:extLst>
              <c:ext xmlns:c15="http://schemas.microsoft.com/office/drawing/2012/chart" uri="{CE6537A1-D6FC-4f65-9D91-7224C49458BB}">
                <c15:showLeaderLines val="0"/>
              </c:ext>
            </c:extLst>
          </c:dLbls>
          <c:cat>
            <c:strRef>
              <c:f>VH!$A$4:$A$9</c:f>
              <c:strCache>
                <c:ptCount val="6"/>
                <c:pt idx="0">
                  <c:v>2011</c:v>
                </c:pt>
                <c:pt idx="1">
                  <c:v>2012</c:v>
                </c:pt>
                <c:pt idx="2">
                  <c:v>2013</c:v>
                </c:pt>
                <c:pt idx="3">
                  <c:v>2014</c:v>
                </c:pt>
                <c:pt idx="4">
                  <c:v>2015</c:v>
                </c:pt>
                <c:pt idx="5">
                  <c:v>2016*</c:v>
                </c:pt>
              </c:strCache>
            </c:strRef>
          </c:cat>
          <c:val>
            <c:numRef>
              <c:f>VH!$B$4:$B$9</c:f>
              <c:numCache>
                <c:formatCode>_-* #,##0_-;\-* #,##0_-;_-* \-??_-;_-@_-</c:formatCode>
                <c:ptCount val="6"/>
                <c:pt idx="0">
                  <c:v>410571</c:v>
                </c:pt>
                <c:pt idx="1">
                  <c:v>436995</c:v>
                </c:pt>
                <c:pt idx="2">
                  <c:v>459248</c:v>
                </c:pt>
                <c:pt idx="3">
                  <c:v>491863</c:v>
                </c:pt>
                <c:pt idx="4">
                  <c:v>513339</c:v>
                </c:pt>
                <c:pt idx="5">
                  <c:v>519880</c:v>
                </c:pt>
              </c:numCache>
            </c:numRef>
          </c:val>
        </c:ser>
        <c:shape val="box"/>
        <c:axId val="114083328"/>
        <c:axId val="114084864"/>
        <c:axId val="0"/>
      </c:bar3DChart>
      <c:catAx>
        <c:axId val="114083328"/>
        <c:scaling>
          <c:orientation val="minMax"/>
        </c:scaling>
        <c:axPos val="b"/>
        <c:numFmt formatCode="General" sourceLinked="1"/>
        <c:tickLblPos val="nextTo"/>
        <c:txPr>
          <a:bodyPr/>
          <a:lstStyle/>
          <a:p>
            <a:pPr>
              <a:defRPr sz="1400" b="1"/>
            </a:pPr>
            <a:endParaRPr lang="es-MX"/>
          </a:p>
        </c:txPr>
        <c:crossAx val="114084864"/>
        <c:crosses val="autoZero"/>
        <c:auto val="1"/>
        <c:lblAlgn val="ctr"/>
        <c:lblOffset val="100"/>
      </c:catAx>
      <c:valAx>
        <c:axId val="114084864"/>
        <c:scaling>
          <c:orientation val="minMax"/>
        </c:scaling>
        <c:delete val="1"/>
        <c:axPos val="l"/>
        <c:numFmt formatCode="_-* #,##0_-;\-* #,##0_-;_-* \-??_-;_-@_-" sourceLinked="1"/>
        <c:tickLblPos val="none"/>
        <c:crossAx val="114083328"/>
        <c:crosses val="autoZero"/>
        <c:crossBetween val="between"/>
      </c:valAx>
    </c:plotArea>
    <c:plotVisOnly val="1"/>
    <c:dispBlanksAs val="gap"/>
  </c:chart>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plotArea>
      <c:layout>
        <c:manualLayout>
          <c:layoutTarget val="inner"/>
          <c:xMode val="edge"/>
          <c:yMode val="edge"/>
          <c:x val="0.19161245230508697"/>
          <c:y val="0.29795639706886651"/>
          <c:w val="0.54958307202750101"/>
          <c:h val="0.5474320427729541"/>
        </c:manualLayout>
      </c:layout>
      <c:barChart>
        <c:barDir val="col"/>
        <c:grouping val="clustered"/>
        <c:ser>
          <c:idx val="0"/>
          <c:order val="0"/>
          <c:dPt>
            <c:idx val="0"/>
            <c:spPr>
              <a:solidFill>
                <a:schemeClr val="accent1">
                  <a:lumMod val="75000"/>
                </a:schemeClr>
              </a:solidFill>
            </c:spPr>
          </c:dPt>
          <c:dPt>
            <c:idx val="1"/>
            <c:spPr>
              <a:solidFill>
                <a:schemeClr val="accent4">
                  <a:lumMod val="60000"/>
                  <a:lumOff val="40000"/>
                </a:schemeClr>
              </a:solidFill>
            </c:spPr>
          </c:dPt>
          <c:dLbls>
            <c:spPr>
              <a:noFill/>
              <a:ln>
                <a:noFill/>
              </a:ln>
              <a:effectLst/>
            </c:spPr>
            <c:txPr>
              <a:bodyPr/>
              <a:lstStyle/>
              <a:p>
                <a:pPr>
                  <a:defRPr sz="1200" b="1"/>
                </a:pPr>
                <a:endParaRPr lang="es-MX"/>
              </a:p>
            </c:txPr>
            <c:showVal val="1"/>
            <c:extLst>
              <c:ext xmlns:c15="http://schemas.microsoft.com/office/drawing/2012/chart" uri="{CE6537A1-D6FC-4f65-9D91-7224C49458BB}">
                <c15:layout/>
                <c15:showLeaderLines val="0"/>
              </c:ext>
            </c:extLst>
          </c:dLbls>
          <c:cat>
            <c:strRef>
              <c:f>'ingresos totales'!$B$4:$B$5</c:f>
              <c:strCache>
                <c:ptCount val="2"/>
                <c:pt idx="0">
                  <c:v>Programado</c:v>
                </c:pt>
                <c:pt idx="1">
                  <c:v>Observado</c:v>
                </c:pt>
              </c:strCache>
            </c:strRef>
          </c:cat>
          <c:val>
            <c:numRef>
              <c:f>'ingresos totales'!$C$4:$C$5</c:f>
              <c:numCache>
                <c:formatCode>_-* #,##0_-;\-* #,##0_-;_-* "-"??_-;_-@_-</c:formatCode>
                <c:ptCount val="2"/>
                <c:pt idx="0">
                  <c:v>15494</c:v>
                </c:pt>
                <c:pt idx="1">
                  <c:v>14318</c:v>
                </c:pt>
              </c:numCache>
            </c:numRef>
          </c:val>
        </c:ser>
        <c:axId val="114196480"/>
        <c:axId val="114198016"/>
      </c:barChart>
      <c:catAx>
        <c:axId val="114196480"/>
        <c:scaling>
          <c:orientation val="minMax"/>
        </c:scaling>
        <c:axPos val="b"/>
        <c:numFmt formatCode="General" sourceLinked="0"/>
        <c:tickLblPos val="nextTo"/>
        <c:txPr>
          <a:bodyPr/>
          <a:lstStyle/>
          <a:p>
            <a:pPr>
              <a:defRPr sz="1200" b="1"/>
            </a:pPr>
            <a:endParaRPr lang="es-MX"/>
          </a:p>
        </c:txPr>
        <c:crossAx val="114198016"/>
        <c:crosses val="autoZero"/>
        <c:auto val="1"/>
        <c:lblAlgn val="ctr"/>
        <c:lblOffset val="100"/>
      </c:catAx>
      <c:valAx>
        <c:axId val="114198016"/>
        <c:scaling>
          <c:orientation val="minMax"/>
        </c:scaling>
        <c:delete val="1"/>
        <c:axPos val="l"/>
        <c:numFmt formatCode="_-* #,##0_-;\-* #,##0_-;_-* &quot;-&quot;??_-;_-@_-" sourceLinked="1"/>
        <c:tickLblPos val="none"/>
        <c:crossAx val="114196480"/>
        <c:crosses val="autoZero"/>
        <c:crossBetween val="between"/>
      </c:valAx>
      <c:spPr>
        <a:noFill/>
        <a:ln w="25400">
          <a:noFill/>
        </a:ln>
      </c:spPr>
    </c:plotArea>
    <c:plotVisOnly val="1"/>
    <c:dispBlanksAs val="gap"/>
  </c:chart>
  <c:spPr>
    <a:ln>
      <a:solidFill>
        <a:sysClr val="windowText" lastClr="000000"/>
      </a:solidFill>
    </a:ln>
  </c:spPr>
  <c:externalData r:id="rId2"/>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9084379326204781"/>
          <c:y val="0.21120555358000684"/>
          <c:w val="0.76371577723220962"/>
          <c:h val="0.49901407688457672"/>
        </c:manualLayout>
      </c:layout>
      <c:barChart>
        <c:barDir val="col"/>
        <c:grouping val="clustered"/>
        <c:ser>
          <c:idx val="0"/>
          <c:order val="0"/>
          <c:tx>
            <c:v>Estimado</c:v>
          </c:tx>
          <c:spPr>
            <a:solidFill>
              <a:srgbClr val="FFC000"/>
            </a:solidFill>
          </c:spPr>
          <c:cat>
            <c:strRef>
              <c:f>'INGR 1 '!$J$50:$J$53</c:f>
              <c:strCache>
                <c:ptCount val="4"/>
                <c:pt idx="0">
                  <c:v>Ingresos de Gestión</c:v>
                </c:pt>
                <c:pt idx="1">
                  <c:v>Participaciones y Aportaciones Transferencias, Asignaciones, Subsidios y Otras Ayudas</c:v>
                </c:pt>
                <c:pt idx="2">
                  <c:v>Transferencias, Asignaciones, Subsidios y Otras Ayudas</c:v>
                </c:pt>
                <c:pt idx="3">
                  <c:v>Otros ingresos</c:v>
                </c:pt>
              </c:strCache>
            </c:strRef>
          </c:cat>
          <c:val>
            <c:numRef>
              <c:f>'INGR 1 '!$K$50:$K$53</c:f>
              <c:numCache>
                <c:formatCode>_-* #,##0_-;\-* #,##0_-;_-* "-"??_-;_-@_-</c:formatCode>
                <c:ptCount val="4"/>
                <c:pt idx="0">
                  <c:v>886984040</c:v>
                </c:pt>
                <c:pt idx="1">
                  <c:v>14606965001</c:v>
                </c:pt>
                <c:pt idx="2">
                  <c:v>459835973</c:v>
                </c:pt>
                <c:pt idx="3">
                  <c:v>0</c:v>
                </c:pt>
              </c:numCache>
            </c:numRef>
          </c:val>
        </c:ser>
        <c:ser>
          <c:idx val="1"/>
          <c:order val="1"/>
          <c:tx>
            <c:v>obtenido</c:v>
          </c:tx>
          <c:spPr>
            <a:solidFill>
              <a:schemeClr val="accent6">
                <a:lumMod val="50000"/>
              </a:schemeClr>
            </a:solidFill>
          </c:spPr>
          <c:cat>
            <c:strRef>
              <c:f>'INGR 1 '!$J$50:$J$53</c:f>
              <c:strCache>
                <c:ptCount val="4"/>
                <c:pt idx="0">
                  <c:v>Ingresos de Gestión</c:v>
                </c:pt>
                <c:pt idx="1">
                  <c:v>Participaciones y Aportaciones Transferencias, Asignaciones, Subsidios y Otras Ayudas</c:v>
                </c:pt>
                <c:pt idx="2">
                  <c:v>Transferencias, Asignaciones, Subsidios y Otras Ayudas</c:v>
                </c:pt>
                <c:pt idx="3">
                  <c:v>Otros ingresos</c:v>
                </c:pt>
              </c:strCache>
            </c:strRef>
          </c:cat>
          <c:val>
            <c:numRef>
              <c:f>'INGR 1 '!$L$50:$L$53</c:f>
              <c:numCache>
                <c:formatCode>_-* #,##0_-;\-* #,##0_-;_-* "-"??_-;_-@_-</c:formatCode>
                <c:ptCount val="4"/>
                <c:pt idx="0">
                  <c:v>1324423705</c:v>
                </c:pt>
                <c:pt idx="1">
                  <c:v>11982837638</c:v>
                </c:pt>
                <c:pt idx="2">
                  <c:v>475014758</c:v>
                </c:pt>
                <c:pt idx="3">
                  <c:v>1010639164</c:v>
                </c:pt>
              </c:numCache>
            </c:numRef>
          </c:val>
        </c:ser>
        <c:axId val="114209920"/>
        <c:axId val="114211456"/>
      </c:barChart>
      <c:catAx>
        <c:axId val="114209920"/>
        <c:scaling>
          <c:orientation val="minMax"/>
        </c:scaling>
        <c:axPos val="b"/>
        <c:numFmt formatCode="General" sourceLinked="1"/>
        <c:tickLblPos val="nextTo"/>
        <c:txPr>
          <a:bodyPr/>
          <a:lstStyle/>
          <a:p>
            <a:pPr>
              <a:defRPr sz="800"/>
            </a:pPr>
            <a:endParaRPr lang="es-MX"/>
          </a:p>
        </c:txPr>
        <c:crossAx val="114211456"/>
        <c:crosses val="autoZero"/>
        <c:auto val="1"/>
        <c:lblAlgn val="ctr"/>
        <c:lblOffset val="100"/>
      </c:catAx>
      <c:valAx>
        <c:axId val="114211456"/>
        <c:scaling>
          <c:orientation val="minMax"/>
        </c:scaling>
        <c:axPos val="l"/>
        <c:numFmt formatCode="_-* #,##0_-;\-* #,##0_-;_-* &quot;-&quot;??_-;_-@_-" sourceLinked="1"/>
        <c:tickLblPos val="nextTo"/>
        <c:txPr>
          <a:bodyPr/>
          <a:lstStyle/>
          <a:p>
            <a:pPr>
              <a:defRPr sz="800"/>
            </a:pPr>
            <a:endParaRPr lang="es-MX"/>
          </a:p>
        </c:txPr>
        <c:crossAx val="114209920"/>
        <c:crosses val="autoZero"/>
        <c:crossBetween val="between"/>
      </c:valAx>
    </c:plotArea>
    <c:legend>
      <c:legendPos val="r"/>
      <c:layout>
        <c:manualLayout>
          <c:xMode val="edge"/>
          <c:yMode val="edge"/>
          <c:x val="0.67681337896046834"/>
          <c:y val="0.19406075371970688"/>
          <c:w val="0.12216899134587687"/>
          <c:h val="0.14043740190837106"/>
        </c:manualLayout>
      </c:layout>
    </c:legend>
    <c:plotVisOnly val="1"/>
  </c:chart>
  <c:spPr>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987807434613803"/>
          <c:y val="0.21152036508081909"/>
          <c:w val="0.41693273963757732"/>
          <c:h val="0.73937669302541964"/>
        </c:manualLayout>
      </c:layout>
      <c:doughnutChart>
        <c:varyColors val="1"/>
        <c:ser>
          <c:idx val="0"/>
          <c:order val="0"/>
          <c:spPr>
            <a:scene3d>
              <a:camera prst="orthographicFront"/>
              <a:lightRig rig="threePt" dir="t"/>
            </a:scene3d>
            <a:sp3d prstMaterial="metal"/>
          </c:spPr>
          <c:dPt>
            <c:idx val="0"/>
            <c:spPr>
              <a:solidFill>
                <a:schemeClr val="accent6">
                  <a:lumMod val="50000"/>
                </a:schemeClr>
              </a:solidFill>
              <a:scene3d>
                <a:camera prst="orthographicFront"/>
                <a:lightRig rig="threePt" dir="t"/>
              </a:scene3d>
              <a:sp3d prstMaterial="metal"/>
            </c:spPr>
          </c:dPt>
          <c:dPt>
            <c:idx val="1"/>
            <c:spPr>
              <a:solidFill>
                <a:schemeClr val="accent6">
                  <a:lumMod val="75000"/>
                </a:schemeClr>
              </a:solidFill>
              <a:scene3d>
                <a:camera prst="orthographicFront"/>
                <a:lightRig rig="threePt" dir="t"/>
              </a:scene3d>
              <a:sp3d prstMaterial="metal"/>
            </c:spPr>
          </c:dPt>
          <c:dPt>
            <c:idx val="2"/>
            <c:spPr>
              <a:solidFill>
                <a:schemeClr val="bg2">
                  <a:lumMod val="25000"/>
                </a:schemeClr>
              </a:solidFill>
              <a:scene3d>
                <a:camera prst="orthographicFront"/>
                <a:lightRig rig="threePt" dir="t"/>
              </a:scene3d>
              <a:sp3d prstMaterial="metal"/>
            </c:spPr>
          </c:dPt>
          <c:dPt>
            <c:idx val="4"/>
            <c:spPr>
              <a:solidFill>
                <a:schemeClr val="tx2">
                  <a:lumMod val="60000"/>
                  <a:lumOff val="40000"/>
                </a:schemeClr>
              </a:solidFill>
              <a:scene3d>
                <a:camera prst="orthographicFront"/>
                <a:lightRig rig="threePt" dir="t"/>
              </a:scene3d>
              <a:sp3d prstMaterial="metal"/>
            </c:spPr>
          </c:dPt>
          <c:dPt>
            <c:idx val="5"/>
            <c:spPr>
              <a:solidFill>
                <a:schemeClr val="accent6">
                  <a:lumMod val="60000"/>
                  <a:lumOff val="40000"/>
                </a:schemeClr>
              </a:solidFill>
              <a:scene3d>
                <a:camera prst="orthographicFront"/>
                <a:lightRig rig="threePt" dir="t"/>
              </a:scene3d>
              <a:sp3d prstMaterial="metal"/>
            </c:spPr>
          </c:dPt>
          <c:dLbls>
            <c:dLbl>
              <c:idx val="0"/>
              <c:layout>
                <c:manualLayout>
                  <c:x val="0.14296764927505448"/>
                  <c:y val="-7.9081626424604104E-2"/>
                </c:manualLayout>
              </c:layout>
              <c:showVal val="1"/>
            </c:dLbl>
            <c:dLbl>
              <c:idx val="1"/>
              <c:layout>
                <c:manualLayout>
                  <c:x val="0.11784766788544485"/>
                  <c:y val="0.13233822516371488"/>
                </c:manualLayout>
              </c:layout>
              <c:showVal val="1"/>
            </c:dLbl>
            <c:dLbl>
              <c:idx val="2"/>
              <c:layout>
                <c:manualLayout>
                  <c:x val="-9.986436666515007E-2"/>
                  <c:y val="0.21869812785029846"/>
                </c:manualLayout>
              </c:layout>
              <c:showVal val="1"/>
            </c:dLbl>
            <c:dLbl>
              <c:idx val="3"/>
              <c:layout>
                <c:manualLayout>
                  <c:x val="-6.6027642498444949E-2"/>
                  <c:y val="-0.17975950680583541"/>
                </c:manualLayout>
              </c:layout>
              <c:showVal val="1"/>
            </c:dLbl>
            <c:dLbl>
              <c:idx val="4"/>
              <c:layout>
                <c:manualLayout>
                  <c:x val="6.7783896955077444E-2"/>
                  <c:y val="-0.18470435381623901"/>
                </c:manualLayout>
              </c:layout>
              <c:showVal val="1"/>
            </c:dLbl>
            <c:dLbl>
              <c:idx val="5"/>
              <c:layout>
                <c:manualLayout>
                  <c:x val="0.13018817734488367"/>
                  <c:y val="-0.1211450894219621"/>
                </c:manualLayout>
              </c:layout>
              <c:showVal val="1"/>
            </c:dLbl>
            <c:delete val="1"/>
            <c:spPr>
              <a:noFill/>
              <a:ln>
                <a:noFill/>
              </a:ln>
            </c:spPr>
            <c:txPr>
              <a:bodyPr/>
              <a:lstStyle/>
              <a:p>
                <a:pPr>
                  <a:defRPr sz="800" b="1"/>
                </a:pPr>
                <a:endParaRPr lang="es-MX"/>
              </a:p>
            </c:txPr>
          </c:dLbls>
          <c:cat>
            <c:strRef>
              <c:f>'INGR 2 '!$A$47:$A$52</c:f>
              <c:strCache>
                <c:ptCount val="6"/>
                <c:pt idx="0">
                  <c:v>Ingresos de Gestión</c:v>
                </c:pt>
                <c:pt idx="1">
                  <c:v>Participaciones </c:v>
                </c:pt>
                <c:pt idx="2">
                  <c:v>Aportaciones</c:v>
                </c:pt>
                <c:pt idx="3">
                  <c:v>Convenios</c:v>
                </c:pt>
                <c:pt idx="4">
                  <c:v>Transferencias, Asignaciones,Subsidios y Otras Ayudas</c:v>
                </c:pt>
                <c:pt idx="5">
                  <c:v>Otros ingresos</c:v>
                </c:pt>
              </c:strCache>
            </c:strRef>
          </c:cat>
          <c:val>
            <c:numRef>
              <c:f>'INGR 2 '!$B$47:$B$52</c:f>
              <c:numCache>
                <c:formatCode>#,##0</c:formatCode>
                <c:ptCount val="6"/>
                <c:pt idx="0">
                  <c:v>1324423705</c:v>
                </c:pt>
                <c:pt idx="1">
                  <c:v>3694089614</c:v>
                </c:pt>
                <c:pt idx="2">
                  <c:v>6499876533</c:v>
                </c:pt>
                <c:pt idx="3">
                  <c:v>1313856733</c:v>
                </c:pt>
                <c:pt idx="4">
                  <c:v>475014758</c:v>
                </c:pt>
                <c:pt idx="5">
                  <c:v>1010639164</c:v>
                </c:pt>
              </c:numCache>
            </c:numRef>
          </c:val>
        </c:ser>
        <c:firstSliceAng val="46"/>
        <c:holeSize val="21"/>
      </c:doughnutChart>
    </c:plotArea>
    <c:legend>
      <c:legendPos val="r"/>
      <c:layout>
        <c:manualLayout>
          <c:xMode val="edge"/>
          <c:yMode val="edge"/>
          <c:x val="0.73285269977091017"/>
          <c:y val="9.8485014954526037E-2"/>
          <c:w val="0.21385407494989642"/>
          <c:h val="0.79128424268452713"/>
        </c:manualLayout>
      </c:layout>
      <c:txPr>
        <a:bodyPr/>
        <a:lstStyle/>
        <a:p>
          <a:pPr rtl="0">
            <a:defRPr sz="800"/>
          </a:pPr>
          <a:endParaRPr lang="es-MX"/>
        </a:p>
      </c:txPr>
    </c:legend>
    <c:plotVisOnly val="1"/>
  </c:chart>
  <c:spPr>
    <a:noFill/>
    <a:ln>
      <a:noFill/>
    </a:ln>
    <a:effectLst>
      <a:innerShdw blurRad="63500" dist="50800" dir="2700000">
        <a:schemeClr val="tx1">
          <a:alpha val="50000"/>
        </a:schemeClr>
      </a:innerShdw>
    </a:effectLst>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
          <c:w val="0.8230797216802026"/>
          <c:h val="0.43320202344734182"/>
        </c:manualLayout>
      </c:layout>
      <c:barChart>
        <c:barDir val="col"/>
        <c:grouping val="clustered"/>
        <c:ser>
          <c:idx val="0"/>
          <c:order val="0"/>
          <c:tx>
            <c:v>ESTIMADO</c:v>
          </c:tx>
          <c:spPr>
            <a:solidFill>
              <a:srgbClr val="FFC000"/>
            </a:solidFill>
          </c:spPr>
          <c:cat>
            <c:strRef>
              <c:f>'INGR 3'!$J$34:$J$39</c:f>
              <c:strCache>
                <c:ptCount val="6"/>
                <c:pt idx="0">
                  <c:v>Impuestos Sobre Los Ingresos</c:v>
                </c:pt>
                <c:pt idx="1">
                  <c:v>Impuestos Sobre el Patrimonio</c:v>
                </c:pt>
                <c:pt idx="2">
                  <c:v>Impuestos Sobre la Producción, el Comercio, el Consumo y las Transacciones o Asimilables</c:v>
                </c:pt>
                <c:pt idx="3">
                  <c:v>Impuesto sobre Erogaciones por Remuneraciones al Trabajo Personal</c:v>
                </c:pt>
                <c:pt idx="4">
                  <c:v>Accesorios</c:v>
                </c:pt>
                <c:pt idx="5">
                  <c:v>Otros Impuestos</c:v>
                </c:pt>
              </c:strCache>
            </c:strRef>
          </c:cat>
          <c:val>
            <c:numRef>
              <c:f>'INGR 3'!$K$34:$K$39</c:f>
              <c:numCache>
                <c:formatCode>_-* #,##0_-;\-* #,##0_-;_-* "-"??_-;_-@_-</c:formatCode>
                <c:ptCount val="6"/>
                <c:pt idx="0">
                  <c:v>10217911</c:v>
                </c:pt>
                <c:pt idx="1">
                  <c:v>7217785</c:v>
                </c:pt>
                <c:pt idx="2">
                  <c:v>12238437</c:v>
                </c:pt>
                <c:pt idx="3">
                  <c:v>229177332</c:v>
                </c:pt>
                <c:pt idx="4">
                  <c:v>635321</c:v>
                </c:pt>
                <c:pt idx="5">
                  <c:v>46260673</c:v>
                </c:pt>
              </c:numCache>
            </c:numRef>
          </c:val>
        </c:ser>
        <c:ser>
          <c:idx val="1"/>
          <c:order val="1"/>
          <c:tx>
            <c:v>OBTENIDO</c:v>
          </c:tx>
          <c:spPr>
            <a:solidFill>
              <a:schemeClr val="accent6">
                <a:lumMod val="50000"/>
              </a:schemeClr>
            </a:solidFill>
          </c:spPr>
          <c:cat>
            <c:strRef>
              <c:f>'INGR 3'!$J$34:$J$39</c:f>
              <c:strCache>
                <c:ptCount val="6"/>
                <c:pt idx="0">
                  <c:v>Impuestos Sobre Los Ingresos</c:v>
                </c:pt>
                <c:pt idx="1">
                  <c:v>Impuestos Sobre el Patrimonio</c:v>
                </c:pt>
                <c:pt idx="2">
                  <c:v>Impuestos Sobre la Producción, el Comercio, el Consumo y las Transacciones o Asimilables</c:v>
                </c:pt>
                <c:pt idx="3">
                  <c:v>Impuesto sobre Erogaciones por Remuneraciones al Trabajo Personal</c:v>
                </c:pt>
                <c:pt idx="4">
                  <c:v>Accesorios</c:v>
                </c:pt>
                <c:pt idx="5">
                  <c:v>Otros Impuestos</c:v>
                </c:pt>
              </c:strCache>
            </c:strRef>
          </c:cat>
          <c:val>
            <c:numRef>
              <c:f>'INGR 3'!$L$34:$L$39</c:f>
              <c:numCache>
                <c:formatCode>_-* #,##0_-;\-* #,##0_-;_-* "-"??_-;_-@_-</c:formatCode>
                <c:ptCount val="6"/>
                <c:pt idx="0">
                  <c:v>10997117</c:v>
                </c:pt>
                <c:pt idx="1">
                  <c:v>25493595</c:v>
                </c:pt>
                <c:pt idx="2">
                  <c:v>16063369</c:v>
                </c:pt>
                <c:pt idx="3">
                  <c:v>340953169</c:v>
                </c:pt>
                <c:pt idx="4">
                  <c:v>1845098</c:v>
                </c:pt>
                <c:pt idx="5">
                  <c:v>49061246</c:v>
                </c:pt>
              </c:numCache>
            </c:numRef>
          </c:val>
        </c:ser>
        <c:axId val="114342144"/>
        <c:axId val="114352128"/>
      </c:barChart>
      <c:catAx>
        <c:axId val="114342144"/>
        <c:scaling>
          <c:orientation val="minMax"/>
        </c:scaling>
        <c:axPos val="b"/>
        <c:numFmt formatCode="General" sourceLinked="1"/>
        <c:tickLblPos val="nextTo"/>
        <c:txPr>
          <a:bodyPr/>
          <a:lstStyle/>
          <a:p>
            <a:pPr>
              <a:defRPr sz="800"/>
            </a:pPr>
            <a:endParaRPr lang="es-MX"/>
          </a:p>
        </c:txPr>
        <c:crossAx val="114352128"/>
        <c:crosses val="autoZero"/>
        <c:auto val="1"/>
        <c:lblAlgn val="ctr"/>
        <c:lblOffset val="100"/>
      </c:catAx>
      <c:valAx>
        <c:axId val="114352128"/>
        <c:scaling>
          <c:orientation val="minMax"/>
        </c:scaling>
        <c:axPos val="l"/>
        <c:numFmt formatCode="_-* #,##0_-;\-* #,##0_-;_-* &quot;-&quot;??_-;_-@_-" sourceLinked="1"/>
        <c:tickLblPos val="nextTo"/>
        <c:txPr>
          <a:bodyPr/>
          <a:lstStyle/>
          <a:p>
            <a:pPr>
              <a:defRPr sz="800"/>
            </a:pPr>
            <a:endParaRPr lang="es-MX"/>
          </a:p>
        </c:txPr>
        <c:crossAx val="114342144"/>
        <c:crosses val="autoZero"/>
        <c:crossBetween val="between"/>
      </c:valAx>
    </c:plotArea>
    <c:legend>
      <c:legendPos val="r"/>
      <c:layout>
        <c:manualLayout>
          <c:xMode val="edge"/>
          <c:yMode val="edge"/>
          <c:x val="0.73123037107402"/>
          <c:y val="0.14619750941483403"/>
          <c:w val="0.17649844703198281"/>
          <c:h val="0.14043740190837126"/>
        </c:manualLayout>
      </c:layout>
    </c:legend>
    <c:plotVisOnly val="1"/>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a:latin typeface="Arial Narrow" pitchFamily="34" charset="0"/>
              </a:defRPr>
            </a:pPr>
            <a:r>
              <a:rPr lang="es-MX" sz="1200" b="1" i="0" baseline="0">
                <a:effectLst/>
                <a:latin typeface="Arial Narrow" pitchFamily="34" charset="0"/>
              </a:rPr>
              <a:t>ESTADO DE OAXACA: </a:t>
            </a:r>
          </a:p>
          <a:p>
            <a:pPr>
              <a:defRPr sz="1200">
                <a:latin typeface="Arial Narrow" pitchFamily="34" charset="0"/>
              </a:defRPr>
            </a:pPr>
            <a:r>
              <a:rPr lang="es-MX" sz="1200" b="1" i="0" baseline="0">
                <a:effectLst/>
                <a:latin typeface="Arial Narrow" pitchFamily="34" charset="0"/>
              </a:rPr>
              <a:t>VARIACIÓN ANUAL PIBE (2005-2015*)</a:t>
            </a:r>
            <a:endParaRPr lang="es-MX" sz="1200">
              <a:effectLst/>
              <a:latin typeface="Arial Narrow" pitchFamily="34" charset="0"/>
            </a:endParaRPr>
          </a:p>
        </c:rich>
      </c:tx>
    </c:title>
    <c:plotArea>
      <c:layout/>
      <c:lineChart>
        <c:grouping val="standard"/>
        <c:ser>
          <c:idx val="0"/>
          <c:order val="0"/>
          <c:tx>
            <c:strRef>
              <c:f>'[BIE_BIE20160306192905 (version 1).xls]Página 1'!$O$3</c:f>
              <c:strCache>
                <c:ptCount val="1"/>
                <c:pt idx="0">
                  <c:v>PIB Estatal </c:v>
                </c:pt>
              </c:strCache>
            </c:strRef>
          </c:tx>
          <c:dPt>
            <c:idx val="10"/>
            <c:spPr>
              <a:ln>
                <a:prstDash val="sysDash"/>
              </a:ln>
            </c:spPr>
          </c:dPt>
          <c:dLbls>
            <c:dLbl>
              <c:idx val="4"/>
              <c:layout>
                <c:manualLayout>
                  <c:x val="-6.2087696933044487E-2"/>
                  <c:y val="6.5937007187976474E-2"/>
                </c:manualLayout>
              </c:layout>
              <c:dLblPos val="r"/>
              <c:showVal val="1"/>
              <c:extLst>
                <c:ext xmlns:c15="http://schemas.microsoft.com/office/drawing/2012/chart" uri="{CE6537A1-D6FC-4f65-9D91-7224C49458BB}">
                  <c15:layout/>
                </c:ext>
              </c:extLst>
            </c:dLbl>
            <c:spPr>
              <a:noFill/>
              <a:ln>
                <a:noFill/>
              </a:ln>
              <a:effectLst/>
            </c:spPr>
            <c:txPr>
              <a:bodyPr/>
              <a:lstStyle/>
              <a:p>
                <a:pPr>
                  <a:defRPr>
                    <a:solidFill>
                      <a:schemeClr val="accent1"/>
                    </a:solidFill>
                  </a:defRPr>
                </a:pPr>
                <a:endParaRPr lang="es-MX"/>
              </a:p>
            </c:txPr>
            <c:dLblPos val="t"/>
            <c:showVal val="1"/>
            <c:extLst>
              <c:ext xmlns:c15="http://schemas.microsoft.com/office/drawing/2012/chart" uri="{CE6537A1-D6FC-4f65-9D91-7224C49458BB}">
                <c15:layout/>
                <c15:showLeaderLines val="0"/>
              </c:ext>
            </c:extLst>
          </c:dLbls>
          <c:cat>
            <c:numRef>
              <c:f>'[BIE_BIE20160306192905 (version 1).xls]Página 1'!$L$4:$L$14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'[BIE_BIE20160306192905 (version 1).xls]Página 1'!$O$4:$O$14</c:f>
              <c:numCache>
                <c:formatCode>0.00%</c:formatCode>
                <c:ptCount val="11"/>
                <c:pt idx="0">
                  <c:v>1.1740000000000077E-2</c:v>
                </c:pt>
                <c:pt idx="1">
                  <c:v>1.4254289495265363E-2</c:v>
                </c:pt>
                <c:pt idx="2">
                  <c:v>1.8553145043383536E-2</c:v>
                </c:pt>
                <c:pt idx="3">
                  <c:v>1.1955423455416302E-2</c:v>
                </c:pt>
                <c:pt idx="4">
                  <c:v>-9.7039745841180046E-3</c:v>
                </c:pt>
                <c:pt idx="5">
                  <c:v>1.9436680633025661E-2</c:v>
                </c:pt>
                <c:pt idx="6">
                  <c:v>4.5496054358618018E-2</c:v>
                </c:pt>
                <c:pt idx="7">
                  <c:v>2.7397002401605204E-2</c:v>
                </c:pt>
                <c:pt idx="8">
                  <c:v>2.7098795865922412E-2</c:v>
                </c:pt>
                <c:pt idx="9">
                  <c:v>1.9624630839580434E-2</c:v>
                </c:pt>
                <c:pt idx="10">
                  <c:v>2.6886027173013558E-2</c:v>
                </c:pt>
              </c:numCache>
            </c:numRef>
          </c:val>
        </c:ser>
        <c:marker val="1"/>
        <c:axId val="113533312"/>
        <c:axId val="113534848"/>
      </c:lineChart>
      <c:catAx>
        <c:axId val="113533312"/>
        <c:scaling>
          <c:orientation val="minMax"/>
        </c:scaling>
        <c:axPos val="b"/>
        <c:numFmt formatCode="General" sourceLinked="1"/>
        <c:tickLblPos val="low"/>
        <c:crossAx val="113534848"/>
        <c:crosses val="autoZero"/>
        <c:auto val="1"/>
        <c:lblAlgn val="ctr"/>
        <c:lblOffset val="100"/>
      </c:catAx>
      <c:valAx>
        <c:axId val="113534848"/>
        <c:scaling>
          <c:orientation val="minMax"/>
        </c:scaling>
        <c:axPos val="l"/>
        <c:majorGridlines>
          <c:spPr>
            <a:ln>
              <a:noFill/>
            </a:ln>
          </c:spPr>
        </c:majorGridlines>
        <c:numFmt formatCode="0%" sourceLinked="0"/>
        <c:tickLblPos val="nextTo"/>
        <c:crossAx val="113533312"/>
        <c:crosses val="autoZero"/>
        <c:crossBetween val="between"/>
      </c:valAx>
    </c:plotArea>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
          <c:w val="0.8230797216802026"/>
          <c:h val="0.43320202344734182"/>
        </c:manualLayout>
      </c:layout>
      <c:barChart>
        <c:barDir val="col"/>
        <c:grouping val="clustered"/>
        <c:ser>
          <c:idx val="0"/>
          <c:order val="0"/>
          <c:tx>
            <c:v>ESTIMADO</c:v>
          </c:tx>
          <c:spPr>
            <a:solidFill>
              <a:srgbClr val="FFC000"/>
            </a:solidFill>
          </c:spPr>
          <c:cat>
            <c:strRef>
              <c:f>'INGR 4 '!$L$34:$L$38</c:f>
              <c:strCache>
                <c:ptCount val="5"/>
                <c:pt idx="0">
                  <c:v>Contribuciones de Mejoras</c:v>
                </c:pt>
                <c:pt idx="1">
                  <c:v>Derechos</c:v>
                </c:pt>
                <c:pt idx="2">
                  <c:v>Productos</c:v>
                </c:pt>
                <c:pt idx="3">
                  <c:v>Aprovechamientos</c:v>
                </c:pt>
                <c:pt idx="4">
                  <c:v>Contribuciones no comprendidas en las fracciones de la Ley de Ingresos causados en ejercicios fiscales anteriores pendientes de liquidación o pago</c:v>
                </c:pt>
              </c:strCache>
            </c:strRef>
          </c:cat>
          <c:val>
            <c:numRef>
              <c:f>'INGR 4 '!$M$34:$M$38</c:f>
              <c:numCache>
                <c:formatCode>_-* #,##0_-;\-* #,##0_-;_-* "-"??_-;_-@_-</c:formatCode>
                <c:ptCount val="5"/>
                <c:pt idx="0">
                  <c:v>0</c:v>
                </c:pt>
                <c:pt idx="1">
                  <c:v>387542911</c:v>
                </c:pt>
                <c:pt idx="2">
                  <c:v>6317896</c:v>
                </c:pt>
                <c:pt idx="3">
                  <c:v>186715903</c:v>
                </c:pt>
                <c:pt idx="4">
                  <c:v>659871</c:v>
                </c:pt>
              </c:numCache>
            </c:numRef>
          </c:val>
        </c:ser>
        <c:ser>
          <c:idx val="1"/>
          <c:order val="1"/>
          <c:tx>
            <c:v>OBTENIDO</c:v>
          </c:tx>
          <c:spPr>
            <a:solidFill>
              <a:schemeClr val="accent6">
                <a:lumMod val="50000"/>
              </a:schemeClr>
            </a:solidFill>
          </c:spPr>
          <c:cat>
            <c:strRef>
              <c:f>'INGR 4 '!$L$34:$L$38</c:f>
              <c:strCache>
                <c:ptCount val="5"/>
                <c:pt idx="0">
                  <c:v>Contribuciones de Mejoras</c:v>
                </c:pt>
                <c:pt idx="1">
                  <c:v>Derechos</c:v>
                </c:pt>
                <c:pt idx="2">
                  <c:v>Productos</c:v>
                </c:pt>
                <c:pt idx="3">
                  <c:v>Aprovechamientos</c:v>
                </c:pt>
                <c:pt idx="4">
                  <c:v>Contribuciones no comprendidas en las fracciones de la Ley de Ingresos causados en ejercicios fiscales anteriores pendientes de liquidación o pago</c:v>
                </c:pt>
              </c:strCache>
            </c:strRef>
          </c:cat>
          <c:val>
            <c:numRef>
              <c:f>'INGR 4 '!$N$34:$N$38</c:f>
              <c:numCache>
                <c:formatCode>_-* #,##0_-;\-* #,##0_-;_-* "-"??_-;_-@_-</c:formatCode>
                <c:ptCount val="5"/>
                <c:pt idx="0">
                  <c:v>0</c:v>
                </c:pt>
                <c:pt idx="1">
                  <c:v>481243840</c:v>
                </c:pt>
                <c:pt idx="2">
                  <c:v>5739321</c:v>
                </c:pt>
                <c:pt idx="3">
                  <c:v>392434321</c:v>
                </c:pt>
                <c:pt idx="4">
                  <c:v>592629</c:v>
                </c:pt>
              </c:numCache>
            </c:numRef>
          </c:val>
        </c:ser>
        <c:axId val="114384896"/>
        <c:axId val="114386432"/>
      </c:barChart>
      <c:catAx>
        <c:axId val="114384896"/>
        <c:scaling>
          <c:orientation val="minMax"/>
        </c:scaling>
        <c:axPos val="b"/>
        <c:numFmt formatCode="General" sourceLinked="1"/>
        <c:tickLblPos val="nextTo"/>
        <c:txPr>
          <a:bodyPr/>
          <a:lstStyle/>
          <a:p>
            <a:pPr>
              <a:defRPr sz="800"/>
            </a:pPr>
            <a:endParaRPr lang="es-MX"/>
          </a:p>
        </c:txPr>
        <c:crossAx val="114386432"/>
        <c:crosses val="autoZero"/>
        <c:auto val="1"/>
        <c:lblAlgn val="ctr"/>
        <c:lblOffset val="100"/>
      </c:catAx>
      <c:valAx>
        <c:axId val="114386432"/>
        <c:scaling>
          <c:orientation val="minMax"/>
        </c:scaling>
        <c:axPos val="l"/>
        <c:numFmt formatCode="_-* #,##0_-;\-* #,##0_-;_-* &quot;-&quot;??_-;_-@_-" sourceLinked="1"/>
        <c:tickLblPos val="nextTo"/>
        <c:txPr>
          <a:bodyPr/>
          <a:lstStyle/>
          <a:p>
            <a:pPr>
              <a:defRPr sz="800"/>
            </a:pPr>
            <a:endParaRPr lang="es-MX"/>
          </a:p>
        </c:txPr>
        <c:crossAx val="114384896"/>
        <c:crosses val="autoZero"/>
        <c:crossBetween val="between"/>
      </c:valAx>
    </c:plotArea>
    <c:legend>
      <c:legendPos val="r"/>
      <c:layout>
        <c:manualLayout>
          <c:xMode val="edge"/>
          <c:yMode val="edge"/>
          <c:x val="0.73575629930169162"/>
          <c:y val="0.12867686874226136"/>
          <c:w val="0.14253554354585521"/>
          <c:h val="0.15795834324914437"/>
        </c:manualLayout>
      </c:layout>
    </c:legend>
    <c:plotVisOnly val="1"/>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12"/>
          <c:w val="0.8230797216802026"/>
          <c:h val="0.55160778970200386"/>
        </c:manualLayout>
      </c:layout>
      <c:barChart>
        <c:barDir val="col"/>
        <c:grouping val="clustered"/>
        <c:ser>
          <c:idx val="0"/>
          <c:order val="0"/>
          <c:tx>
            <c:v>ESTIMADO</c:v>
          </c:tx>
          <c:spPr>
            <a:solidFill>
              <a:srgbClr val="FFC000"/>
            </a:solidFill>
          </c:spPr>
          <c:cat>
            <c:strRef>
              <c:f>'INGR 9'!$J$36:$J$39</c:f>
              <c:strCache>
                <c:ptCount val="4"/>
                <c:pt idx="0">
                  <c:v>Participaciones</c:v>
                </c:pt>
                <c:pt idx="1">
                  <c:v>Aportaciones</c:v>
                </c:pt>
                <c:pt idx="2">
                  <c:v>Convenios</c:v>
                </c:pt>
                <c:pt idx="3">
                  <c:v>Transferencias, Asignaciones, Subsidis y Otras Ayudas</c:v>
                </c:pt>
              </c:strCache>
            </c:strRef>
          </c:cat>
          <c:val>
            <c:numRef>
              <c:f>'INGR 9'!$K$36:$K$39</c:f>
              <c:numCache>
                <c:formatCode>_-* #,##0_-;\-* #,##0_-;_-* "-"??_-;_-@_-</c:formatCode>
                <c:ptCount val="4"/>
                <c:pt idx="0">
                  <c:v>4063238994</c:v>
                </c:pt>
                <c:pt idx="1">
                  <c:v>9775065426</c:v>
                </c:pt>
                <c:pt idx="2">
                  <c:v>308824608</c:v>
                </c:pt>
                <c:pt idx="3">
                  <c:v>459835973</c:v>
                </c:pt>
              </c:numCache>
            </c:numRef>
          </c:val>
        </c:ser>
        <c:ser>
          <c:idx val="1"/>
          <c:order val="1"/>
          <c:tx>
            <c:v>OBTENIDO</c:v>
          </c:tx>
          <c:spPr>
            <a:solidFill>
              <a:schemeClr val="accent6">
                <a:lumMod val="50000"/>
              </a:schemeClr>
            </a:solidFill>
          </c:spPr>
          <c:cat>
            <c:strRef>
              <c:f>'INGR 9'!$J$36:$J$39</c:f>
              <c:strCache>
                <c:ptCount val="4"/>
                <c:pt idx="0">
                  <c:v>Participaciones</c:v>
                </c:pt>
                <c:pt idx="1">
                  <c:v>Aportaciones</c:v>
                </c:pt>
                <c:pt idx="2">
                  <c:v>Convenios</c:v>
                </c:pt>
                <c:pt idx="3">
                  <c:v>Transferencias, Asignaciones, Subsidis y Otras Ayudas</c:v>
                </c:pt>
              </c:strCache>
            </c:strRef>
          </c:cat>
          <c:val>
            <c:numRef>
              <c:f>'INGR 9'!$L$36:$L$39</c:f>
              <c:numCache>
                <c:formatCode>_-* #,##0_-;\-* #,##0_-;_-* "-"??_-;_-@_-</c:formatCode>
                <c:ptCount val="4"/>
                <c:pt idx="0">
                  <c:v>3694089614</c:v>
                </c:pt>
                <c:pt idx="1">
                  <c:v>6499876533</c:v>
                </c:pt>
                <c:pt idx="2">
                  <c:v>1313856733</c:v>
                </c:pt>
                <c:pt idx="3">
                  <c:v>475014758</c:v>
                </c:pt>
              </c:numCache>
            </c:numRef>
          </c:val>
        </c:ser>
        <c:axId val="114411008"/>
        <c:axId val="114412544"/>
      </c:barChart>
      <c:catAx>
        <c:axId val="114411008"/>
        <c:scaling>
          <c:orientation val="minMax"/>
        </c:scaling>
        <c:axPos val="b"/>
        <c:numFmt formatCode="General" sourceLinked="1"/>
        <c:tickLblPos val="nextTo"/>
        <c:txPr>
          <a:bodyPr/>
          <a:lstStyle/>
          <a:p>
            <a:pPr>
              <a:defRPr sz="800"/>
            </a:pPr>
            <a:endParaRPr lang="es-MX"/>
          </a:p>
        </c:txPr>
        <c:crossAx val="114412544"/>
        <c:crosses val="autoZero"/>
        <c:auto val="1"/>
        <c:lblAlgn val="ctr"/>
        <c:lblOffset val="100"/>
      </c:catAx>
      <c:valAx>
        <c:axId val="114412544"/>
        <c:scaling>
          <c:orientation val="minMax"/>
        </c:scaling>
        <c:axPos val="l"/>
        <c:numFmt formatCode="_-* #,##0_-;\-* #,##0_-;_-* &quot;-&quot;??_-;_-@_-" sourceLinked="1"/>
        <c:tickLblPos val="nextTo"/>
        <c:txPr>
          <a:bodyPr/>
          <a:lstStyle/>
          <a:p>
            <a:pPr>
              <a:defRPr sz="800"/>
            </a:pPr>
            <a:endParaRPr lang="es-MX"/>
          </a:p>
        </c:txPr>
        <c:crossAx val="114411008"/>
        <c:crosses val="autoZero"/>
        <c:crossBetween val="between"/>
      </c:valAx>
    </c:plotArea>
    <c:legend>
      <c:legendPos val="r"/>
      <c:layout>
        <c:manualLayout>
          <c:xMode val="edge"/>
          <c:yMode val="edge"/>
          <c:x val="0.73123037107402"/>
          <c:y val="0.14619750941483403"/>
          <c:w val="0.18553169652164206"/>
          <c:h val="0.22253530737392146"/>
        </c:manualLayout>
      </c:layout>
    </c:legend>
    <c:plotVisOnly val="1"/>
  </c:chart>
  <c:spPr>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23"/>
          <c:w val="0.8230797216802026"/>
          <c:h val="0.55160778970200353"/>
        </c:manualLayout>
      </c:layout>
      <c:barChart>
        <c:barDir val="col"/>
        <c:grouping val="clustered"/>
        <c:ser>
          <c:idx val="0"/>
          <c:order val="0"/>
          <c:tx>
            <c:v>ESTIMADO</c:v>
          </c:tx>
          <c:spPr>
            <a:solidFill>
              <a:srgbClr val="FFC000"/>
            </a:solidFill>
          </c:spPr>
          <c:cat>
            <c:strRef>
              <c:f>'INGR 10'!$J$29:$J$33</c:f>
              <c:strCache>
                <c:ptCount val="5"/>
                <c:pt idx="0">
                  <c:v>Fondo General de Participaciones</c:v>
                </c:pt>
                <c:pt idx="1">
                  <c:v>Fondo de Fomento Municipal</c:v>
                </c:pt>
                <c:pt idx="2">
                  <c:v>Participaciones en Impuestos Especiales</c:v>
                </c:pt>
                <c:pt idx="3">
                  <c:v>Fondo de Fiscalización para los Estados</c:v>
                </c:pt>
                <c:pt idx="4">
                  <c:v>Fondo de Compensación</c:v>
                </c:pt>
              </c:strCache>
            </c:strRef>
          </c:cat>
          <c:val>
            <c:numRef>
              <c:f>'INGR 10'!$K$29:$K$33</c:f>
              <c:numCache>
                <c:formatCode>#,##0</c:formatCode>
                <c:ptCount val="5"/>
                <c:pt idx="0">
                  <c:v>3397707757</c:v>
                </c:pt>
                <c:pt idx="1">
                  <c:v>306085710</c:v>
                </c:pt>
                <c:pt idx="2">
                  <c:v>54613165</c:v>
                </c:pt>
                <c:pt idx="3">
                  <c:v>172295084</c:v>
                </c:pt>
                <c:pt idx="4">
                  <c:v>132537278</c:v>
                </c:pt>
              </c:numCache>
            </c:numRef>
          </c:val>
        </c:ser>
        <c:ser>
          <c:idx val="1"/>
          <c:order val="1"/>
          <c:tx>
            <c:v>OBTENIDO</c:v>
          </c:tx>
          <c:spPr>
            <a:solidFill>
              <a:schemeClr val="accent6">
                <a:lumMod val="50000"/>
              </a:schemeClr>
            </a:solidFill>
          </c:spPr>
          <c:cat>
            <c:strRef>
              <c:f>'INGR 10'!$J$29:$J$33</c:f>
              <c:strCache>
                <c:ptCount val="5"/>
                <c:pt idx="0">
                  <c:v>Fondo General de Participaciones</c:v>
                </c:pt>
                <c:pt idx="1">
                  <c:v>Fondo de Fomento Municipal</c:v>
                </c:pt>
                <c:pt idx="2">
                  <c:v>Participaciones en Impuestos Especiales</c:v>
                </c:pt>
                <c:pt idx="3">
                  <c:v>Fondo de Fiscalización para los Estados</c:v>
                </c:pt>
                <c:pt idx="4">
                  <c:v>Fondo de Compensación</c:v>
                </c:pt>
              </c:strCache>
            </c:strRef>
          </c:cat>
          <c:val>
            <c:numRef>
              <c:f>'INGR 10'!$L$29:$L$33</c:f>
              <c:numCache>
                <c:formatCode>#,##0</c:formatCode>
                <c:ptCount val="5"/>
                <c:pt idx="0">
                  <c:v>3072334222</c:v>
                </c:pt>
                <c:pt idx="1">
                  <c:v>290387766</c:v>
                </c:pt>
                <c:pt idx="2">
                  <c:v>47786183</c:v>
                </c:pt>
                <c:pt idx="3">
                  <c:v>149012409</c:v>
                </c:pt>
                <c:pt idx="4">
                  <c:v>134569034</c:v>
                </c:pt>
              </c:numCache>
            </c:numRef>
          </c:val>
        </c:ser>
        <c:axId val="114842624"/>
        <c:axId val="114844416"/>
      </c:barChart>
      <c:catAx>
        <c:axId val="114842624"/>
        <c:scaling>
          <c:orientation val="minMax"/>
        </c:scaling>
        <c:axPos val="b"/>
        <c:numFmt formatCode="General" sourceLinked="1"/>
        <c:tickLblPos val="nextTo"/>
        <c:txPr>
          <a:bodyPr/>
          <a:lstStyle/>
          <a:p>
            <a:pPr>
              <a:defRPr sz="800"/>
            </a:pPr>
            <a:endParaRPr lang="es-MX"/>
          </a:p>
        </c:txPr>
        <c:crossAx val="114844416"/>
        <c:crosses val="autoZero"/>
        <c:auto val="1"/>
        <c:lblAlgn val="ctr"/>
        <c:lblOffset val="100"/>
      </c:catAx>
      <c:valAx>
        <c:axId val="114844416"/>
        <c:scaling>
          <c:orientation val="minMax"/>
        </c:scaling>
        <c:axPos val="l"/>
        <c:numFmt formatCode="#,##0" sourceLinked="1"/>
        <c:tickLblPos val="nextTo"/>
        <c:txPr>
          <a:bodyPr/>
          <a:lstStyle/>
          <a:p>
            <a:pPr>
              <a:defRPr sz="800"/>
            </a:pPr>
            <a:endParaRPr lang="es-MX"/>
          </a:p>
        </c:txPr>
        <c:crossAx val="114842624"/>
        <c:crosses val="autoZero"/>
        <c:crossBetween val="between"/>
      </c:valAx>
    </c:plotArea>
    <c:legend>
      <c:legendPos val="r"/>
      <c:layout>
        <c:manualLayout>
          <c:xMode val="edge"/>
          <c:yMode val="edge"/>
          <c:x val="0.73123037107402"/>
          <c:y val="0.14619750941483403"/>
          <c:w val="0.2013723844600892"/>
          <c:h val="0.19973029027015871"/>
        </c:manualLayout>
      </c:layout>
    </c:legend>
    <c:plotVisOnly val="1"/>
  </c:chart>
  <c:spPr>
    <a:ln>
      <a:noFill/>
    </a:ln>
  </c:sp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28"/>
          <c:w val="0.8230797216802026"/>
          <c:h val="0.5516077897020033"/>
        </c:manualLayout>
      </c:layout>
      <c:barChart>
        <c:barDir val="col"/>
        <c:grouping val="clustered"/>
        <c:ser>
          <c:idx val="0"/>
          <c:order val="0"/>
          <c:tx>
            <c:v>ESTIMADO</c:v>
          </c:tx>
          <c:spPr>
            <a:solidFill>
              <a:srgbClr val="FFC000"/>
            </a:solidFill>
          </c:spPr>
          <c:cat>
            <c:strRef>
              <c:f>'INGR 11'!$J$27:$J$34</c:f>
              <c:strCache>
                <c:ptCount val="8"/>
                <c:pt idx="0">
                  <c:v>Fondo  de Aportaciones para la Nómina Educativa y Gasto operativo</c:v>
                </c:pt>
                <c:pt idx="1">
                  <c:v>Fondo de Aportaciones para los Servicios de Salud</c:v>
                </c:pt>
                <c:pt idx="2">
                  <c:v>Fondo de Aportaciones para la Infraestructura Social</c:v>
                </c:pt>
                <c:pt idx="3">
                  <c:v>Fondo de Aportaciones para el Fortalecimiento de los Municipios y de las Demarcaciones Territoriales del Distrito Federal</c:v>
                </c:pt>
                <c:pt idx="4">
                  <c:v>Fondo de Aportaciones Múltiples</c:v>
                </c:pt>
                <c:pt idx="5">
                  <c:v>Fondo de Aportaciones para la Educación Tecnológica y de Adultos</c:v>
                </c:pt>
                <c:pt idx="6">
                  <c:v>Fondo de Aportaciones para la Seguridad Pública de los Estados y del Distrito Federal</c:v>
                </c:pt>
                <c:pt idx="7">
                  <c:v>Fondo de Aportaciones para el Fortalecimiento de las Entidades Federativas</c:v>
                </c:pt>
              </c:strCache>
            </c:strRef>
          </c:cat>
          <c:val>
            <c:numRef>
              <c:f>'INGR 11'!$K$27:$K$34</c:f>
              <c:numCache>
                <c:formatCode>_-* #,##0_-;\-* #,##0_-;_-* "-"??_-;_-@_-</c:formatCode>
                <c:ptCount val="8"/>
                <c:pt idx="0">
                  <c:v>5874121854</c:v>
                </c:pt>
                <c:pt idx="1">
                  <c:v>993268886</c:v>
                </c:pt>
                <c:pt idx="2">
                  <c:v>1805595810</c:v>
                </c:pt>
                <c:pt idx="3">
                  <c:v>511383966</c:v>
                </c:pt>
                <c:pt idx="4">
                  <c:v>141643311</c:v>
                </c:pt>
                <c:pt idx="5">
                  <c:v>35111779</c:v>
                </c:pt>
                <c:pt idx="6">
                  <c:v>79985565</c:v>
                </c:pt>
                <c:pt idx="7">
                  <c:v>333954255</c:v>
                </c:pt>
              </c:numCache>
            </c:numRef>
          </c:val>
        </c:ser>
        <c:ser>
          <c:idx val="1"/>
          <c:order val="1"/>
          <c:tx>
            <c:v>OBTENIDO</c:v>
          </c:tx>
          <c:spPr>
            <a:solidFill>
              <a:schemeClr val="accent6">
                <a:lumMod val="50000"/>
              </a:schemeClr>
            </a:solidFill>
          </c:spPr>
          <c:cat>
            <c:strRef>
              <c:f>'INGR 11'!$J$27:$J$34</c:f>
              <c:strCache>
                <c:ptCount val="8"/>
                <c:pt idx="0">
                  <c:v>Fondo  de Aportaciones para la Nómina Educativa y Gasto operativo</c:v>
                </c:pt>
                <c:pt idx="1">
                  <c:v>Fondo de Aportaciones para los Servicios de Salud</c:v>
                </c:pt>
                <c:pt idx="2">
                  <c:v>Fondo de Aportaciones para la Infraestructura Social</c:v>
                </c:pt>
                <c:pt idx="3">
                  <c:v>Fondo de Aportaciones para el Fortalecimiento de los Municipios y de las Demarcaciones Territoriales del Distrito Federal</c:v>
                </c:pt>
                <c:pt idx="4">
                  <c:v>Fondo de Aportaciones Múltiples</c:v>
                </c:pt>
                <c:pt idx="5">
                  <c:v>Fondo de Aportaciones para la Educación Tecnológica y de Adultos</c:v>
                </c:pt>
                <c:pt idx="6">
                  <c:v>Fondo de Aportaciones para la Seguridad Pública de los Estados y del Distrito Federal</c:v>
                </c:pt>
                <c:pt idx="7">
                  <c:v>Fondo de Aportaciones para el Fortalecimiento de las Entidades Federativas</c:v>
                </c:pt>
              </c:strCache>
            </c:strRef>
          </c:cat>
          <c:val>
            <c:numRef>
              <c:f>'INGR 11'!$L$27:$L$34</c:f>
              <c:numCache>
                <c:formatCode>_-* #,##0_-;\-* #,##0_-;_-* "-"??_-;_-@_-</c:formatCode>
                <c:ptCount val="8"/>
                <c:pt idx="0">
                  <c:v>2493255585</c:v>
                </c:pt>
                <c:pt idx="1">
                  <c:v>1068964249</c:v>
                </c:pt>
                <c:pt idx="2">
                  <c:v>1803467649</c:v>
                </c:pt>
                <c:pt idx="3">
                  <c:v>510033432</c:v>
                </c:pt>
                <c:pt idx="4">
                  <c:v>192727056</c:v>
                </c:pt>
                <c:pt idx="5">
                  <c:v>35749892</c:v>
                </c:pt>
                <c:pt idx="6">
                  <c:v>66401601</c:v>
                </c:pt>
                <c:pt idx="7">
                  <c:v>329277069</c:v>
                </c:pt>
              </c:numCache>
            </c:numRef>
          </c:val>
        </c:ser>
        <c:axId val="114893952"/>
        <c:axId val="114895488"/>
      </c:barChart>
      <c:catAx>
        <c:axId val="114893952"/>
        <c:scaling>
          <c:orientation val="minMax"/>
        </c:scaling>
        <c:axPos val="b"/>
        <c:numFmt formatCode="General" sourceLinked="1"/>
        <c:tickLblPos val="nextTo"/>
        <c:txPr>
          <a:bodyPr rot="-5400000" vert="horz"/>
          <a:lstStyle/>
          <a:p>
            <a:pPr>
              <a:defRPr sz="800"/>
            </a:pPr>
            <a:endParaRPr lang="es-MX"/>
          </a:p>
        </c:txPr>
        <c:crossAx val="114895488"/>
        <c:crosses val="autoZero"/>
        <c:auto val="1"/>
        <c:lblAlgn val="ctr"/>
        <c:lblOffset val="100"/>
      </c:catAx>
      <c:valAx>
        <c:axId val="114895488"/>
        <c:scaling>
          <c:orientation val="minMax"/>
        </c:scaling>
        <c:axPos val="l"/>
        <c:numFmt formatCode="_-* #,##0_-;\-* #,##0_-;_-* &quot;-&quot;??_-;_-@_-" sourceLinked="1"/>
        <c:tickLblPos val="nextTo"/>
        <c:txPr>
          <a:bodyPr/>
          <a:lstStyle/>
          <a:p>
            <a:pPr>
              <a:defRPr sz="800"/>
            </a:pPr>
            <a:endParaRPr lang="es-MX"/>
          </a:p>
        </c:txPr>
        <c:crossAx val="114893952"/>
        <c:crosses val="autoZero"/>
        <c:crossBetween val="between"/>
      </c:valAx>
    </c:plotArea>
    <c:legend>
      <c:legendPos val="r"/>
      <c:layout>
        <c:manualLayout>
          <c:xMode val="edge"/>
          <c:yMode val="edge"/>
          <c:x val="0.73123037107402"/>
          <c:y val="0.14619750941483403"/>
          <c:w val="0.18555334233475484"/>
          <c:h val="0.20089093397330371"/>
        </c:manualLayout>
      </c:layout>
    </c:legend>
    <c:plotVisOnly val="1"/>
  </c:chart>
  <c:spPr>
    <a:ln>
      <a:noFill/>
    </a:ln>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34"/>
          <c:w val="0.8230797216802026"/>
          <c:h val="0.55160778970200308"/>
        </c:manualLayout>
      </c:layout>
      <c:barChart>
        <c:barDir val="col"/>
        <c:grouping val="clustered"/>
        <c:ser>
          <c:idx val="0"/>
          <c:order val="0"/>
          <c:tx>
            <c:v>ESTIMADO</c:v>
          </c:tx>
          <c:spPr>
            <a:solidFill>
              <a:srgbClr val="FFC000"/>
            </a:solidFill>
          </c:spPr>
          <c:cat>
            <c:strRef>
              <c:f>'INGR 12'!$J$25:$J$26</c:f>
              <c:strCache>
                <c:ptCount val="2"/>
                <c:pt idx="0">
                  <c:v>Interes ganados de valores, Créditos, Bonos y Otros (Productos Financieros de Recursos Federales)</c:v>
                </c:pt>
                <c:pt idx="1">
                  <c:v>Otros Ingresos</c:v>
                </c:pt>
              </c:strCache>
            </c:strRef>
          </c:cat>
          <c:val>
            <c:numRef>
              <c:f>'INGR 12'!$K$25:$K$26</c:f>
              <c:numCache>
                <c:formatCode>_-* #,##0_-;\-* #,##0_-;_-* "-"??_-;_-@_-</c:formatCode>
                <c:ptCount val="2"/>
                <c:pt idx="0">
                  <c:v>0</c:v>
                </c:pt>
                <c:pt idx="1">
                  <c:v>0</c:v>
                </c:pt>
              </c:numCache>
            </c:numRef>
          </c:val>
        </c:ser>
        <c:ser>
          <c:idx val="1"/>
          <c:order val="1"/>
          <c:tx>
            <c:v>OBTENIDO</c:v>
          </c:tx>
          <c:spPr>
            <a:solidFill>
              <a:schemeClr val="accent6">
                <a:lumMod val="50000"/>
              </a:schemeClr>
            </a:solidFill>
          </c:spPr>
          <c:cat>
            <c:strRef>
              <c:f>'INGR 12'!$J$25:$J$26</c:f>
              <c:strCache>
                <c:ptCount val="2"/>
                <c:pt idx="0">
                  <c:v>Interes ganados de valores, Créditos, Bonos y Otros (Productos Financieros de Recursos Federales)</c:v>
                </c:pt>
                <c:pt idx="1">
                  <c:v>Otros Ingresos</c:v>
                </c:pt>
              </c:strCache>
            </c:strRef>
          </c:cat>
          <c:val>
            <c:numRef>
              <c:f>'INGR 12'!$L$25:$L$26</c:f>
              <c:numCache>
                <c:formatCode>_-* #,##0_-;\-* #,##0_-;_-* "-"??_-;_-@_-</c:formatCode>
                <c:ptCount val="2"/>
                <c:pt idx="0">
                  <c:v>10639164</c:v>
                </c:pt>
                <c:pt idx="1">
                  <c:v>1000000000</c:v>
                </c:pt>
              </c:numCache>
            </c:numRef>
          </c:val>
        </c:ser>
        <c:axId val="114915968"/>
        <c:axId val="114921856"/>
      </c:barChart>
      <c:catAx>
        <c:axId val="114915968"/>
        <c:scaling>
          <c:orientation val="minMax"/>
        </c:scaling>
        <c:axPos val="b"/>
        <c:numFmt formatCode="General" sourceLinked="1"/>
        <c:tickLblPos val="nextTo"/>
        <c:txPr>
          <a:bodyPr/>
          <a:lstStyle/>
          <a:p>
            <a:pPr>
              <a:defRPr sz="800"/>
            </a:pPr>
            <a:endParaRPr lang="es-MX"/>
          </a:p>
        </c:txPr>
        <c:crossAx val="114921856"/>
        <c:crosses val="autoZero"/>
        <c:auto val="1"/>
        <c:lblAlgn val="ctr"/>
        <c:lblOffset val="100"/>
      </c:catAx>
      <c:valAx>
        <c:axId val="114921856"/>
        <c:scaling>
          <c:orientation val="minMax"/>
        </c:scaling>
        <c:axPos val="l"/>
        <c:numFmt formatCode="_-* #,##0_-;\-* #,##0_-;_-* &quot;-&quot;??_-;_-@_-" sourceLinked="1"/>
        <c:tickLblPos val="nextTo"/>
        <c:txPr>
          <a:bodyPr/>
          <a:lstStyle/>
          <a:p>
            <a:pPr>
              <a:defRPr sz="800"/>
            </a:pPr>
            <a:endParaRPr lang="es-MX"/>
          </a:p>
        </c:txPr>
        <c:crossAx val="114915968"/>
        <c:crosses val="autoZero"/>
        <c:crossBetween val="between"/>
      </c:valAx>
    </c:plotArea>
    <c:legend>
      <c:legendPos val="r"/>
      <c:layout>
        <c:manualLayout>
          <c:xMode val="edge"/>
          <c:yMode val="edge"/>
          <c:x val="0.77648949685769963"/>
          <c:y val="6.7107009547681964E-2"/>
          <c:w val="0.18326874110186431"/>
          <c:h val="0.16020994780496786"/>
        </c:manualLayout>
      </c:layout>
    </c:legend>
    <c:plotVisOnly val="1"/>
  </c:chart>
  <c:spPr>
    <a:ln>
      <a:noFill/>
    </a:ln>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09"/>
          <c:w val="0.8230797216802026"/>
          <c:h val="0.55160778970200397"/>
        </c:manualLayout>
      </c:layout>
      <c:barChart>
        <c:barDir val="col"/>
        <c:grouping val="clustered"/>
        <c:ser>
          <c:idx val="0"/>
          <c:order val="0"/>
          <c:tx>
            <c:v>APROBADO</c:v>
          </c:tx>
          <c:spPr>
            <a:solidFill>
              <a:srgbClr val="FFC000"/>
            </a:solidFill>
          </c:spPr>
          <c:cat>
            <c:strRef>
              <c:f>'TIPO-OBJETO DE GASTO'!$J$15:$J$19</c:f>
              <c:strCache>
                <c:ptCount val="5"/>
                <c:pt idx="0">
                  <c:v>GASTO CORRIENTE </c:v>
                </c:pt>
                <c:pt idx="1">
                  <c:v>GASTO DE CAPITAL</c:v>
                </c:pt>
                <c:pt idx="2">
                  <c:v>AMORTIZACIÓN DE LA DEUDA Y DISMINUCIÓN DE PASIVOS</c:v>
                </c:pt>
                <c:pt idx="3">
                  <c:v>PENSIONES Y JUBILACIONES</c:v>
                </c:pt>
                <c:pt idx="4">
                  <c:v>PARTICIPACIONES</c:v>
                </c:pt>
              </c:strCache>
            </c:strRef>
          </c:cat>
          <c:val>
            <c:numRef>
              <c:f>'TIPO-OBJETO DE GASTO'!$K$15:$K$19</c:f>
              <c:numCache>
                <c:formatCode>#,##0.00_);\-#,##0.00</c:formatCode>
                <c:ptCount val="5"/>
                <c:pt idx="0">
                  <c:v>13660986911.550001</c:v>
                </c:pt>
                <c:pt idx="1">
                  <c:v>5357277930.75</c:v>
                </c:pt>
                <c:pt idx="2">
                  <c:v>322433914</c:v>
                </c:pt>
                <c:pt idx="3">
                  <c:v>76721244.060000002</c:v>
                </c:pt>
                <c:pt idx="4">
                  <c:v>4384546915</c:v>
                </c:pt>
              </c:numCache>
            </c:numRef>
          </c:val>
        </c:ser>
        <c:ser>
          <c:idx val="1"/>
          <c:order val="1"/>
          <c:tx>
            <c:v>DEVENGADO</c:v>
          </c:tx>
          <c:spPr>
            <a:solidFill>
              <a:schemeClr val="accent6">
                <a:lumMod val="50000"/>
              </a:schemeClr>
            </a:solidFill>
          </c:spPr>
          <c:cat>
            <c:strRef>
              <c:f>'TIPO-OBJETO DE GASTO'!$J$15:$J$19</c:f>
              <c:strCache>
                <c:ptCount val="5"/>
                <c:pt idx="0">
                  <c:v>GASTO CORRIENTE </c:v>
                </c:pt>
                <c:pt idx="1">
                  <c:v>GASTO DE CAPITAL</c:v>
                </c:pt>
                <c:pt idx="2">
                  <c:v>AMORTIZACIÓN DE LA DEUDA Y DISMINUCIÓN DE PASIVOS</c:v>
                </c:pt>
                <c:pt idx="3">
                  <c:v>PENSIONES Y JUBILACIONES</c:v>
                </c:pt>
                <c:pt idx="4">
                  <c:v>PARTICIPACIONES</c:v>
                </c:pt>
              </c:strCache>
            </c:strRef>
          </c:cat>
          <c:val>
            <c:numRef>
              <c:f>'TIPO-OBJETO DE GASTO'!$L$15:$L$19</c:f>
              <c:numCache>
                <c:formatCode>#,##0.00_);\-#,##0.00</c:formatCode>
                <c:ptCount val="5"/>
                <c:pt idx="0">
                  <c:v>8695153730.6900005</c:v>
                </c:pt>
                <c:pt idx="1">
                  <c:v>2821317519.6799998</c:v>
                </c:pt>
                <c:pt idx="2">
                  <c:v>375198464.07999974</c:v>
                </c:pt>
                <c:pt idx="3">
                  <c:v>108142752.13</c:v>
                </c:pt>
                <c:pt idx="4">
                  <c:v>1091045160.4000001</c:v>
                </c:pt>
              </c:numCache>
            </c:numRef>
          </c:val>
        </c:ser>
        <c:axId val="114955392"/>
        <c:axId val="114956928"/>
      </c:barChart>
      <c:catAx>
        <c:axId val="114955392"/>
        <c:scaling>
          <c:orientation val="minMax"/>
        </c:scaling>
        <c:axPos val="b"/>
        <c:numFmt formatCode="General" sourceLinked="1"/>
        <c:tickLblPos val="nextTo"/>
        <c:txPr>
          <a:bodyPr/>
          <a:lstStyle/>
          <a:p>
            <a:pPr>
              <a:defRPr sz="800"/>
            </a:pPr>
            <a:endParaRPr lang="es-MX"/>
          </a:p>
        </c:txPr>
        <c:crossAx val="114956928"/>
        <c:crosses val="autoZero"/>
        <c:auto val="1"/>
        <c:lblAlgn val="ctr"/>
        <c:lblOffset val="100"/>
      </c:catAx>
      <c:valAx>
        <c:axId val="114956928"/>
        <c:scaling>
          <c:orientation val="minMax"/>
        </c:scaling>
        <c:axPos val="l"/>
        <c:numFmt formatCode="#,##0.00_);\-#,##0.00" sourceLinked="1"/>
        <c:tickLblPos val="nextTo"/>
        <c:txPr>
          <a:bodyPr/>
          <a:lstStyle/>
          <a:p>
            <a:pPr>
              <a:defRPr sz="800"/>
            </a:pPr>
            <a:endParaRPr lang="es-MX"/>
          </a:p>
        </c:txPr>
        <c:crossAx val="114955392"/>
        <c:crosses val="autoZero"/>
        <c:crossBetween val="between"/>
      </c:valAx>
    </c:plotArea>
    <c:legend>
      <c:legendPos val="r"/>
      <c:layout>
        <c:manualLayout>
          <c:xMode val="edge"/>
          <c:yMode val="edge"/>
          <c:x val="0.73123037107402"/>
          <c:y val="0.14619750941483403"/>
          <c:w val="0.1991094290403109"/>
          <c:h val="0.21023832193425021"/>
        </c:manualLayout>
      </c:layout>
    </c:legend>
    <c:plotVisOnly val="1"/>
  </c:chart>
  <c:spPr>
    <a:ln>
      <a:no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17"/>
          <c:w val="0.8230797216802026"/>
          <c:h val="0.55160778970200375"/>
        </c:manualLayout>
      </c:layout>
      <c:barChart>
        <c:barDir val="col"/>
        <c:grouping val="clustered"/>
        <c:ser>
          <c:idx val="0"/>
          <c:order val="0"/>
          <c:tx>
            <c:v>APROBADO</c:v>
          </c:tx>
          <c:spPr>
            <a:solidFill>
              <a:srgbClr val="FFC000"/>
            </a:solidFill>
          </c:spPr>
          <c:cat>
            <c:strRef>
              <c:f>FINALIDAD!$H$7:$H$10</c:f>
              <c:strCache>
                <c:ptCount val="4"/>
                <c:pt idx="0">
                  <c:v>GOBIERNO</c:v>
                </c:pt>
                <c:pt idx="1">
                  <c:v>DESARROLLO SOCIAL</c:v>
                </c:pt>
                <c:pt idx="2">
                  <c:v>DESARROLLO ECONÓMICO </c:v>
                </c:pt>
                <c:pt idx="3">
                  <c:v>OTRAS NO CLASIFICADAS EN FUNCIONES ANTERIORES</c:v>
                </c:pt>
              </c:strCache>
            </c:strRef>
          </c:cat>
          <c:val>
            <c:numRef>
              <c:f>FINALIDAD!$I$7:$I$10</c:f>
              <c:numCache>
                <c:formatCode>#,##0.00_);\-#,##0.00</c:formatCode>
                <c:ptCount val="4"/>
                <c:pt idx="0">
                  <c:v>2429719910.9299998</c:v>
                </c:pt>
                <c:pt idx="1">
                  <c:v>8957800931.9300003</c:v>
                </c:pt>
                <c:pt idx="2">
                  <c:v>286560565.5</c:v>
                </c:pt>
                <c:pt idx="3">
                  <c:v>12127885507</c:v>
                </c:pt>
              </c:numCache>
            </c:numRef>
          </c:val>
        </c:ser>
        <c:ser>
          <c:idx val="1"/>
          <c:order val="1"/>
          <c:tx>
            <c:v>DEVENGADO</c:v>
          </c:tx>
          <c:spPr>
            <a:solidFill>
              <a:schemeClr val="accent6">
                <a:lumMod val="50000"/>
              </a:schemeClr>
            </a:solidFill>
          </c:spPr>
          <c:cat>
            <c:strRef>
              <c:f>FINALIDAD!$H$7:$H$10</c:f>
              <c:strCache>
                <c:ptCount val="4"/>
                <c:pt idx="0">
                  <c:v>GOBIERNO</c:v>
                </c:pt>
                <c:pt idx="1">
                  <c:v>DESARROLLO SOCIAL</c:v>
                </c:pt>
                <c:pt idx="2">
                  <c:v>DESARROLLO ECONÓMICO </c:v>
                </c:pt>
                <c:pt idx="3">
                  <c:v>OTRAS NO CLASIFICADAS EN FUNCIONES ANTERIORES</c:v>
                </c:pt>
              </c:strCache>
            </c:strRef>
          </c:cat>
          <c:val>
            <c:numRef>
              <c:f>FINALIDAD!$J$7:$J$10</c:f>
              <c:numCache>
                <c:formatCode>#,##0.00_);\-#,##0.00</c:formatCode>
                <c:ptCount val="4"/>
                <c:pt idx="0">
                  <c:v>2240260289.0799999</c:v>
                </c:pt>
                <c:pt idx="1">
                  <c:v>6513731033.75</c:v>
                </c:pt>
                <c:pt idx="2">
                  <c:v>936710976.00999999</c:v>
                </c:pt>
                <c:pt idx="3">
                  <c:v>3400155328.1399999</c:v>
                </c:pt>
              </c:numCache>
            </c:numRef>
          </c:val>
        </c:ser>
        <c:axId val="114973312"/>
        <c:axId val="114995584"/>
      </c:barChart>
      <c:catAx>
        <c:axId val="114973312"/>
        <c:scaling>
          <c:orientation val="minMax"/>
        </c:scaling>
        <c:axPos val="b"/>
        <c:numFmt formatCode="General" sourceLinked="1"/>
        <c:tickLblPos val="nextTo"/>
        <c:txPr>
          <a:bodyPr/>
          <a:lstStyle/>
          <a:p>
            <a:pPr>
              <a:defRPr sz="800"/>
            </a:pPr>
            <a:endParaRPr lang="es-MX"/>
          </a:p>
        </c:txPr>
        <c:crossAx val="114995584"/>
        <c:crosses val="autoZero"/>
        <c:auto val="1"/>
        <c:lblAlgn val="ctr"/>
        <c:lblOffset val="100"/>
      </c:catAx>
      <c:valAx>
        <c:axId val="114995584"/>
        <c:scaling>
          <c:orientation val="minMax"/>
        </c:scaling>
        <c:axPos val="l"/>
        <c:numFmt formatCode="#,##0.00_);\-#,##0.00" sourceLinked="1"/>
        <c:tickLblPos val="nextTo"/>
        <c:txPr>
          <a:bodyPr/>
          <a:lstStyle/>
          <a:p>
            <a:pPr>
              <a:defRPr sz="800"/>
            </a:pPr>
            <a:endParaRPr lang="es-MX"/>
          </a:p>
        </c:txPr>
        <c:crossAx val="114973312"/>
        <c:crosses val="autoZero"/>
        <c:crossBetween val="between"/>
      </c:valAx>
    </c:plotArea>
    <c:legend>
      <c:legendPos val="r"/>
      <c:layout>
        <c:manualLayout>
          <c:xMode val="edge"/>
          <c:yMode val="edge"/>
          <c:x val="0.7131267451039085"/>
          <c:y val="0.10267202453882612"/>
          <c:w val="0.1991094290403109"/>
          <c:h val="0.17090538329063645"/>
        </c:manualLayout>
      </c:layout>
    </c:legend>
    <c:plotVisOnly val="1"/>
  </c:chart>
  <c:spPr>
    <a:ln>
      <a:noFill/>
    </a:ln>
  </c:sp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147985027612291"/>
          <c:y val="0.21120555358000725"/>
          <c:w val="0.8230797216802026"/>
          <c:h val="0.55160778970200341"/>
        </c:manualLayout>
      </c:layout>
      <c:barChart>
        <c:barDir val="col"/>
        <c:grouping val="clustered"/>
        <c:ser>
          <c:idx val="0"/>
          <c:order val="0"/>
          <c:tx>
            <c:v>APROBADO</c:v>
          </c:tx>
          <c:spPr>
            <a:solidFill>
              <a:srgbClr val="FFC000"/>
            </a:solidFill>
          </c:spPr>
          <c:cat>
            <c:strRef>
              <c:f>'EJE - OBJETIVO'!$H$11:$H$14</c:f>
              <c:strCache>
                <c:ptCount val="4"/>
                <c:pt idx="0">
                  <c:v>ESTADO DE DERECHO, GOBERNABILIDAD Y SEGURIDAD</c:v>
                </c:pt>
                <c:pt idx="1">
                  <c:v>CRECIMIENTO ECONÓMICO, COMPETITIVIDAD Y EMPLEO</c:v>
                </c:pt>
                <c:pt idx="2">
                  <c:v>DESARROLLO SOCIAL Y HUMANO </c:v>
                </c:pt>
                <c:pt idx="3">
                  <c:v>GOBIERNO HONESTO Y DE RESULTADOS </c:v>
                </c:pt>
              </c:strCache>
            </c:strRef>
          </c:cat>
          <c:val>
            <c:numRef>
              <c:f>'EJE - OBJETIVO'!$I$11:$I$14</c:f>
              <c:numCache>
                <c:formatCode>#,##0.00_);\-#,##0.00</c:formatCode>
                <c:ptCount val="4"/>
                <c:pt idx="0">
                  <c:v>13235653090.59</c:v>
                </c:pt>
                <c:pt idx="1">
                  <c:v>320469550.17000002</c:v>
                </c:pt>
                <c:pt idx="2">
                  <c:v>8857121041.0100002</c:v>
                </c:pt>
                <c:pt idx="3">
                  <c:v>1388723233.5899999</c:v>
                </c:pt>
              </c:numCache>
            </c:numRef>
          </c:val>
        </c:ser>
        <c:ser>
          <c:idx val="1"/>
          <c:order val="1"/>
          <c:tx>
            <c:v>DEVENGADO</c:v>
          </c:tx>
          <c:spPr>
            <a:solidFill>
              <a:schemeClr val="accent6">
                <a:lumMod val="50000"/>
              </a:schemeClr>
            </a:solidFill>
          </c:spPr>
          <c:cat>
            <c:strRef>
              <c:f>'EJE - OBJETIVO'!$H$11:$H$14</c:f>
              <c:strCache>
                <c:ptCount val="4"/>
                <c:pt idx="0">
                  <c:v>ESTADO DE DERECHO, GOBERNABILIDAD Y SEGURIDAD</c:v>
                </c:pt>
                <c:pt idx="1">
                  <c:v>CRECIMIENTO ECONÓMICO, COMPETITIVIDAD Y EMPLEO</c:v>
                </c:pt>
                <c:pt idx="2">
                  <c:v>DESARROLLO SOCIAL Y HUMANO </c:v>
                </c:pt>
                <c:pt idx="3">
                  <c:v>GOBIERNO HONESTO Y DE RESULTADOS </c:v>
                </c:pt>
              </c:strCache>
            </c:strRef>
          </c:cat>
          <c:val>
            <c:numRef>
              <c:f>'EJE - OBJETIVO'!$J$11:$J$14</c:f>
              <c:numCache>
                <c:formatCode>#,##0.00_);\-#,##0.00</c:formatCode>
                <c:ptCount val="4"/>
                <c:pt idx="0">
                  <c:v>4532031032.8800001</c:v>
                </c:pt>
                <c:pt idx="1">
                  <c:v>1038166074.5</c:v>
                </c:pt>
                <c:pt idx="2">
                  <c:v>6342182945.21</c:v>
                </c:pt>
                <c:pt idx="3">
                  <c:v>1178477574.3899999</c:v>
                </c:pt>
              </c:numCache>
            </c:numRef>
          </c:val>
        </c:ser>
        <c:axId val="114504064"/>
        <c:axId val="114505600"/>
      </c:barChart>
      <c:catAx>
        <c:axId val="114504064"/>
        <c:scaling>
          <c:orientation val="minMax"/>
        </c:scaling>
        <c:axPos val="b"/>
        <c:numFmt formatCode="General" sourceLinked="1"/>
        <c:tickLblPos val="nextTo"/>
        <c:txPr>
          <a:bodyPr/>
          <a:lstStyle/>
          <a:p>
            <a:pPr>
              <a:defRPr sz="800"/>
            </a:pPr>
            <a:endParaRPr lang="es-MX"/>
          </a:p>
        </c:txPr>
        <c:crossAx val="114505600"/>
        <c:crosses val="autoZero"/>
        <c:auto val="1"/>
        <c:lblAlgn val="ctr"/>
        <c:lblOffset val="100"/>
      </c:catAx>
      <c:valAx>
        <c:axId val="114505600"/>
        <c:scaling>
          <c:orientation val="minMax"/>
        </c:scaling>
        <c:axPos val="l"/>
        <c:numFmt formatCode="#,##0.00_);\-#,##0.00" sourceLinked="1"/>
        <c:tickLblPos val="nextTo"/>
        <c:txPr>
          <a:bodyPr/>
          <a:lstStyle/>
          <a:p>
            <a:pPr>
              <a:defRPr sz="800"/>
            </a:pPr>
            <a:endParaRPr lang="es-MX"/>
          </a:p>
        </c:txPr>
        <c:crossAx val="114504064"/>
        <c:crosses val="autoZero"/>
        <c:crossBetween val="between"/>
      </c:valAx>
    </c:plotArea>
    <c:legend>
      <c:legendPos val="r"/>
      <c:layout>
        <c:manualLayout>
          <c:xMode val="edge"/>
          <c:yMode val="edge"/>
          <c:x val="0.73123037107402"/>
          <c:y val="0.14619750941483403"/>
          <c:w val="0.16969100858319391"/>
          <c:h val="0.20142627564714943"/>
        </c:manualLayout>
      </c:layout>
    </c:legend>
    <c:plotVisOnly val="1"/>
  </c:chart>
  <c:spPr>
    <a:ln>
      <a:noFill/>
    </a:ln>
  </c:sp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987807434613803"/>
          <c:y val="0.21152036508081909"/>
          <c:w val="0.41693273963757732"/>
          <c:h val="0.73937669302541964"/>
        </c:manualLayout>
      </c:layout>
      <c:doughnutChart>
        <c:varyColors val="1"/>
        <c:ser>
          <c:idx val="0"/>
          <c:order val="0"/>
          <c:spPr>
            <a:scene3d>
              <a:camera prst="orthographicFront"/>
              <a:lightRig rig="threePt" dir="t"/>
            </a:scene3d>
            <a:sp3d prstMaterial="metal"/>
          </c:spPr>
          <c:dPt>
            <c:idx val="0"/>
            <c:spPr>
              <a:solidFill>
                <a:schemeClr val="accent6">
                  <a:lumMod val="50000"/>
                </a:schemeClr>
              </a:solidFill>
              <a:scene3d>
                <a:camera prst="orthographicFront"/>
                <a:lightRig rig="threePt" dir="t"/>
              </a:scene3d>
              <a:sp3d prstMaterial="metal"/>
            </c:spPr>
          </c:dPt>
          <c:dPt>
            <c:idx val="1"/>
            <c:spPr>
              <a:solidFill>
                <a:schemeClr val="accent4">
                  <a:lumMod val="40000"/>
                  <a:lumOff val="60000"/>
                </a:schemeClr>
              </a:solidFill>
              <a:scene3d>
                <a:camera prst="orthographicFront"/>
                <a:lightRig rig="threePt" dir="t"/>
              </a:scene3d>
              <a:sp3d prstMaterial="metal"/>
            </c:spPr>
          </c:dPt>
          <c:dPt>
            <c:idx val="2"/>
            <c:spPr>
              <a:solidFill>
                <a:schemeClr val="bg2">
                  <a:lumMod val="25000"/>
                </a:schemeClr>
              </a:solidFill>
              <a:scene3d>
                <a:camera prst="orthographicFront"/>
                <a:lightRig rig="threePt" dir="t"/>
              </a:scene3d>
              <a:sp3d prstMaterial="metal"/>
            </c:spPr>
          </c:dPt>
          <c:dPt>
            <c:idx val="4"/>
            <c:spPr>
              <a:solidFill>
                <a:schemeClr val="tx2">
                  <a:lumMod val="60000"/>
                  <a:lumOff val="40000"/>
                </a:schemeClr>
              </a:solidFill>
              <a:scene3d>
                <a:camera prst="orthographicFront"/>
                <a:lightRig rig="threePt" dir="t"/>
              </a:scene3d>
              <a:sp3d prstMaterial="metal"/>
            </c:spPr>
          </c:dPt>
          <c:dPt>
            <c:idx val="5"/>
            <c:spPr>
              <a:solidFill>
                <a:schemeClr val="tx1"/>
              </a:solidFill>
              <a:scene3d>
                <a:camera prst="orthographicFront"/>
                <a:lightRig rig="threePt" dir="t"/>
              </a:scene3d>
              <a:sp3d prstMaterial="metal"/>
            </c:spPr>
          </c:dPt>
          <c:dPt>
            <c:idx val="6"/>
            <c:spPr>
              <a:solidFill>
                <a:schemeClr val="tx1"/>
              </a:solidFill>
              <a:scene3d>
                <a:camera prst="orthographicFront"/>
                <a:lightRig rig="threePt" dir="t"/>
              </a:scene3d>
              <a:sp3d prstMaterial="metal"/>
            </c:spPr>
          </c:dPt>
          <c:dLbls>
            <c:dLbl>
              <c:idx val="0"/>
              <c:layout>
                <c:manualLayout>
                  <c:x val="0.14708234647619306"/>
                  <c:y val="0.10854889607570541"/>
                </c:manualLayout>
              </c:layout>
              <c:showVal val="1"/>
            </c:dLbl>
            <c:dLbl>
              <c:idx val="1"/>
              <c:layout>
                <c:manualLayout>
                  <c:x val="-0.12150280795859365"/>
                  <c:y val="0.17218100756836041"/>
                </c:manualLayout>
              </c:layout>
              <c:showVal val="1"/>
            </c:dLbl>
            <c:dLbl>
              <c:idx val="2"/>
              <c:layout>
                <c:manualLayout>
                  <c:x val="-0.15347723110559264"/>
                  <c:y val="0.10480583069378448"/>
                </c:manualLayout>
              </c:layout>
              <c:showVal val="1"/>
            </c:dLbl>
            <c:dLbl>
              <c:idx val="3"/>
              <c:layout>
                <c:manualLayout>
                  <c:x val="-0.15560885931539212"/>
                  <c:y val="6.363211149265488E-2"/>
                </c:manualLayout>
              </c:layout>
              <c:showVal val="1"/>
            </c:dLbl>
            <c:dLbl>
              <c:idx val="4"/>
              <c:layout>
                <c:manualLayout>
                  <c:x val="-0.12789769258799394"/>
                  <c:y val="-0.16843794218644051"/>
                </c:manualLayout>
              </c:layout>
              <c:showVal val="1"/>
            </c:dLbl>
            <c:dLbl>
              <c:idx val="5"/>
              <c:layout>
                <c:manualLayout>
                  <c:x val="0.11510792332919365"/>
                  <c:y val="-0.16843794218644051"/>
                </c:manualLayout>
              </c:layout>
              <c:showVal val="1"/>
            </c:dLbl>
            <c:dLbl>
              <c:idx val="6"/>
              <c:layout>
                <c:manualLayout>
                  <c:x val="0.18545165425258989"/>
                  <c:y val="-2.2458392291525364E-2"/>
                </c:manualLayout>
              </c:layout>
              <c:spPr>
                <a:ln cmpd="sng"/>
              </c:spPr>
              <c:txPr>
                <a:bodyPr/>
                <a:lstStyle/>
                <a:p>
                  <a:pPr>
                    <a:defRPr sz="700"/>
                  </a:pPr>
                  <a:endParaRPr lang="es-MX"/>
                </a:p>
              </c:txPr>
              <c:showVal val="1"/>
            </c:dLbl>
            <c:txPr>
              <a:bodyPr/>
              <a:lstStyle/>
              <a:p>
                <a:pPr>
                  <a:defRPr sz="700"/>
                </a:pPr>
                <a:endParaRPr lang="es-MX"/>
              </a:p>
            </c:txPr>
            <c:showVal val="1"/>
          </c:dLbls>
          <c:cat>
            <c:strRef>
              <c:f>'CLASIFICACION ADMINISTRATIVA'!$I$11:$I$17</c:f>
              <c:strCache>
                <c:ptCount val="7"/>
                <c:pt idx="0">
                  <c:v>ADMINISTRACION PUBLICA CENTRALIZADA</c:v>
                </c:pt>
                <c:pt idx="1">
                  <c:v>PODER LEGISLATIVO</c:v>
                </c:pt>
                <c:pt idx="2">
                  <c:v>PODER JUDICIAL</c:v>
                </c:pt>
                <c:pt idx="3">
                  <c:v>ORGANOS AUTONOMOS</c:v>
                </c:pt>
                <c:pt idx="4">
                  <c:v>ORGANISMOS PUBLICOS DESCENTRALIZADOS</c:v>
                </c:pt>
                <c:pt idx="5">
                  <c:v>FIDEICOMISOS PUBLICOS</c:v>
                </c:pt>
                <c:pt idx="6">
                  <c:v>INSTITUCIONES PÚBLICAS DE SEGURIDAD SOCIAL</c:v>
                </c:pt>
              </c:strCache>
            </c:strRef>
          </c:cat>
          <c:val>
            <c:numRef>
              <c:f>'CLASIFICACION ADMINISTRATIVA'!$J$11:$J$17</c:f>
              <c:numCache>
                <c:formatCode>#,##0.00_);\-#,##0.00</c:formatCode>
                <c:ptCount val="7"/>
                <c:pt idx="0">
                  <c:v>6442352150.1300011</c:v>
                </c:pt>
                <c:pt idx="1">
                  <c:v>225891764.72</c:v>
                </c:pt>
                <c:pt idx="2">
                  <c:v>196345388.33000001</c:v>
                </c:pt>
                <c:pt idx="3">
                  <c:v>535749052.33999979</c:v>
                </c:pt>
                <c:pt idx="4">
                  <c:v>5667493412.6099997</c:v>
                </c:pt>
                <c:pt idx="5">
                  <c:v>3018705.92</c:v>
                </c:pt>
                <c:pt idx="6">
                  <c:v>20007152.93</c:v>
                </c:pt>
              </c:numCache>
            </c:numRef>
          </c:val>
        </c:ser>
        <c:firstSliceAng val="46"/>
        <c:holeSize val="21"/>
      </c:doughnutChart>
    </c:plotArea>
    <c:legend>
      <c:legendPos val="r"/>
      <c:layout>
        <c:manualLayout>
          <c:xMode val="edge"/>
          <c:yMode val="edge"/>
          <c:x val="0.75214199262255621"/>
          <c:y val="0.10092158985375814"/>
          <c:w val="0.21385407494989642"/>
          <c:h val="0.7912842426845268"/>
        </c:manualLayout>
      </c:layout>
      <c:txPr>
        <a:bodyPr/>
        <a:lstStyle/>
        <a:p>
          <a:pPr rtl="0">
            <a:defRPr sz="800"/>
          </a:pPr>
          <a:endParaRPr lang="es-MX"/>
        </a:p>
      </c:txPr>
    </c:legend>
    <c:plotVisOnly val="1"/>
  </c:chart>
  <c:spPr>
    <a:noFill/>
    <a:ln>
      <a:noFill/>
    </a:ln>
    <a:effectLst>
      <a:innerShdw blurRad="63500" dist="50800" dir="2700000">
        <a:schemeClr val="tx1">
          <a:alpha val="50000"/>
        </a:schemeClr>
      </a:innerShdw>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lgn="ctr">
              <a:defRPr sz="1200">
                <a:latin typeface="Arial Narrow" pitchFamily="34" charset="0"/>
              </a:defRPr>
            </a:pPr>
            <a:r>
              <a:rPr lang="es-MX" sz="1200" b="1" i="0" baseline="0">
                <a:effectLst/>
                <a:latin typeface="Arial Narrow" pitchFamily="34" charset="0"/>
              </a:rPr>
              <a:t>ESTADO DE OAXACA: </a:t>
            </a:r>
          </a:p>
          <a:p>
            <a:pPr algn="ctr">
              <a:defRPr sz="1200">
                <a:latin typeface="Arial Narrow" pitchFamily="34" charset="0"/>
              </a:defRPr>
            </a:pPr>
            <a:r>
              <a:rPr lang="es-MX" sz="1200" b="1" i="0" baseline="0">
                <a:effectLst/>
                <a:latin typeface="Arial Narrow" pitchFamily="34" charset="0"/>
              </a:rPr>
              <a:t>ACT. PRIMARIAS, VARIACIÓN ANUAL (2005-2015*)</a:t>
            </a:r>
            <a:endParaRPr lang="es-MX" sz="1200">
              <a:effectLst/>
              <a:latin typeface="Arial Narrow" pitchFamily="34" charset="0"/>
            </a:endParaRPr>
          </a:p>
        </c:rich>
      </c:tx>
      <c:layout>
        <c:manualLayout>
          <c:xMode val="edge"/>
          <c:yMode val="edge"/>
          <c:x val="0.18463456240201678"/>
          <c:y val="0"/>
        </c:manualLayout>
      </c:layout>
    </c:title>
    <c:plotArea>
      <c:layout/>
      <c:lineChart>
        <c:grouping val="standard"/>
        <c:ser>
          <c:idx val="0"/>
          <c:order val="0"/>
          <c:tx>
            <c:strRef>
              <c:f>'[BIE_BIE20160306192905 (version 1).xls]Página 1'!$H$3</c:f>
              <c:strCache>
                <c:ptCount val="1"/>
                <c:pt idx="0">
                  <c:v>Act. Primarias</c:v>
                </c:pt>
              </c:strCache>
            </c:strRef>
          </c:tx>
          <c:spPr>
            <a:ln>
              <a:solidFill>
                <a:schemeClr val="accent6"/>
              </a:solidFill>
            </a:ln>
          </c:spPr>
          <c:marker>
            <c:spPr>
              <a:solidFill>
                <a:schemeClr val="accent6"/>
              </a:solidFill>
              <a:ln>
                <a:noFill/>
              </a:ln>
            </c:spPr>
          </c:marker>
          <c:dPt>
            <c:idx val="10"/>
            <c:spPr>
              <a:ln>
                <a:solidFill>
                  <a:schemeClr val="accent6"/>
                </a:solidFill>
                <a:prstDash val="sysDash"/>
              </a:ln>
            </c:spPr>
          </c:dPt>
          <c:dLbls>
            <c:dLbl>
              <c:idx val="0"/>
              <c:layout>
                <c:manualLayout>
                  <c:x val="-5.4430523228622026E-2"/>
                  <c:y val="3.3442328799809032E-2"/>
                </c:manualLayout>
              </c:layout>
              <c:dLblPos val="r"/>
              <c:showVal val="1"/>
              <c:extLst>
                <c:ext xmlns:c15="http://schemas.microsoft.com/office/drawing/2012/chart" uri="{CE6537A1-D6FC-4f65-9D91-7224C49458BB}">
                  <c15:layout/>
                </c:ext>
              </c:extLst>
            </c:dLbl>
            <c:dLbl>
              <c:idx val="4"/>
              <c:layout>
                <c:manualLayout>
                  <c:x val="-6.257266592605798E-2"/>
                  <c:y val="2.286634010620343E-2"/>
                </c:manualLayout>
              </c:layout>
              <c:dLblPos val="r"/>
              <c:showVal val="1"/>
              <c:extLst>
                <c:ext xmlns:c15="http://schemas.microsoft.com/office/drawing/2012/chart" uri="{CE6537A1-D6FC-4f65-9D91-7224C49458BB}">
                  <c15:layout/>
                </c:ext>
              </c:extLst>
            </c:dLbl>
            <c:dLbl>
              <c:idx val="6"/>
              <c:layout>
                <c:manualLayout>
                  <c:x val="-5.9788257822159116E-2"/>
                  <c:y val="3.6873342872310845E-2"/>
                </c:manualLayout>
              </c:layout>
              <c:dLblPos val="r"/>
              <c:showVal val="1"/>
              <c:extLst>
                <c:ext xmlns:c15="http://schemas.microsoft.com/office/drawing/2012/chart" uri="{CE6537A1-D6FC-4f65-9D91-7224C49458BB}">
                  <c15:layout/>
                </c:ext>
              </c:extLst>
            </c:dLbl>
            <c:dLbl>
              <c:idx val="10"/>
              <c:layout>
                <c:manualLayout>
                  <c:x val="-1.2109982804635518E-2"/>
                  <c:y val="5.5549346560453183E-2"/>
                </c:manualLayout>
              </c:layout>
              <c:dLblPos val="r"/>
              <c:showVal val="1"/>
              <c:extLst>
                <c:ext xmlns:c15="http://schemas.microsoft.com/office/drawing/2012/chart" uri="{CE6537A1-D6FC-4f65-9D91-7224C49458BB}">
                  <c15:layout/>
                </c:ext>
              </c:extLst>
            </c:dLbl>
            <c:numFmt formatCode="0.00%" sourceLinked="0"/>
            <c:spPr>
              <a:noFill/>
              <a:ln>
                <a:noFill/>
              </a:ln>
              <a:effectLst/>
            </c:spPr>
            <c:txPr>
              <a:bodyPr/>
              <a:lstStyle/>
              <a:p>
                <a:pPr>
                  <a:defRPr>
                    <a:solidFill>
                      <a:schemeClr val="accent6"/>
                    </a:solidFill>
                  </a:defRPr>
                </a:pPr>
                <a:endParaRPr lang="es-MX"/>
              </a:p>
            </c:txPr>
            <c:dLblPos val="t"/>
            <c:showVal val="1"/>
            <c:extLst>
              <c:ext xmlns:c15="http://schemas.microsoft.com/office/drawing/2012/chart" uri="{CE6537A1-D6FC-4f65-9D91-7224C49458BB}">
                <c15:layout/>
                <c15:showLeaderLines val="0"/>
              </c:ext>
            </c:extLst>
          </c:dLbls>
          <c:cat>
            <c:numRef>
              <c:f>'[BIE_BIE20160306192905 (version 1).xls]Página 1'!$F$4:$F$14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'[BIE_BIE20160306192905 (version 1).xls]Página 1'!$H$4:$H$14</c:f>
              <c:numCache>
                <c:formatCode>0.00%</c:formatCode>
                <c:ptCount val="11"/>
                <c:pt idx="0">
                  <c:v>-3.1100000000000006E-2</c:v>
                </c:pt>
                <c:pt idx="1">
                  <c:v>2.1460043794393681E-2</c:v>
                </c:pt>
                <c:pt idx="2">
                  <c:v>8.7612441021209894E-2</c:v>
                </c:pt>
                <c:pt idx="3">
                  <c:v>1.9038091666810614E-2</c:v>
                </c:pt>
                <c:pt idx="4">
                  <c:v>-4.4019105581583576E-2</c:v>
                </c:pt>
                <c:pt idx="5">
                  <c:v>4.6377770837670411E-2</c:v>
                </c:pt>
                <c:pt idx="6">
                  <c:v>-2.3141909763845152E-2</c:v>
                </c:pt>
                <c:pt idx="7">
                  <c:v>5.6082496705842498E-2</c:v>
                </c:pt>
                <c:pt idx="8">
                  <c:v>5.0970045887392457E-2</c:v>
                </c:pt>
                <c:pt idx="9">
                  <c:v>2.586729890559725E-2</c:v>
                </c:pt>
                <c:pt idx="10">
                  <c:v>-7.0397527373933901E-3</c:v>
                </c:pt>
              </c:numCache>
            </c:numRef>
          </c:val>
        </c:ser>
        <c:marker val="1"/>
        <c:axId val="113551616"/>
        <c:axId val="113557504"/>
      </c:lineChart>
      <c:catAx>
        <c:axId val="113551616"/>
        <c:scaling>
          <c:orientation val="minMax"/>
        </c:scaling>
        <c:axPos val="b"/>
        <c:numFmt formatCode="General" sourceLinked="1"/>
        <c:tickLblPos val="low"/>
        <c:crossAx val="113557504"/>
        <c:crosses val="autoZero"/>
        <c:auto val="1"/>
        <c:lblAlgn val="ctr"/>
        <c:lblOffset val="100"/>
      </c:catAx>
      <c:valAx>
        <c:axId val="113557504"/>
        <c:scaling>
          <c:orientation val="minMax"/>
        </c:scaling>
        <c:axPos val="l"/>
        <c:majorGridlines>
          <c:spPr>
            <a:ln>
              <a:noFill/>
            </a:ln>
          </c:spPr>
        </c:majorGridlines>
        <c:numFmt formatCode="0%" sourceLinked="0"/>
        <c:tickLblPos val="nextTo"/>
        <c:crossAx val="113551616"/>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lgn="ctr">
              <a:defRPr sz="1200">
                <a:latin typeface="Arial Narrow" pitchFamily="34" charset="0"/>
              </a:defRPr>
            </a:pPr>
            <a:r>
              <a:rPr lang="es-MX" sz="1200" b="1" i="0" baseline="0">
                <a:effectLst/>
                <a:latin typeface="Arial Narrow" pitchFamily="34" charset="0"/>
              </a:rPr>
              <a:t>ESTADO DE OAXACA: </a:t>
            </a:r>
          </a:p>
          <a:p>
            <a:pPr algn="ctr">
              <a:defRPr sz="1200">
                <a:latin typeface="Arial Narrow" pitchFamily="34" charset="0"/>
              </a:defRPr>
            </a:pPr>
            <a:r>
              <a:rPr lang="es-MX" sz="1200" b="1" i="0" baseline="0">
                <a:effectLst/>
                <a:latin typeface="Arial Narrow" pitchFamily="34" charset="0"/>
              </a:rPr>
              <a:t>ACT. SECUNDARIAS, VARIACIÓN ANUAL (2005-2015*)</a:t>
            </a:r>
            <a:endParaRPr lang="es-MX" sz="1200">
              <a:effectLst/>
              <a:latin typeface="Arial Narrow" pitchFamily="34" charset="0"/>
            </a:endParaRPr>
          </a:p>
        </c:rich>
      </c:tx>
      <c:layout>
        <c:manualLayout>
          <c:xMode val="edge"/>
          <c:yMode val="edge"/>
          <c:x val="0.14013457085043679"/>
          <c:y val="0"/>
        </c:manualLayout>
      </c:layout>
    </c:title>
    <c:plotArea>
      <c:layout/>
      <c:lineChart>
        <c:grouping val="standard"/>
        <c:ser>
          <c:idx val="0"/>
          <c:order val="0"/>
          <c:tx>
            <c:strRef>
              <c:f>'[BIE_BIE20160306192905 (version 1).xls]Página 1'!$I$3</c:f>
              <c:strCache>
                <c:ptCount val="1"/>
                <c:pt idx="0">
                  <c:v>Act. Secundarias</c:v>
                </c:pt>
              </c:strCache>
            </c:strRef>
          </c:tx>
          <c:spPr>
            <a:ln>
              <a:solidFill>
                <a:schemeClr val="accent6"/>
              </a:solidFill>
            </a:ln>
          </c:spPr>
          <c:marker>
            <c:spPr>
              <a:solidFill>
                <a:schemeClr val="accent6"/>
              </a:solidFill>
              <a:ln>
                <a:noFill/>
              </a:ln>
            </c:spPr>
          </c:marker>
          <c:dPt>
            <c:idx val="10"/>
            <c:spPr>
              <a:ln>
                <a:solidFill>
                  <a:schemeClr val="accent6"/>
                </a:solidFill>
                <a:prstDash val="sysDash"/>
              </a:ln>
            </c:spPr>
          </c:dPt>
          <c:dLbls>
            <c:numFmt formatCode="0.00%" sourceLinked="0"/>
            <c:spPr>
              <a:noFill/>
              <a:ln>
                <a:noFill/>
              </a:ln>
              <a:effectLst/>
            </c:spPr>
            <c:txPr>
              <a:bodyPr/>
              <a:lstStyle/>
              <a:p>
                <a:pPr>
                  <a:defRPr>
                    <a:solidFill>
                      <a:schemeClr val="accent6"/>
                    </a:solidFill>
                  </a:defRPr>
                </a:pPr>
                <a:endParaRPr lang="es-MX"/>
              </a:p>
            </c:txPr>
            <c:dLblPos val="t"/>
            <c:showVal val="1"/>
            <c:extLst>
              <c:ext xmlns:c15="http://schemas.microsoft.com/office/drawing/2012/chart" uri="{CE6537A1-D6FC-4f65-9D91-7224C49458BB}">
                <c15:layout/>
                <c15:showLeaderLines val="0"/>
              </c:ext>
            </c:extLst>
          </c:dLbls>
          <c:cat>
            <c:numRef>
              <c:f>'[BIE_BIE20160306192905 (version 1).xls]Página 1'!$F$4:$F$14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'[BIE_BIE20160306192905 (version 1).xls]Página 1'!$I$4:$I$14</c:f>
              <c:numCache>
                <c:formatCode>0.00%</c:formatCode>
                <c:ptCount val="11"/>
                <c:pt idx="0">
                  <c:v>-4.2700000000000113E-2</c:v>
                </c:pt>
                <c:pt idx="1">
                  <c:v>-1.5046298705883195E-2</c:v>
                </c:pt>
                <c:pt idx="2">
                  <c:v>-4.0407006232092814E-3</c:v>
                </c:pt>
                <c:pt idx="3">
                  <c:v>2.1129162725511998E-3</c:v>
                </c:pt>
                <c:pt idx="4">
                  <c:v>2.0741048212033292E-2</c:v>
                </c:pt>
                <c:pt idx="5">
                  <c:v>-2.3089741335093159E-2</c:v>
                </c:pt>
                <c:pt idx="6">
                  <c:v>0.12354048901768452</c:v>
                </c:pt>
                <c:pt idx="7">
                  <c:v>4.2794299039109342E-2</c:v>
                </c:pt>
                <c:pt idx="8">
                  <c:v>4.2065200430995334E-2</c:v>
                </c:pt>
                <c:pt idx="9">
                  <c:v>4.1195953855138766E-2</c:v>
                </c:pt>
                <c:pt idx="10">
                  <c:v>2.9025520213639997E-2</c:v>
                </c:pt>
              </c:numCache>
            </c:numRef>
          </c:val>
        </c:ser>
        <c:marker val="1"/>
        <c:axId val="113566080"/>
        <c:axId val="113567616"/>
      </c:lineChart>
      <c:catAx>
        <c:axId val="113566080"/>
        <c:scaling>
          <c:orientation val="minMax"/>
        </c:scaling>
        <c:axPos val="b"/>
        <c:numFmt formatCode="General" sourceLinked="1"/>
        <c:tickLblPos val="low"/>
        <c:crossAx val="113567616"/>
        <c:crosses val="autoZero"/>
        <c:auto val="1"/>
        <c:lblAlgn val="ctr"/>
        <c:lblOffset val="100"/>
      </c:catAx>
      <c:valAx>
        <c:axId val="113567616"/>
        <c:scaling>
          <c:orientation val="minMax"/>
        </c:scaling>
        <c:axPos val="l"/>
        <c:majorGridlines>
          <c:spPr>
            <a:ln>
              <a:noFill/>
            </a:ln>
          </c:spPr>
        </c:majorGridlines>
        <c:numFmt formatCode="0%" sourceLinked="0"/>
        <c:tickLblPos val="nextTo"/>
        <c:crossAx val="113566080"/>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lgn="ctr">
              <a:defRPr sz="1200">
                <a:latin typeface="Arial Narrow" pitchFamily="34" charset="0"/>
              </a:defRPr>
            </a:pPr>
            <a:r>
              <a:rPr lang="es-MX" sz="1200" b="1" i="0" baseline="0">
                <a:effectLst/>
                <a:latin typeface="Arial Narrow" pitchFamily="34" charset="0"/>
              </a:rPr>
              <a:t>ESTADO DE OAXACA: </a:t>
            </a:r>
          </a:p>
          <a:p>
            <a:pPr algn="ctr">
              <a:defRPr sz="1200">
                <a:latin typeface="Arial Narrow" pitchFamily="34" charset="0"/>
              </a:defRPr>
            </a:pPr>
            <a:r>
              <a:rPr lang="es-MX" sz="1200" b="1" i="0" baseline="0">
                <a:effectLst/>
                <a:latin typeface="Arial Narrow" pitchFamily="34" charset="0"/>
              </a:rPr>
              <a:t>ACT. TERCIARIAS,  VARIACIÓN ANUAL (2005-2015*)</a:t>
            </a:r>
            <a:endParaRPr lang="es-MX" sz="1200">
              <a:effectLst/>
              <a:latin typeface="Arial Narrow" pitchFamily="34" charset="0"/>
            </a:endParaRPr>
          </a:p>
        </c:rich>
      </c:tx>
      <c:layout>
        <c:manualLayout>
          <c:xMode val="edge"/>
          <c:yMode val="edge"/>
          <c:x val="0.15929971038103119"/>
          <c:y val="3.6761538796587119E-3"/>
        </c:manualLayout>
      </c:layout>
    </c:title>
    <c:plotArea>
      <c:layout/>
      <c:lineChart>
        <c:grouping val="standard"/>
        <c:ser>
          <c:idx val="0"/>
          <c:order val="0"/>
          <c:tx>
            <c:strRef>
              <c:f>'[BIE_BIE20160306192905 (version 1).xls]Página 1'!$J$3</c:f>
              <c:strCache>
                <c:ptCount val="1"/>
                <c:pt idx="0">
                  <c:v>Act. Terciarias</c:v>
                </c:pt>
              </c:strCache>
            </c:strRef>
          </c:tx>
          <c:spPr>
            <a:ln>
              <a:solidFill>
                <a:schemeClr val="accent6"/>
              </a:solidFill>
            </a:ln>
          </c:spPr>
          <c:marker>
            <c:spPr>
              <a:solidFill>
                <a:schemeClr val="accent6"/>
              </a:solidFill>
              <a:ln>
                <a:noFill/>
              </a:ln>
            </c:spPr>
          </c:marker>
          <c:dPt>
            <c:idx val="10"/>
            <c:spPr>
              <a:ln>
                <a:solidFill>
                  <a:schemeClr val="accent6"/>
                </a:solidFill>
                <a:prstDash val="sysDash"/>
              </a:ln>
            </c:spPr>
          </c:dPt>
          <c:dLbls>
            <c:dLbl>
              <c:idx val="4"/>
              <c:layout>
                <c:manualLayout>
                  <c:x val="-7.0949501665366149E-2"/>
                  <c:y val="3.7318279026613783E-2"/>
                </c:manualLayout>
              </c:layout>
              <c:dLblPos val="r"/>
              <c:showVal val="1"/>
              <c:extLst>
                <c:ext xmlns:c15="http://schemas.microsoft.com/office/drawing/2012/chart" uri="{CE6537A1-D6FC-4f65-9D91-7224C49458BB}">
                  <c15:layout/>
                </c:ext>
              </c:extLst>
            </c:dLbl>
            <c:dLbl>
              <c:idx val="6"/>
              <c:layout>
                <c:manualLayout>
                  <c:x val="-5.9788257822159116E-2"/>
                  <c:y val="3.6873342872310845E-2"/>
                </c:manualLayout>
              </c:layout>
              <c:dLblPos val="r"/>
              <c:showVal val="1"/>
              <c:extLst>
                <c:ext xmlns:c15="http://schemas.microsoft.com/office/drawing/2012/chart" uri="{CE6537A1-D6FC-4f65-9D91-7224C49458BB}">
                  <c15:layout/>
                </c:ext>
              </c:extLst>
            </c:dLbl>
            <c:dLbl>
              <c:idx val="10"/>
              <c:layout>
                <c:manualLayout>
                  <c:x val="-9.4080161398375566E-4"/>
                  <c:y val="-5.0431624058063014E-2"/>
                </c:manualLayout>
              </c:layout>
              <c:dLblPos val="r"/>
              <c:showVal val="1"/>
              <c:extLst>
                <c:ext xmlns:c15="http://schemas.microsoft.com/office/drawing/2012/chart" uri="{CE6537A1-D6FC-4f65-9D91-7224C49458BB}">
                  <c15:layout/>
                </c:ext>
              </c:extLst>
            </c:dLbl>
            <c:numFmt formatCode="0.00%" sourceLinked="0"/>
            <c:spPr>
              <a:noFill/>
              <a:ln>
                <a:noFill/>
              </a:ln>
              <a:effectLst/>
            </c:spPr>
            <c:txPr>
              <a:bodyPr/>
              <a:lstStyle/>
              <a:p>
                <a:pPr>
                  <a:defRPr>
                    <a:solidFill>
                      <a:schemeClr val="accent6"/>
                    </a:solidFill>
                  </a:defRPr>
                </a:pPr>
                <a:endParaRPr lang="es-MX"/>
              </a:p>
            </c:txPr>
            <c:dLblPos val="t"/>
            <c:showVal val="1"/>
            <c:extLst>
              <c:ext xmlns:c15="http://schemas.microsoft.com/office/drawing/2012/chart" uri="{CE6537A1-D6FC-4f65-9D91-7224C49458BB}">
                <c15:layout/>
                <c15:showLeaderLines val="0"/>
              </c:ext>
            </c:extLst>
          </c:dLbls>
          <c:cat>
            <c:numRef>
              <c:f>'[BIE_BIE20160306192905 (version 1).xls]Página 1'!$F$4:$F$14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'[BIE_BIE20160306192905 (version 1).xls]Página 1'!$J$4:$J$14</c:f>
              <c:numCache>
                <c:formatCode>0.00%</c:formatCode>
                <c:ptCount val="11"/>
                <c:pt idx="1">
                  <c:v>2.8047020960597181E-2</c:v>
                </c:pt>
                <c:pt idx="2">
                  <c:v>2.2977160730563828E-2</c:v>
                </c:pt>
                <c:pt idx="3">
                  <c:v>1.5801258833623349E-2</c:v>
                </c:pt>
                <c:pt idx="4">
                  <c:v>-2.0206807189769013E-2</c:v>
                </c:pt>
                <c:pt idx="5">
                  <c:v>3.7003495842590592E-2</c:v>
                </c:pt>
                <c:pt idx="6">
                  <c:v>1.7262056298630452E-2</c:v>
                </c:pt>
                <c:pt idx="7">
                  <c:v>1.7205204209491995E-2</c:v>
                </c:pt>
                <c:pt idx="8">
                  <c:v>1.7289874144023203E-2</c:v>
                </c:pt>
                <c:pt idx="9">
                  <c:v>7.8710524145372603E-3</c:v>
                </c:pt>
                <c:pt idx="10">
                  <c:v>2.89221494608E-2</c:v>
                </c:pt>
              </c:numCache>
            </c:numRef>
          </c:val>
        </c:ser>
        <c:marker val="1"/>
        <c:axId val="113608960"/>
        <c:axId val="113618944"/>
      </c:lineChart>
      <c:catAx>
        <c:axId val="113608960"/>
        <c:scaling>
          <c:orientation val="minMax"/>
        </c:scaling>
        <c:axPos val="b"/>
        <c:numFmt formatCode="General" sourceLinked="1"/>
        <c:tickLblPos val="low"/>
        <c:crossAx val="113618944"/>
        <c:crosses val="autoZero"/>
        <c:auto val="1"/>
        <c:lblAlgn val="ctr"/>
        <c:lblOffset val="100"/>
      </c:catAx>
      <c:valAx>
        <c:axId val="113618944"/>
        <c:scaling>
          <c:orientation val="minMax"/>
        </c:scaling>
        <c:axPos val="l"/>
        <c:majorGridlines>
          <c:spPr>
            <a:ln>
              <a:noFill/>
            </a:ln>
          </c:spPr>
        </c:majorGridlines>
        <c:numFmt formatCode="0%" sourceLinked="0"/>
        <c:tickLblPos val="nextTo"/>
        <c:crossAx val="113608960"/>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Narrow" pitchFamily="34" charset="0"/>
                <a:ea typeface="+mn-ea"/>
                <a:cs typeface="+mn-cs"/>
              </a:defRPr>
            </a:pPr>
            <a:r>
              <a:rPr lang="es-MX" sz="1200" b="1" i="0" baseline="0">
                <a:effectLst/>
                <a:latin typeface="Arial Narrow" pitchFamily="34" charset="0"/>
              </a:rPr>
              <a:t>ESTADO DE OAXACA: </a:t>
            </a:r>
            <a:endParaRPr lang="es-MX" sz="1200">
              <a:effectLst/>
              <a:latin typeface="Arial Narrow"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Narrow" pitchFamily="34" charset="0"/>
                <a:ea typeface="+mn-ea"/>
                <a:cs typeface="+mn-cs"/>
              </a:defRPr>
            </a:pPr>
            <a:r>
              <a:rPr lang="es-MX" sz="1200" b="1" i="0" baseline="0">
                <a:effectLst/>
                <a:latin typeface="Arial Narrow" pitchFamily="34" charset="0"/>
              </a:rPr>
              <a:t>PEA Y POBLACIÓN OCUPADA (2005-2015)</a:t>
            </a:r>
            <a:endParaRPr lang="es-MX" sz="1200">
              <a:effectLst/>
              <a:latin typeface="Arial Narrow" pitchFamily="34" charset="0"/>
            </a:endParaRPr>
          </a:p>
        </c:rich>
      </c:tx>
      <c:layout>
        <c:manualLayout>
          <c:xMode val="edge"/>
          <c:yMode val="edge"/>
          <c:x val="0.24118744531933581"/>
          <c:y val="0"/>
        </c:manualLayout>
      </c:layout>
      <c:overlay val="1"/>
    </c:title>
    <c:plotArea>
      <c:layout>
        <c:manualLayout>
          <c:layoutTarget val="inner"/>
          <c:xMode val="edge"/>
          <c:yMode val="edge"/>
          <c:x val="5.0710848643919497E-2"/>
          <c:y val="0.17969787949168226"/>
          <c:w val="0.91873359580052449"/>
          <c:h val="0.70432221152212093"/>
        </c:manualLayout>
      </c:layout>
      <c:barChart>
        <c:barDir val="col"/>
        <c:grouping val="clustered"/>
        <c:ser>
          <c:idx val="0"/>
          <c:order val="0"/>
          <c:tx>
            <c:strRef>
              <c:f>Hoja1!$A$4</c:f>
              <c:strCache>
                <c:ptCount val="1"/>
                <c:pt idx="0">
                  <c:v>Población económicamente activa</c:v>
                </c:pt>
              </c:strCache>
            </c:strRef>
          </c:tx>
          <c:dLbls>
            <c:spPr>
              <a:noFill/>
              <a:ln>
                <a:noFill/>
              </a:ln>
              <a:effectLst/>
            </c:spPr>
            <c:txPr>
              <a:bodyPr rot="-5400000" vert="horz"/>
              <a:lstStyle/>
              <a:p>
                <a:pPr>
                  <a:defRPr sz="800">
                    <a:solidFill>
                      <a:schemeClr val="bg1"/>
                    </a:solidFill>
                  </a:defRPr>
                </a:pPr>
                <a:endParaRPr lang="es-MX"/>
              </a:p>
            </c:txPr>
            <c:dLblPos val="inEnd"/>
            <c:showVal val="1"/>
            <c:extLst>
              <c:ext xmlns:c15="http://schemas.microsoft.com/office/drawing/2012/chart" uri="{CE6537A1-D6FC-4f65-9D91-7224C49458BB}">
                <c15:layout/>
                <c15:showLeaderLines val="0"/>
              </c:ext>
            </c:extLst>
          </c:dLbls>
          <c:cat>
            <c:numRef>
              <c:f>Hoja1!$B$1:$L$1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Hoja1!$B$4:$L$4</c:f>
              <c:numCache>
                <c:formatCode>#,##0</c:formatCode>
                <c:ptCount val="11"/>
                <c:pt idx="0">
                  <c:v>1489134</c:v>
                </c:pt>
                <c:pt idx="1">
                  <c:v>1456334</c:v>
                </c:pt>
                <c:pt idx="2">
                  <c:v>1496156</c:v>
                </c:pt>
                <c:pt idx="3">
                  <c:v>1488131</c:v>
                </c:pt>
                <c:pt idx="4">
                  <c:v>1562001</c:v>
                </c:pt>
                <c:pt idx="5">
                  <c:v>1616349</c:v>
                </c:pt>
                <c:pt idx="6">
                  <c:v>1617037</c:v>
                </c:pt>
                <c:pt idx="7">
                  <c:v>1657432</c:v>
                </c:pt>
                <c:pt idx="8">
                  <c:v>1591270</c:v>
                </c:pt>
                <c:pt idx="9">
                  <c:v>1646346</c:v>
                </c:pt>
                <c:pt idx="10">
                  <c:v>1711751</c:v>
                </c:pt>
              </c:numCache>
            </c:numRef>
          </c:val>
        </c:ser>
        <c:ser>
          <c:idx val="1"/>
          <c:order val="1"/>
          <c:tx>
            <c:strRef>
              <c:f>Hoja1!$A$5</c:f>
              <c:strCache>
                <c:ptCount val="1"/>
                <c:pt idx="0">
                  <c:v>Población ocupada</c:v>
                </c:pt>
              </c:strCache>
            </c:strRef>
          </c:tx>
          <c:dLbls>
            <c:spPr>
              <a:noFill/>
              <a:ln>
                <a:noFill/>
              </a:ln>
              <a:effectLst/>
            </c:spPr>
            <c:txPr>
              <a:bodyPr rot="-5400000" vert="horz"/>
              <a:lstStyle/>
              <a:p>
                <a:pPr>
                  <a:defRPr sz="800">
                    <a:solidFill>
                      <a:schemeClr val="bg1"/>
                    </a:solidFill>
                  </a:defRPr>
                </a:pPr>
                <a:endParaRPr lang="es-MX"/>
              </a:p>
            </c:txPr>
            <c:dLblPos val="inEnd"/>
            <c:showVal val="1"/>
            <c:extLst>
              <c:ext xmlns:c15="http://schemas.microsoft.com/office/drawing/2012/chart" uri="{CE6537A1-D6FC-4f65-9D91-7224C49458BB}">
                <c15:layout/>
                <c15:showLeaderLines val="0"/>
              </c:ext>
            </c:extLst>
          </c:dLbls>
          <c:cat>
            <c:numRef>
              <c:f>Hoja1!$B$1:$L$1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Hoja1!$B$5:$L$5</c:f>
              <c:numCache>
                <c:formatCode>#,##0</c:formatCode>
                <c:ptCount val="11"/>
                <c:pt idx="0">
                  <c:v>1466328</c:v>
                </c:pt>
                <c:pt idx="1">
                  <c:v>1432050</c:v>
                </c:pt>
                <c:pt idx="2">
                  <c:v>1472055</c:v>
                </c:pt>
                <c:pt idx="3">
                  <c:v>1459755</c:v>
                </c:pt>
                <c:pt idx="4">
                  <c:v>1526505</c:v>
                </c:pt>
                <c:pt idx="5">
                  <c:v>1582498</c:v>
                </c:pt>
                <c:pt idx="6">
                  <c:v>1572960</c:v>
                </c:pt>
                <c:pt idx="7">
                  <c:v>1617581</c:v>
                </c:pt>
                <c:pt idx="8">
                  <c:v>1549234</c:v>
                </c:pt>
                <c:pt idx="9">
                  <c:v>1603434</c:v>
                </c:pt>
                <c:pt idx="10">
                  <c:v>1665531</c:v>
                </c:pt>
              </c:numCache>
            </c:numRef>
          </c:val>
        </c:ser>
        <c:axId val="113640960"/>
        <c:axId val="113642496"/>
      </c:barChart>
      <c:catAx>
        <c:axId val="113640960"/>
        <c:scaling>
          <c:orientation val="minMax"/>
        </c:scaling>
        <c:axPos val="b"/>
        <c:numFmt formatCode="General" sourceLinked="1"/>
        <c:tickLblPos val="nextTo"/>
        <c:crossAx val="113642496"/>
        <c:crosses val="autoZero"/>
        <c:auto val="1"/>
        <c:lblAlgn val="ctr"/>
        <c:lblOffset val="100"/>
      </c:catAx>
      <c:valAx>
        <c:axId val="113642496"/>
        <c:scaling>
          <c:orientation val="minMax"/>
        </c:scaling>
        <c:delete val="1"/>
        <c:axPos val="l"/>
        <c:majorGridlines>
          <c:spPr>
            <a:ln>
              <a:noFill/>
            </a:ln>
          </c:spPr>
        </c:majorGridlines>
        <c:numFmt formatCode="#,##0" sourceLinked="1"/>
        <c:tickLblPos val="none"/>
        <c:crossAx val="113640960"/>
        <c:crosses val="autoZero"/>
        <c:crossBetween val="between"/>
      </c:valAx>
    </c:plotArea>
    <c:legend>
      <c:legendPos val="t"/>
      <c:layout>
        <c:manualLayout>
          <c:xMode val="edge"/>
          <c:yMode val="edge"/>
          <c:x val="3.0944225721784811E-2"/>
          <c:y val="0.12516663834286901"/>
          <c:w val="0.92144466316710461"/>
          <c:h val="8.3717191601050026E-2"/>
        </c:manualLayout>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a:latin typeface="Arial Narrow" pitchFamily="34" charset="0"/>
              </a:defRPr>
            </a:pPr>
            <a:r>
              <a:rPr lang="es-MX" sz="1200" i="1">
                <a:latin typeface="Arial Narrow" pitchFamily="34" charset="0"/>
              </a:rPr>
              <a:t>RANKING</a:t>
            </a:r>
            <a:r>
              <a:rPr lang="es-MX" sz="1200">
                <a:latin typeface="Arial Narrow" pitchFamily="34" charset="0"/>
              </a:rPr>
              <a:t> NACIONAL POR ÍNDICE DE DESOCUPACIÓN </a:t>
            </a:r>
          </a:p>
          <a:p>
            <a:pPr>
              <a:defRPr sz="1200">
                <a:latin typeface="Arial Narrow" pitchFamily="34" charset="0"/>
              </a:defRPr>
            </a:pPr>
            <a:r>
              <a:rPr lang="es-MX" sz="1200">
                <a:latin typeface="Arial Narrow" pitchFamily="34" charset="0"/>
              </a:rPr>
              <a:t>(IV</a:t>
            </a:r>
            <a:r>
              <a:rPr lang="es-MX" sz="1200" baseline="0">
                <a:latin typeface="Arial Narrow" pitchFamily="34" charset="0"/>
              </a:rPr>
              <a:t> TRIMESTRE 2015)</a:t>
            </a:r>
            <a:endParaRPr lang="es-MX" sz="1200">
              <a:latin typeface="Arial Narrow" pitchFamily="34" charset="0"/>
            </a:endParaRPr>
          </a:p>
        </c:rich>
      </c:tx>
      <c:overlay val="1"/>
    </c:title>
    <c:plotArea>
      <c:layout>
        <c:manualLayout>
          <c:layoutTarget val="inner"/>
          <c:xMode val="edge"/>
          <c:yMode val="edge"/>
          <c:x val="3.0555555555555582E-2"/>
          <c:y val="0.1388888888888889"/>
          <c:w val="0.93888888888889155"/>
          <c:h val="0.53297681539807906"/>
        </c:manualLayout>
      </c:layout>
      <c:barChart>
        <c:barDir val="col"/>
        <c:grouping val="clustered"/>
        <c:ser>
          <c:idx val="0"/>
          <c:order val="0"/>
          <c:spPr>
            <a:solidFill>
              <a:schemeClr val="bg1">
                <a:lumMod val="75000"/>
              </a:schemeClr>
            </a:solidFill>
          </c:spPr>
          <c:dPt>
            <c:idx val="2"/>
            <c:spPr>
              <a:solidFill>
                <a:schemeClr val="accent1"/>
              </a:solidFill>
            </c:spPr>
          </c:dPt>
          <c:dPt>
            <c:idx val="19"/>
            <c:spPr>
              <a:solidFill>
                <a:schemeClr val="bg1">
                  <a:lumMod val="50000"/>
                </a:schemeClr>
              </a:solidFill>
            </c:spPr>
          </c:dPt>
          <c:dLbls>
            <c:dLbl>
              <c:idx val="2"/>
              <c:tx>
                <c:rich>
                  <a:bodyPr/>
                  <a:lstStyle/>
                  <a:p>
                    <a:pPr>
                      <a:defRPr>
                        <a:solidFill>
                          <a:schemeClr val="accent1"/>
                        </a:solidFill>
                      </a:defRPr>
                    </a:pPr>
                    <a:r>
                      <a:rPr lang="en-US">
                        <a:solidFill>
                          <a:schemeClr val="accent1"/>
                        </a:solidFill>
                      </a:rPr>
                      <a:t>2.7%</a:t>
                    </a:r>
                  </a:p>
                </c:rich>
              </c:tx>
              <c:spPr/>
              <c:showVal val="1"/>
              <c:extLst>
                <c:ext xmlns:c15="http://schemas.microsoft.com/office/drawing/2012/chart" uri="{CE6537A1-D6FC-4f65-9D91-7224C49458BB}">
                  <c15:layout/>
                </c:ext>
              </c:extLst>
            </c:dLbl>
            <c:dLbl>
              <c:idx val="19"/>
              <c:tx>
                <c:rich>
                  <a:bodyPr/>
                  <a:lstStyle/>
                  <a:p>
                    <a:pPr>
                      <a:defRPr>
                        <a:solidFill>
                          <a:schemeClr val="bg1">
                            <a:lumMod val="50000"/>
                          </a:schemeClr>
                        </a:solidFill>
                      </a:defRPr>
                    </a:pPr>
                    <a:r>
                      <a:rPr lang="en-US">
                        <a:solidFill>
                          <a:schemeClr val="bg1">
                            <a:lumMod val="50000"/>
                          </a:schemeClr>
                        </a:solidFill>
                      </a:rPr>
                      <a:t>4.2%</a:t>
                    </a:r>
                  </a:p>
                </c:rich>
              </c:tx>
              <c:spPr/>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cat>
            <c:strRef>
              <c:f>'Tasa de desocupación'!$A$2:$A$34</c:f>
              <c:strCache>
                <c:ptCount val="33"/>
                <c:pt idx="0">
                  <c:v>Guerrero</c:v>
                </c:pt>
                <c:pt idx="1">
                  <c:v>Yucatan</c:v>
                </c:pt>
                <c:pt idx="2">
                  <c:v>Oaxaca</c:v>
                </c:pt>
                <c:pt idx="3">
                  <c:v>San Luís Potosí</c:v>
                </c:pt>
                <c:pt idx="4">
                  <c:v>Campeche</c:v>
                </c:pt>
                <c:pt idx="5">
                  <c:v>Puebla</c:v>
                </c:pt>
                <c:pt idx="6">
                  <c:v>Michoacán</c:v>
                </c:pt>
                <c:pt idx="7">
                  <c:v>Morelos</c:v>
                </c:pt>
                <c:pt idx="8">
                  <c:v>Hidalgo</c:v>
                </c:pt>
                <c:pt idx="9">
                  <c:v>Chiapas</c:v>
                </c:pt>
                <c:pt idx="10">
                  <c:v>Chihuahua</c:v>
                </c:pt>
                <c:pt idx="11">
                  <c:v>Quintana Roo</c:v>
                </c:pt>
                <c:pt idx="12">
                  <c:v>Baja California</c:v>
                </c:pt>
                <c:pt idx="13">
                  <c:v>Durango</c:v>
                </c:pt>
                <c:pt idx="14">
                  <c:v>Zacatecas</c:v>
                </c:pt>
                <c:pt idx="15">
                  <c:v>Nuevo León</c:v>
                </c:pt>
                <c:pt idx="16">
                  <c:v>Aguascalientes</c:v>
                </c:pt>
                <c:pt idx="17">
                  <c:v>Veracruz</c:v>
                </c:pt>
                <c:pt idx="18">
                  <c:v>Sinaloa</c:v>
                </c:pt>
                <c:pt idx="19">
                  <c:v>Nacional</c:v>
                </c:pt>
                <c:pt idx="20">
                  <c:v>Baja California Sur</c:v>
                </c:pt>
                <c:pt idx="21">
                  <c:v>Coahuila</c:v>
                </c:pt>
                <c:pt idx="22">
                  <c:v>Colima</c:v>
                </c:pt>
                <c:pt idx="23">
                  <c:v>Jalisco</c:v>
                </c:pt>
                <c:pt idx="24">
                  <c:v>Tamaulipas</c:v>
                </c:pt>
                <c:pt idx="25">
                  <c:v>Guanajuato</c:v>
                </c:pt>
                <c:pt idx="26">
                  <c:v>Nayarit</c:v>
                </c:pt>
                <c:pt idx="27">
                  <c:v>Querétaro</c:v>
                </c:pt>
                <c:pt idx="28">
                  <c:v>Sonora</c:v>
                </c:pt>
                <c:pt idx="29">
                  <c:v>Tlaxcala</c:v>
                </c:pt>
                <c:pt idx="30">
                  <c:v>Distrito Federal</c:v>
                </c:pt>
                <c:pt idx="31">
                  <c:v>Estado de México</c:v>
                </c:pt>
                <c:pt idx="32">
                  <c:v>Tabasco</c:v>
                </c:pt>
              </c:strCache>
            </c:strRef>
          </c:cat>
          <c:val>
            <c:numRef>
              <c:f>'Tasa de desocupación'!$B$2:$B$34</c:f>
              <c:numCache>
                <c:formatCode>General</c:formatCode>
                <c:ptCount val="33"/>
                <c:pt idx="0">
                  <c:v>2.1</c:v>
                </c:pt>
                <c:pt idx="1">
                  <c:v>2.6</c:v>
                </c:pt>
                <c:pt idx="2">
                  <c:v>2.7</c:v>
                </c:pt>
                <c:pt idx="3">
                  <c:v>2.7</c:v>
                </c:pt>
                <c:pt idx="4" formatCode="0.0">
                  <c:v>3</c:v>
                </c:pt>
                <c:pt idx="5" formatCode="0.0">
                  <c:v>3</c:v>
                </c:pt>
                <c:pt idx="6">
                  <c:v>3.1</c:v>
                </c:pt>
                <c:pt idx="7">
                  <c:v>3.2</c:v>
                </c:pt>
                <c:pt idx="8">
                  <c:v>3.2</c:v>
                </c:pt>
                <c:pt idx="9">
                  <c:v>3.3</c:v>
                </c:pt>
                <c:pt idx="10">
                  <c:v>3.4</c:v>
                </c:pt>
                <c:pt idx="11">
                  <c:v>3.7</c:v>
                </c:pt>
                <c:pt idx="12">
                  <c:v>3.7</c:v>
                </c:pt>
                <c:pt idx="13">
                  <c:v>3.9</c:v>
                </c:pt>
                <c:pt idx="14">
                  <c:v>3.9</c:v>
                </c:pt>
                <c:pt idx="15" formatCode="0.0">
                  <c:v>4</c:v>
                </c:pt>
                <c:pt idx="16">
                  <c:v>4.0999999999999996</c:v>
                </c:pt>
                <c:pt idx="17">
                  <c:v>4.0999999999999996</c:v>
                </c:pt>
                <c:pt idx="18">
                  <c:v>4.0999999999999996</c:v>
                </c:pt>
                <c:pt idx="19">
                  <c:v>4.2</c:v>
                </c:pt>
                <c:pt idx="20">
                  <c:v>4.2</c:v>
                </c:pt>
                <c:pt idx="21">
                  <c:v>4.2</c:v>
                </c:pt>
                <c:pt idx="22">
                  <c:v>4.3</c:v>
                </c:pt>
                <c:pt idx="23">
                  <c:v>4.3</c:v>
                </c:pt>
                <c:pt idx="24">
                  <c:v>4.3</c:v>
                </c:pt>
                <c:pt idx="25">
                  <c:v>4.5</c:v>
                </c:pt>
                <c:pt idx="26">
                  <c:v>4.5</c:v>
                </c:pt>
                <c:pt idx="27">
                  <c:v>4.5999999999999996</c:v>
                </c:pt>
                <c:pt idx="28">
                  <c:v>4.5999999999999996</c:v>
                </c:pt>
                <c:pt idx="29">
                  <c:v>5.0999999999999996</c:v>
                </c:pt>
                <c:pt idx="30">
                  <c:v>5.2</c:v>
                </c:pt>
                <c:pt idx="31">
                  <c:v>5.5</c:v>
                </c:pt>
                <c:pt idx="32">
                  <c:v>7.5</c:v>
                </c:pt>
              </c:numCache>
            </c:numRef>
          </c:val>
        </c:ser>
        <c:axId val="113677056"/>
        <c:axId val="113678592"/>
      </c:barChart>
      <c:catAx>
        <c:axId val="113677056"/>
        <c:scaling>
          <c:orientation val="minMax"/>
        </c:scaling>
        <c:axPos val="b"/>
        <c:numFmt formatCode="General" sourceLinked="0"/>
        <c:tickLblPos val="nextTo"/>
        <c:txPr>
          <a:bodyPr/>
          <a:lstStyle/>
          <a:p>
            <a:pPr>
              <a:defRPr sz="800"/>
            </a:pPr>
            <a:endParaRPr lang="es-MX"/>
          </a:p>
        </c:txPr>
        <c:crossAx val="113678592"/>
        <c:crosses val="autoZero"/>
        <c:auto val="1"/>
        <c:lblAlgn val="ctr"/>
        <c:lblOffset val="100"/>
      </c:catAx>
      <c:valAx>
        <c:axId val="113678592"/>
        <c:scaling>
          <c:orientation val="minMax"/>
        </c:scaling>
        <c:delete val="1"/>
        <c:axPos val="l"/>
        <c:numFmt formatCode="General" sourceLinked="1"/>
        <c:tickLblPos val="none"/>
        <c:crossAx val="113677056"/>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a:latin typeface="Arial Narrow" pitchFamily="34" charset="0"/>
              </a:defRPr>
            </a:pPr>
            <a:r>
              <a:rPr lang="es-MX" sz="1200" b="1" i="0" u="none" strike="noStrike" baseline="0">
                <a:effectLst/>
                <a:latin typeface="Arial Narrow" pitchFamily="34" charset="0"/>
              </a:rPr>
              <a:t>ESTADO DE OAXACA: </a:t>
            </a:r>
          </a:p>
          <a:p>
            <a:pPr>
              <a:defRPr sz="1200">
                <a:latin typeface="Arial Narrow" pitchFamily="34" charset="0"/>
              </a:defRPr>
            </a:pPr>
            <a:r>
              <a:rPr lang="es-MX" sz="1200" b="1" i="0" u="none" strike="noStrike" baseline="0">
                <a:effectLst/>
                <a:latin typeface="Arial Narrow" pitchFamily="34" charset="0"/>
              </a:rPr>
              <a:t>POBLACIÓN OCUPADA POR TIPO DE ACTIVIDAD (2005-2015)</a:t>
            </a:r>
            <a:endParaRPr lang="es-MX" sz="1200">
              <a:latin typeface="Arial Narrow" pitchFamily="34" charset="0"/>
            </a:endParaRPr>
          </a:p>
        </c:rich>
      </c:tx>
      <c:layout>
        <c:manualLayout>
          <c:xMode val="edge"/>
          <c:yMode val="edge"/>
          <c:x val="0.15401424284330201"/>
          <c:y val="0"/>
        </c:manualLayout>
      </c:layout>
    </c:title>
    <c:plotArea>
      <c:layout>
        <c:manualLayout>
          <c:layoutTarget val="inner"/>
          <c:xMode val="edge"/>
          <c:yMode val="edge"/>
          <c:x val="0.11634615565527427"/>
          <c:y val="0.23230769230769241"/>
          <c:w val="0.81674822905201361"/>
          <c:h val="0.5829527559055091"/>
        </c:manualLayout>
      </c:layout>
      <c:lineChart>
        <c:grouping val="standard"/>
        <c:ser>
          <c:idx val="0"/>
          <c:order val="0"/>
          <c:tx>
            <c:strRef>
              <c:f>'OAXACA prim sec terc'!$A$4</c:f>
              <c:strCache>
                <c:ptCount val="1"/>
                <c:pt idx="0">
                  <c:v>Act. Primarias</c:v>
                </c:pt>
              </c:strCache>
            </c:strRef>
          </c:tx>
          <c:marker>
            <c:symbol val="none"/>
          </c:marker>
          <c:dLbls>
            <c:dLbl>
              <c:idx val="10"/>
              <c:showVal val="1"/>
              <c:extLst>
                <c:ext xmlns:c15="http://schemas.microsoft.com/office/drawing/2012/chart" uri="{CE6537A1-D6FC-4f65-9D91-7224C49458BB}">
                  <c15:layout/>
                </c:ext>
              </c:extLst>
            </c:dLbl>
            <c:delete val="1"/>
            <c:spPr>
              <a:noFill/>
              <a:ln>
                <a:noFill/>
              </a:ln>
              <a:effectLst/>
            </c:spPr>
            <c:txPr>
              <a:bodyPr/>
              <a:lstStyle/>
              <a:p>
                <a:pPr>
                  <a:defRPr>
                    <a:solidFill>
                      <a:schemeClr val="accent1"/>
                    </a:solidFill>
                  </a:defRPr>
                </a:pPr>
                <a:endParaRPr lang="es-MX"/>
              </a:p>
            </c:txPr>
            <c:extLst>
              <c:ext xmlns:c15="http://schemas.microsoft.com/office/drawing/2012/chart" uri="{CE6537A1-D6FC-4f65-9D91-7224C49458BB}">
                <c15:showLeaderLines val="0"/>
              </c:ext>
            </c:extLst>
          </c:dLbls>
          <c:cat>
            <c:numRef>
              <c:f>'OAXACA prim sec terc'!$B$3:$L$3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'OAXACA prim sec terc'!$B$4:$L$4</c:f>
              <c:numCache>
                <c:formatCode>#,##0</c:formatCode>
                <c:ptCount val="11"/>
                <c:pt idx="0">
                  <c:v>514032</c:v>
                </c:pt>
                <c:pt idx="1">
                  <c:v>501169</c:v>
                </c:pt>
                <c:pt idx="2">
                  <c:v>509164</c:v>
                </c:pt>
                <c:pt idx="3">
                  <c:v>444702</c:v>
                </c:pt>
                <c:pt idx="4">
                  <c:v>509775</c:v>
                </c:pt>
                <c:pt idx="5">
                  <c:v>495324</c:v>
                </c:pt>
                <c:pt idx="6">
                  <c:v>528573</c:v>
                </c:pt>
                <c:pt idx="7">
                  <c:v>479407</c:v>
                </c:pt>
                <c:pt idx="8">
                  <c:v>453034</c:v>
                </c:pt>
                <c:pt idx="9">
                  <c:v>520498</c:v>
                </c:pt>
                <c:pt idx="10">
                  <c:v>548476</c:v>
                </c:pt>
              </c:numCache>
            </c:numRef>
          </c:val>
        </c:ser>
        <c:ser>
          <c:idx val="1"/>
          <c:order val="1"/>
          <c:tx>
            <c:strRef>
              <c:f>'OAXACA prim sec terc'!$A$5</c:f>
              <c:strCache>
                <c:ptCount val="1"/>
                <c:pt idx="0">
                  <c:v>Act. Secundarias</c:v>
                </c:pt>
              </c:strCache>
            </c:strRef>
          </c:tx>
          <c:marker>
            <c:symbol val="none"/>
          </c:marker>
          <c:dLbls>
            <c:dLbl>
              <c:idx val="10"/>
              <c:showVal val="1"/>
              <c:extLst>
                <c:ext xmlns:c15="http://schemas.microsoft.com/office/drawing/2012/chart" uri="{CE6537A1-D6FC-4f65-9D91-7224C49458BB}">
                  <c15:layout/>
                </c:ext>
              </c:extLst>
            </c:dLbl>
            <c:delete val="1"/>
            <c:spPr>
              <a:noFill/>
              <a:ln>
                <a:noFill/>
              </a:ln>
              <a:effectLst/>
            </c:spPr>
            <c:txPr>
              <a:bodyPr/>
              <a:lstStyle/>
              <a:p>
                <a:pPr>
                  <a:defRPr>
                    <a:solidFill>
                      <a:schemeClr val="accent2"/>
                    </a:solidFill>
                  </a:defRPr>
                </a:pPr>
                <a:endParaRPr lang="es-MX"/>
              </a:p>
            </c:txPr>
            <c:extLst>
              <c:ext xmlns:c15="http://schemas.microsoft.com/office/drawing/2012/chart" uri="{CE6537A1-D6FC-4f65-9D91-7224C49458BB}">
                <c15:showLeaderLines val="0"/>
              </c:ext>
            </c:extLst>
          </c:dLbls>
          <c:cat>
            <c:numRef>
              <c:f>'OAXACA prim sec terc'!$B$3:$L$3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'OAXACA prim sec terc'!$B$5:$L$5</c:f>
              <c:numCache>
                <c:formatCode>#,##0</c:formatCode>
                <c:ptCount val="11"/>
                <c:pt idx="0">
                  <c:v>305401</c:v>
                </c:pt>
                <c:pt idx="1">
                  <c:v>274811</c:v>
                </c:pt>
                <c:pt idx="2">
                  <c:v>287282</c:v>
                </c:pt>
                <c:pt idx="3">
                  <c:v>300320</c:v>
                </c:pt>
                <c:pt idx="4">
                  <c:v>311562</c:v>
                </c:pt>
                <c:pt idx="5">
                  <c:v>317503</c:v>
                </c:pt>
                <c:pt idx="6">
                  <c:v>290726</c:v>
                </c:pt>
                <c:pt idx="7">
                  <c:v>308224</c:v>
                </c:pt>
                <c:pt idx="8">
                  <c:v>309448</c:v>
                </c:pt>
                <c:pt idx="9">
                  <c:v>302471</c:v>
                </c:pt>
                <c:pt idx="10">
                  <c:v>313498</c:v>
                </c:pt>
              </c:numCache>
            </c:numRef>
          </c:val>
        </c:ser>
        <c:ser>
          <c:idx val="2"/>
          <c:order val="2"/>
          <c:tx>
            <c:strRef>
              <c:f>'OAXACA prim sec terc'!$A$6</c:f>
              <c:strCache>
                <c:ptCount val="1"/>
                <c:pt idx="0">
                  <c:v>Act. Terciarias</c:v>
                </c:pt>
              </c:strCache>
            </c:strRef>
          </c:tx>
          <c:marker>
            <c:symbol val="none"/>
          </c:marker>
          <c:dLbls>
            <c:dLbl>
              <c:idx val="10"/>
              <c:showVal val="1"/>
              <c:extLst>
                <c:ext xmlns:c15="http://schemas.microsoft.com/office/drawing/2012/chart" uri="{CE6537A1-D6FC-4f65-9D91-7224C49458BB}">
                  <c15:layout/>
                </c:ext>
              </c:extLst>
            </c:dLbl>
            <c:delete val="1"/>
            <c:spPr>
              <a:noFill/>
              <a:ln>
                <a:noFill/>
              </a:ln>
              <a:effectLst/>
            </c:spPr>
            <c:txPr>
              <a:bodyPr/>
              <a:lstStyle/>
              <a:p>
                <a:pPr>
                  <a:defRPr>
                    <a:solidFill>
                      <a:schemeClr val="accent3"/>
                    </a:solidFill>
                  </a:defRPr>
                </a:pPr>
                <a:endParaRPr lang="es-MX"/>
              </a:p>
            </c:txPr>
            <c:extLst>
              <c:ext xmlns:c15="http://schemas.microsoft.com/office/drawing/2012/chart" uri="{CE6537A1-D6FC-4f65-9D91-7224C49458BB}">
                <c15:showLeaderLines val="0"/>
              </c:ext>
            </c:extLst>
          </c:dLbls>
          <c:cat>
            <c:numRef>
              <c:f>'OAXACA prim sec terc'!$B$3:$L$3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'OAXACA prim sec terc'!$B$6:$L$6</c:f>
              <c:numCache>
                <c:formatCode>#,##0</c:formatCode>
                <c:ptCount val="11"/>
                <c:pt idx="0">
                  <c:v>644465</c:v>
                </c:pt>
                <c:pt idx="1">
                  <c:v>651674</c:v>
                </c:pt>
                <c:pt idx="2">
                  <c:v>672278</c:v>
                </c:pt>
                <c:pt idx="3">
                  <c:v>712539</c:v>
                </c:pt>
                <c:pt idx="4">
                  <c:v>701744</c:v>
                </c:pt>
                <c:pt idx="5">
                  <c:v>764330</c:v>
                </c:pt>
                <c:pt idx="6">
                  <c:v>752361</c:v>
                </c:pt>
                <c:pt idx="7">
                  <c:v>826496</c:v>
                </c:pt>
                <c:pt idx="8">
                  <c:v>782259</c:v>
                </c:pt>
                <c:pt idx="9">
                  <c:v>775859</c:v>
                </c:pt>
                <c:pt idx="10">
                  <c:v>798438</c:v>
                </c:pt>
              </c:numCache>
            </c:numRef>
          </c:val>
        </c:ser>
        <c:marker val="1"/>
        <c:axId val="113865088"/>
        <c:axId val="113866624"/>
      </c:lineChart>
      <c:catAx>
        <c:axId val="113865088"/>
        <c:scaling>
          <c:orientation val="minMax"/>
        </c:scaling>
        <c:axPos val="b"/>
        <c:numFmt formatCode="General" sourceLinked="1"/>
        <c:tickLblPos val="nextTo"/>
        <c:crossAx val="113866624"/>
        <c:crosses val="autoZero"/>
        <c:auto val="1"/>
        <c:lblAlgn val="ctr"/>
        <c:lblOffset val="100"/>
      </c:catAx>
      <c:valAx>
        <c:axId val="113866624"/>
        <c:scaling>
          <c:orientation val="minMax"/>
        </c:scaling>
        <c:axPos val="l"/>
        <c:majorGridlines>
          <c:spPr>
            <a:ln>
              <a:noFill/>
            </a:ln>
          </c:spPr>
        </c:majorGridlines>
        <c:numFmt formatCode="#,##0" sourceLinked="1"/>
        <c:tickLblPos val="nextTo"/>
        <c:crossAx val="113865088"/>
        <c:crosses val="autoZero"/>
        <c:crossBetween val="between"/>
      </c:valAx>
    </c:plotArea>
    <c:legend>
      <c:legendPos val="t"/>
      <c:layout>
        <c:manualLayout>
          <c:xMode val="edge"/>
          <c:yMode val="edge"/>
          <c:x val="1.1768125758473826E-2"/>
          <c:y val="0.12620869506696294"/>
          <c:w val="0.96353549892284951"/>
          <c:h val="8.3717191601050026E-2"/>
        </c:manualLayout>
      </c:layout>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100">
                <a:latin typeface="Arial Narrow" pitchFamily="34" charset="0"/>
              </a:defRPr>
            </a:pPr>
            <a:r>
              <a:rPr lang="es-MX" sz="1100">
                <a:latin typeface="Arial Narrow" pitchFamily="34" charset="0"/>
              </a:rPr>
              <a:t>ESTADO DE OAXACA: PROMEDIO</a:t>
            </a:r>
            <a:r>
              <a:rPr lang="es-MX" sz="1100" baseline="0">
                <a:latin typeface="Arial Narrow" pitchFamily="34" charset="0"/>
              </a:rPr>
              <a:t> ANUAL DE TRABAJADORES ASEGURADOS EN EL IMSS (2005-2015)</a:t>
            </a:r>
            <a:endParaRPr lang="es-MX" sz="1100">
              <a:latin typeface="Arial Narrow" pitchFamily="34" charset="0"/>
            </a:endParaRPr>
          </a:p>
        </c:rich>
      </c:tx>
    </c:title>
    <c:plotArea>
      <c:layout>
        <c:manualLayout>
          <c:layoutTarget val="inner"/>
          <c:xMode val="edge"/>
          <c:yMode val="edge"/>
          <c:x val="3.0555555555555582E-2"/>
          <c:y val="0.16453703703703784"/>
          <c:w val="0.93888888888889155"/>
          <c:h val="0.67250801983085462"/>
        </c:manualLayout>
      </c:layout>
      <c:barChart>
        <c:barDir val="col"/>
        <c:grouping val="clustered"/>
        <c:ser>
          <c:idx val="0"/>
          <c:order val="0"/>
          <c:cat>
            <c:numRef>
              <c:f>'Asegurados IMSS'!$L$4:$L$14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'Asegurados IMSS'!$L$4:$L$14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val>
        </c:ser>
        <c:ser>
          <c:idx val="1"/>
          <c:order val="1"/>
          <c:spPr>
            <a:solidFill>
              <a:schemeClr val="accent1">
                <a:lumMod val="75000"/>
              </a:schemeClr>
            </a:solidFill>
          </c:spPr>
          <c:dLbls>
            <c:dLbl>
              <c:idx val="0"/>
              <c:tx>
                <c:rich>
                  <a:bodyPr/>
                  <a:lstStyle/>
                  <a:p>
                    <a:r>
                      <a:rPr lang="en-US">
                        <a:solidFill>
                          <a:schemeClr val="bg1"/>
                        </a:solidFill>
                      </a:rPr>
                      <a:t> 143,699</a:t>
                    </a:r>
                    <a:endParaRPr lang="en-US"/>
                  </a:p>
                </c:rich>
              </c:tx>
              <c:dLblPos val="inEnd"/>
              <c:showVal val="1"/>
              <c:extLst>
                <c:ext xmlns:c15="http://schemas.microsoft.com/office/drawing/2012/chart" uri="{CE6537A1-D6FC-4f65-9D91-7224C49458BB}">
                  <c15:layout/>
                </c:ext>
              </c:extLst>
            </c:dLbl>
            <c:spPr>
              <a:noFill/>
              <a:ln>
                <a:noFill/>
              </a:ln>
              <a:effectLst/>
            </c:spPr>
            <c:txPr>
              <a:bodyPr rot="-5400000" vert="horz"/>
              <a:lstStyle/>
              <a:p>
                <a:pPr>
                  <a:defRPr>
                    <a:solidFill>
                      <a:schemeClr val="bg1"/>
                    </a:solidFill>
                  </a:defRPr>
                </a:pPr>
                <a:endParaRPr lang="es-MX"/>
              </a:p>
            </c:txPr>
            <c:dLblPos val="inEnd"/>
            <c:showVal val="1"/>
            <c:extLst>
              <c:ext xmlns:c15="http://schemas.microsoft.com/office/drawing/2012/chart" uri="{CE6537A1-D6FC-4f65-9D91-7224C49458BB}">
                <c15:layout/>
                <c15:showLeaderLines val="0"/>
              </c:ext>
            </c:extLst>
          </c:dLbls>
          <c:cat>
            <c:numRef>
              <c:f>'Asegurados IMSS'!$L$4:$L$14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'Asegurados IMSS'!$M$4:$M$14</c:f>
              <c:numCache>
                <c:formatCode>#,##0</c:formatCode>
                <c:ptCount val="11"/>
                <c:pt idx="0">
                  <c:v>143699.08333333328</c:v>
                </c:pt>
                <c:pt idx="1">
                  <c:v>146732.83333333328</c:v>
                </c:pt>
                <c:pt idx="2">
                  <c:v>148833.25</c:v>
                </c:pt>
                <c:pt idx="3">
                  <c:v>153091.75</c:v>
                </c:pt>
                <c:pt idx="4">
                  <c:v>157455.5</c:v>
                </c:pt>
                <c:pt idx="5">
                  <c:v>159558.16666666666</c:v>
                </c:pt>
                <c:pt idx="6">
                  <c:v>163340.75</c:v>
                </c:pt>
                <c:pt idx="7">
                  <c:v>172779.66666666666</c:v>
                </c:pt>
                <c:pt idx="8">
                  <c:v>180245.75</c:v>
                </c:pt>
                <c:pt idx="9">
                  <c:v>185592.41666666666</c:v>
                </c:pt>
                <c:pt idx="10">
                  <c:v>192440.25</c:v>
                </c:pt>
              </c:numCache>
            </c:numRef>
          </c:val>
        </c:ser>
        <c:gapWidth val="0"/>
        <c:axId val="113900544"/>
        <c:axId val="113718016"/>
      </c:barChart>
      <c:catAx>
        <c:axId val="113900544"/>
        <c:scaling>
          <c:orientation val="minMax"/>
        </c:scaling>
        <c:axPos val="b"/>
        <c:numFmt formatCode="General" sourceLinked="1"/>
        <c:tickLblPos val="nextTo"/>
        <c:txPr>
          <a:bodyPr/>
          <a:lstStyle/>
          <a:p>
            <a:pPr>
              <a:defRPr sz="900"/>
            </a:pPr>
            <a:endParaRPr lang="es-MX"/>
          </a:p>
        </c:txPr>
        <c:crossAx val="113718016"/>
        <c:crosses val="autoZero"/>
        <c:auto val="1"/>
        <c:lblAlgn val="ctr"/>
        <c:lblOffset val="100"/>
      </c:catAx>
      <c:valAx>
        <c:axId val="113718016"/>
        <c:scaling>
          <c:orientation val="minMax"/>
        </c:scaling>
        <c:delete val="1"/>
        <c:axPos val="l"/>
        <c:numFmt formatCode="General" sourceLinked="1"/>
        <c:tickLblPos val="none"/>
        <c:crossAx val="113900544"/>
        <c:crosses val="autoZero"/>
        <c:crossBetween val="between"/>
      </c:valAx>
    </c:plotArea>
    <c:plotVisOnly val="1"/>
    <c:dispBlanksAs val="gap"/>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0.23962</cdr:x>
      <cdr:y>0.01887</cdr:y>
    </cdr:from>
    <cdr:to>
      <cdr:x>0.73396</cdr:x>
      <cdr:y>0.17296</cdr:y>
    </cdr:to>
    <cdr:sp macro="" textlink="">
      <cdr:nvSpPr>
        <cdr:cNvPr id="2" name="1 CuadroTexto"/>
        <cdr:cNvSpPr txBox="1"/>
      </cdr:nvSpPr>
      <cdr:spPr>
        <a:xfrm xmlns:a="http://schemas.openxmlformats.org/drawingml/2006/main">
          <a:off x="1209677" y="57149"/>
          <a:ext cx="2495550"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800" b="1"/>
            <a:t>Avance POA</a:t>
          </a:r>
          <a:r>
            <a:rPr lang="es-MX" sz="1800" b="1" baseline="0"/>
            <a:t> Estatal</a:t>
          </a:r>
          <a:endParaRPr lang="es-MX" sz="1800" b="1"/>
        </a:p>
      </cdr:txBody>
    </cdr:sp>
  </cdr:relSizeAnchor>
</c:userShapes>
</file>

<file path=word/drawings/drawing10.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APORTACIONES</a:t>
          </a:r>
        </a:p>
        <a:p xmlns:a="http://schemas.openxmlformats.org/drawingml/2006/main">
          <a:pPr algn="ctr"/>
          <a:r>
            <a:rPr lang="es-MX" sz="1100" b="1" baseline="0"/>
            <a:t>(pesos)</a:t>
          </a:r>
          <a:endParaRPr lang="es-MX" sz="1100" b="1"/>
        </a:p>
      </cdr:txBody>
    </cdr:sp>
  </cdr:relSizeAnchor>
</c:userShapes>
</file>

<file path=word/drawings/drawing11.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OTROS INGRESOS</a:t>
          </a:r>
        </a:p>
        <a:p xmlns:a="http://schemas.openxmlformats.org/drawingml/2006/main">
          <a:pPr algn="ctr"/>
          <a:r>
            <a:rPr lang="es-MX" sz="1100" b="1" baseline="0"/>
            <a:t>(pesos)</a:t>
          </a:r>
          <a:endParaRPr lang="es-MX" sz="1100" b="1"/>
        </a:p>
      </cdr:txBody>
    </cdr:sp>
  </cdr:relSizeAnchor>
</c:userShapes>
</file>

<file path=word/drawings/drawing12.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PRESUPUESTO DEVENGADO POR TIPO Y OBJETO DEL GASTO</a:t>
          </a:r>
        </a:p>
        <a:p xmlns:a="http://schemas.openxmlformats.org/drawingml/2006/main">
          <a:pPr algn="ctr"/>
          <a:r>
            <a:rPr lang="es-MX" sz="1100" b="1" baseline="0"/>
            <a:t>(pesos)</a:t>
          </a:r>
          <a:endParaRPr lang="es-MX" sz="1100" b="1"/>
        </a:p>
      </cdr:txBody>
    </cdr:sp>
  </cdr:relSizeAnchor>
</c:userShapes>
</file>

<file path=word/drawings/drawing13.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CLASIFICACIÓN FUNCIONAL</a:t>
          </a:r>
        </a:p>
        <a:p xmlns:a="http://schemas.openxmlformats.org/drawingml/2006/main">
          <a:pPr algn="ctr"/>
          <a:r>
            <a:rPr lang="es-MX" sz="1100" b="1" baseline="0"/>
            <a:t>(pesos)</a:t>
          </a:r>
          <a:endParaRPr lang="es-MX" sz="1100" b="1"/>
        </a:p>
      </cdr:txBody>
    </cdr:sp>
  </cdr:relSizeAnchor>
</c:userShapes>
</file>

<file path=word/drawings/drawing14.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PLAN ESTATAL DE DESARROLLO (PED)</a:t>
          </a:r>
        </a:p>
        <a:p xmlns:a="http://schemas.openxmlformats.org/drawingml/2006/main">
          <a:pPr algn="ctr"/>
          <a:r>
            <a:rPr lang="es-MX" sz="1100" b="1" baseline="0"/>
            <a:t>(pesos)</a:t>
          </a:r>
          <a:endParaRPr lang="es-MX" sz="1100" b="1"/>
        </a:p>
      </cdr:txBody>
    </cdr:sp>
  </cdr:relSizeAnchor>
</c:userShapes>
</file>

<file path=word/drawings/drawing15.xml><?xml version="1.0" encoding="utf-8"?>
<c:userShapes xmlns:c="http://schemas.openxmlformats.org/drawingml/2006/chart">
  <cdr:relSizeAnchor xmlns:cdr="http://schemas.openxmlformats.org/drawingml/2006/chartDrawing">
    <cdr:from>
      <cdr:x>0.26518</cdr:x>
      <cdr:y>0.04533</cdr:y>
    </cdr:from>
    <cdr:to>
      <cdr:x>0.611</cdr:x>
      <cdr:y>0.20862</cdr:y>
    </cdr:to>
    <cdr:sp macro="" textlink="">
      <cdr:nvSpPr>
        <cdr:cNvPr id="2" name="1 CuadroTexto"/>
        <cdr:cNvSpPr txBox="1"/>
      </cdr:nvSpPr>
      <cdr:spPr>
        <a:xfrm xmlns:a="http://schemas.openxmlformats.org/drawingml/2006/main">
          <a:off x="1488224" y="144873"/>
          <a:ext cx="1940775" cy="5218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a:t>CLASIFICACIÓN</a:t>
          </a:r>
          <a:r>
            <a:rPr lang="es-MX" sz="1100" b="1" baseline="0"/>
            <a:t> ADMINISTRATIVA</a:t>
          </a:r>
        </a:p>
        <a:p xmlns:a="http://schemas.openxmlformats.org/drawingml/2006/main">
          <a:pPr algn="ctr"/>
          <a:r>
            <a:rPr lang="es-MX" sz="1100" b="1" baseline="0"/>
            <a:t>(pesos)</a:t>
          </a:r>
          <a:endParaRPr lang="es-MX"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0.14273</cdr:x>
      <cdr:y>0.879</cdr:y>
    </cdr:from>
    <cdr:to>
      <cdr:x>0.52822</cdr:x>
      <cdr:y>0.94718</cdr:y>
    </cdr:to>
    <cdr:sp macro="" textlink="">
      <cdr:nvSpPr>
        <cdr:cNvPr id="2" name="1 CuadroTexto"/>
        <cdr:cNvSpPr txBox="1"/>
      </cdr:nvSpPr>
      <cdr:spPr>
        <a:xfrm xmlns:a="http://schemas.openxmlformats.org/drawingml/2006/main">
          <a:off x="845629" y="3399226"/>
          <a:ext cx="2283863" cy="263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*Cifras al 31 de marzo de 2016.</a:t>
          </a:r>
        </a:p>
      </cdr:txBody>
    </cdr:sp>
  </cdr:relSizeAnchor>
</c:userShapes>
</file>

<file path=word/drawings/drawing3.xml><?xml version="1.0" encoding="utf-8"?>
<c:userShapes xmlns:c="http://schemas.openxmlformats.org/drawingml/2006/chart">
  <cdr:relSizeAnchor xmlns:cdr="http://schemas.openxmlformats.org/drawingml/2006/chartDrawing">
    <cdr:from>
      <cdr:x>0.07858</cdr:x>
      <cdr:y>0.00884</cdr:y>
    </cdr:from>
    <cdr:to>
      <cdr:x>0.8522</cdr:x>
      <cdr:y>0.23343</cdr:y>
    </cdr:to>
    <cdr:sp macro="" textlink="">
      <cdr:nvSpPr>
        <cdr:cNvPr id="2" name="1 CuadroTexto"/>
        <cdr:cNvSpPr txBox="1"/>
      </cdr:nvSpPr>
      <cdr:spPr>
        <a:xfrm xmlns:a="http://schemas.openxmlformats.org/drawingml/2006/main">
          <a:off x="372139" y="33018"/>
          <a:ext cx="3663735" cy="83885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MX" sz="1700" b="1"/>
            <a:t>Ingresos totales </a:t>
          </a:r>
        </a:p>
        <a:p xmlns:a="http://schemas.openxmlformats.org/drawingml/2006/main">
          <a:pPr algn="ctr"/>
          <a:r>
            <a:rPr lang="es-MX" sz="1700" b="1"/>
            <a:t>enero-</a:t>
          </a:r>
          <a:r>
            <a:rPr lang="es-MX" sz="1700" b="1" baseline="0"/>
            <a:t> marzo, ejercicio fiscal 2016</a:t>
          </a:r>
          <a:endParaRPr lang="es-MX" sz="1700" b="1"/>
        </a:p>
        <a:p xmlns:a="http://schemas.openxmlformats.org/drawingml/2006/main">
          <a:pPr algn="ctr"/>
          <a:r>
            <a:rPr lang="es-MX" sz="900" b="1"/>
            <a:t>(Millones  de pesos)</a:t>
          </a:r>
        </a:p>
      </cdr:txBody>
    </cdr:sp>
  </cdr:relSizeAnchor>
  <cdr:relSizeAnchor xmlns:cdr="http://schemas.openxmlformats.org/drawingml/2006/chartDrawing">
    <cdr:from>
      <cdr:x>0.03405</cdr:x>
      <cdr:y>0.93555</cdr:y>
    </cdr:from>
    <cdr:to>
      <cdr:x>0.59017</cdr:x>
      <cdr:y>1</cdr:y>
    </cdr:to>
    <cdr:sp macro="" textlink="">
      <cdr:nvSpPr>
        <cdr:cNvPr id="3" name="2 CuadroTexto"/>
        <cdr:cNvSpPr txBox="1"/>
      </cdr:nvSpPr>
      <cdr:spPr>
        <a:xfrm xmlns:a="http://schemas.openxmlformats.org/drawingml/2006/main">
          <a:off x="161255" y="3494345"/>
          <a:ext cx="2633704" cy="240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t>Fuente: Dirección de Ingresos. Secretaría de Finanzas</a:t>
          </a:r>
        </a:p>
      </cdr:txBody>
    </cdr:sp>
  </cdr:relSizeAnchor>
  <cdr:relSizeAnchor xmlns:cdr="http://schemas.openxmlformats.org/drawingml/2006/chartDrawing">
    <cdr:from>
      <cdr:x>0.79564</cdr:x>
      <cdr:y>0.39917</cdr:y>
    </cdr:from>
    <cdr:to>
      <cdr:x>0.80368</cdr:x>
      <cdr:y>0.4948</cdr:y>
    </cdr:to>
    <cdr:sp macro="" textlink="">
      <cdr:nvSpPr>
        <cdr:cNvPr id="4" name="3 CuadroTexto"/>
        <cdr:cNvSpPr txBox="1"/>
      </cdr:nvSpPr>
      <cdr:spPr>
        <a:xfrm xmlns:a="http://schemas.openxmlformats.org/drawingml/2006/main">
          <a:off x="4524375" y="1828800"/>
          <a:ext cx="45719"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drawings/drawing4.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a:t>INGRESOS</a:t>
          </a:r>
          <a:r>
            <a:rPr lang="es-MX" sz="1100" b="1" baseline="0"/>
            <a:t> PRESUPUESTARIOS</a:t>
          </a:r>
        </a:p>
        <a:p xmlns:a="http://schemas.openxmlformats.org/drawingml/2006/main">
          <a:pPr algn="ctr"/>
          <a:r>
            <a:rPr lang="es-MX" sz="1100" b="1" baseline="0"/>
            <a:t>(pesos)</a:t>
          </a:r>
          <a:endParaRPr lang="es-MX"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0.30957</cdr:x>
      <cdr:y>0.03512</cdr:y>
    </cdr:from>
    <cdr:to>
      <cdr:x>0.64183</cdr:x>
      <cdr:y>0.16543</cdr:y>
    </cdr:to>
    <cdr:sp macro="" textlink="">
      <cdr:nvSpPr>
        <cdr:cNvPr id="2" name="1 CuadroTexto"/>
        <cdr:cNvSpPr txBox="1"/>
      </cdr:nvSpPr>
      <cdr:spPr>
        <a:xfrm xmlns:a="http://schemas.openxmlformats.org/drawingml/2006/main">
          <a:off x="1530367" y="100701"/>
          <a:ext cx="1642519" cy="3736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a:t>INGRESOS PRESUPUESTARIOS</a:t>
          </a:r>
        </a:p>
      </cdr:txBody>
    </cdr:sp>
  </cdr:relSizeAnchor>
</c:userShapes>
</file>

<file path=word/drawings/drawing6.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IMPUESTOS</a:t>
          </a:r>
        </a:p>
        <a:p xmlns:a="http://schemas.openxmlformats.org/drawingml/2006/main">
          <a:pPr algn="ctr"/>
          <a:r>
            <a:rPr lang="es-MX" sz="1100" b="1" baseline="0"/>
            <a:t>(pesos)</a:t>
          </a:r>
          <a:endParaRPr lang="es-MX" sz="1100" b="1"/>
        </a:p>
      </cdr:txBody>
    </cdr:sp>
  </cdr:relSizeAnchor>
</c:userShapes>
</file>

<file path=word/drawings/drawing7.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OTROS INGRESOS DE GESTION</a:t>
          </a:r>
        </a:p>
        <a:p xmlns:a="http://schemas.openxmlformats.org/drawingml/2006/main">
          <a:pPr algn="ctr"/>
          <a:r>
            <a:rPr lang="es-MX" sz="1100" b="1" baseline="0"/>
            <a:t>(pesos)</a:t>
          </a:r>
          <a:endParaRPr lang="es-MX" sz="1100" b="1"/>
        </a:p>
      </cdr:txBody>
    </cdr:sp>
  </cdr:relSizeAnchor>
</c:userShapes>
</file>

<file path=word/drawings/drawing8.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PARTICIPACIONES, APORTACIONES, TRANSFERENCIAS, ASIGNACIONES, SUBSIDIOS Y OTRAS AYUDAS</a:t>
          </a:r>
        </a:p>
        <a:p xmlns:a="http://schemas.openxmlformats.org/drawingml/2006/main">
          <a:pPr algn="ctr"/>
          <a:r>
            <a:rPr lang="es-MX" sz="1100" b="1" baseline="0"/>
            <a:t>(pesos)</a:t>
          </a:r>
          <a:endParaRPr lang="es-MX" sz="1100" b="1"/>
        </a:p>
      </cdr:txBody>
    </cdr:sp>
  </cdr:relSizeAnchor>
</c:userShapes>
</file>

<file path=word/drawings/drawing9.xml><?xml version="1.0" encoding="utf-8"?>
<c:userShapes xmlns:c="http://schemas.openxmlformats.org/drawingml/2006/chart">
  <cdr:relSizeAnchor xmlns:cdr="http://schemas.openxmlformats.org/drawingml/2006/chartDrawing">
    <cdr:from>
      <cdr:x>0.32887</cdr:x>
      <cdr:y>0.01455</cdr:y>
    </cdr:from>
    <cdr:to>
      <cdr:x>0.68498</cdr:x>
      <cdr:y>0.19955</cdr:y>
    </cdr:to>
    <cdr:sp macro="" textlink="">
      <cdr:nvSpPr>
        <cdr:cNvPr id="2" name="1 CuadroTexto"/>
        <cdr:cNvSpPr txBox="1"/>
      </cdr:nvSpPr>
      <cdr:spPr>
        <a:xfrm xmlns:a="http://schemas.openxmlformats.org/drawingml/2006/main">
          <a:off x="1871229" y="47587"/>
          <a:ext cx="2026228" cy="6050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baseline="0"/>
            <a:t>PARTICIPACIONES</a:t>
          </a:r>
        </a:p>
        <a:p xmlns:a="http://schemas.openxmlformats.org/drawingml/2006/main">
          <a:pPr algn="ctr"/>
          <a:r>
            <a:rPr lang="es-MX" sz="1100" b="1" baseline="0"/>
            <a:t>(pesos)</a:t>
          </a:r>
          <a:endParaRPr lang="es-MX" sz="11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F3E4-7C90-4398-95AF-6905088A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65090</Words>
  <Characters>357998</Characters>
  <Application>Microsoft Office Word</Application>
  <DocSecurity>0</DocSecurity>
  <Lines>2983</Lines>
  <Paragraphs>844</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422244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admin</cp:lastModifiedBy>
  <cp:revision>2</cp:revision>
  <cp:lastPrinted>2016-04-29T20:47:00Z</cp:lastPrinted>
  <dcterms:created xsi:type="dcterms:W3CDTF">2016-05-16T17:25:00Z</dcterms:created>
  <dcterms:modified xsi:type="dcterms:W3CDTF">2016-05-16T17:25:00Z</dcterms:modified>
</cp:coreProperties>
</file>