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5EB1" w:rsidRDefault="00AC5EB1">
      <w:pPr>
        <w:rPr>
          <w:rFonts w:ascii="Times New Roman" w:hAnsi="Times New Roman" w:cs="Times New Roman"/>
          <w:b/>
          <w:u w:val="single"/>
        </w:rPr>
      </w:pPr>
    </w:p>
    <w:p w:rsidR="00AC5EB1" w:rsidRDefault="00AC5EB1" w:rsidP="00AC5EB1">
      <w:pPr>
        <w:jc w:val="center"/>
        <w:rPr>
          <w:rFonts w:cs="Times New Roman"/>
          <w:sz w:val="40"/>
          <w:szCs w:val="40"/>
        </w:rPr>
      </w:pPr>
      <w:r w:rsidRPr="00AC5EB1">
        <w:rPr>
          <w:rFonts w:cs="Times New Roman"/>
          <w:sz w:val="40"/>
          <w:szCs w:val="40"/>
        </w:rPr>
        <w:t>CONTENIDO</w:t>
      </w:r>
    </w:p>
    <w:p w:rsidR="00AC5EB1" w:rsidRDefault="00AC5EB1">
      <w:pPr>
        <w:rPr>
          <w:rFonts w:cs="Times New Roman"/>
          <w:sz w:val="28"/>
          <w:szCs w:val="28"/>
        </w:rPr>
      </w:pPr>
    </w:p>
    <w:p w:rsidR="00AC5EB1" w:rsidRDefault="00AC5EB1">
      <w:pPr>
        <w:rPr>
          <w:rFonts w:cs="Times New Roman"/>
          <w:sz w:val="28"/>
          <w:szCs w:val="28"/>
        </w:rPr>
      </w:pPr>
    </w:p>
    <w:p w:rsidR="00AC5EB1" w:rsidRPr="00AC5EB1" w:rsidRDefault="00AC5EB1">
      <w:pPr>
        <w:rPr>
          <w:rFonts w:cs="Times New Roman"/>
          <w:sz w:val="28"/>
          <w:szCs w:val="28"/>
        </w:rPr>
      </w:pPr>
    </w:p>
    <w:p w:rsidR="00AC5EB1" w:rsidRPr="00AC5EB1" w:rsidRDefault="00AC5EB1">
      <w:pPr>
        <w:rPr>
          <w:rFonts w:cs="Times New Roman"/>
          <w:sz w:val="28"/>
          <w:szCs w:val="28"/>
        </w:rPr>
      </w:pPr>
      <w:r w:rsidRPr="00AC5EB1">
        <w:rPr>
          <w:rFonts w:cs="Times New Roman"/>
          <w:sz w:val="28"/>
          <w:szCs w:val="28"/>
        </w:rPr>
        <w:t>1.- ESTADO DE INGRESOS Y EGRESOS PRESUPUESTALES EJERCICIO 201</w:t>
      </w:r>
      <w:r w:rsidR="00B12720">
        <w:rPr>
          <w:rFonts w:cs="Times New Roman"/>
          <w:sz w:val="28"/>
          <w:szCs w:val="28"/>
        </w:rPr>
        <w:t>4</w:t>
      </w:r>
    </w:p>
    <w:p w:rsidR="00AC5EB1" w:rsidRPr="00AC5EB1" w:rsidRDefault="00B12720">
      <w:pPr>
        <w:rPr>
          <w:rFonts w:cs="Times New Roman"/>
          <w:sz w:val="28"/>
          <w:szCs w:val="28"/>
        </w:rPr>
      </w:pPr>
      <w:r>
        <w:rPr>
          <w:rFonts w:cs="Times New Roman"/>
          <w:sz w:val="28"/>
          <w:szCs w:val="28"/>
        </w:rPr>
        <w:t>2</w:t>
      </w:r>
      <w:r w:rsidR="00AC5EB1" w:rsidRPr="00AC5EB1">
        <w:rPr>
          <w:rFonts w:cs="Times New Roman"/>
          <w:sz w:val="28"/>
          <w:szCs w:val="28"/>
        </w:rPr>
        <w:t>.- ESTADO DE SIT</w:t>
      </w:r>
      <w:r>
        <w:rPr>
          <w:rFonts w:cs="Times New Roman"/>
          <w:sz w:val="28"/>
          <w:szCs w:val="28"/>
        </w:rPr>
        <w:t>UACIÓN FINANCIERA EJERCICIO 2014</w:t>
      </w:r>
    </w:p>
    <w:p w:rsidR="00AC5EB1" w:rsidRDefault="00B12720">
      <w:pPr>
        <w:rPr>
          <w:rFonts w:cs="Times New Roman"/>
          <w:sz w:val="28"/>
          <w:szCs w:val="28"/>
        </w:rPr>
      </w:pPr>
      <w:r>
        <w:rPr>
          <w:rFonts w:cs="Times New Roman"/>
          <w:sz w:val="28"/>
          <w:szCs w:val="28"/>
        </w:rPr>
        <w:t>3</w:t>
      </w:r>
      <w:r w:rsidR="00AC5EB1" w:rsidRPr="00AC5EB1">
        <w:rPr>
          <w:rFonts w:cs="Times New Roman"/>
          <w:sz w:val="28"/>
          <w:szCs w:val="28"/>
        </w:rPr>
        <w:t>.- NOTAS DE DESGLOSE</w:t>
      </w:r>
    </w:p>
    <w:p w:rsidR="00AC5EB1" w:rsidRDefault="00B12720">
      <w:pPr>
        <w:rPr>
          <w:rFonts w:cs="Times New Roman"/>
          <w:sz w:val="28"/>
          <w:szCs w:val="28"/>
        </w:rPr>
      </w:pPr>
      <w:r>
        <w:rPr>
          <w:rFonts w:cs="Times New Roman"/>
          <w:sz w:val="28"/>
          <w:szCs w:val="28"/>
        </w:rPr>
        <w:t>4</w:t>
      </w:r>
      <w:r w:rsidR="00AC5EB1" w:rsidRPr="00AC5EB1">
        <w:rPr>
          <w:rFonts w:cs="Times New Roman"/>
          <w:sz w:val="28"/>
          <w:szCs w:val="28"/>
        </w:rPr>
        <w:t>.- NOTAS DE MEMORIA</w:t>
      </w:r>
    </w:p>
    <w:p w:rsidR="00AC5EB1" w:rsidRDefault="00B12720">
      <w:pPr>
        <w:rPr>
          <w:rFonts w:cs="Times New Roman"/>
          <w:sz w:val="28"/>
          <w:szCs w:val="28"/>
        </w:rPr>
      </w:pPr>
      <w:r>
        <w:rPr>
          <w:rFonts w:cs="Times New Roman"/>
          <w:sz w:val="28"/>
          <w:szCs w:val="28"/>
        </w:rPr>
        <w:t>5</w:t>
      </w:r>
      <w:r w:rsidR="00AC5EB1" w:rsidRPr="00AC5EB1">
        <w:rPr>
          <w:rFonts w:cs="Times New Roman"/>
          <w:sz w:val="28"/>
          <w:szCs w:val="28"/>
        </w:rPr>
        <w:t>.- NOTAS DE GESTIÓN ADMINISTRATIVA</w:t>
      </w:r>
    </w:p>
    <w:p w:rsidR="00AC5EB1" w:rsidRDefault="00AC5EB1">
      <w:pPr>
        <w:rPr>
          <w:rFonts w:cs="Times New Roman"/>
          <w:sz w:val="28"/>
          <w:szCs w:val="28"/>
        </w:rPr>
      </w:pPr>
    </w:p>
    <w:p w:rsidR="00AC5EB1" w:rsidRDefault="00AC5EB1">
      <w:pPr>
        <w:rPr>
          <w:rFonts w:cs="Times New Roman"/>
          <w:sz w:val="28"/>
          <w:szCs w:val="28"/>
        </w:rPr>
      </w:pPr>
    </w:p>
    <w:p w:rsidR="00AC5EB1" w:rsidRDefault="00AC5EB1">
      <w:pPr>
        <w:rPr>
          <w:rFonts w:cs="Times New Roman"/>
          <w:sz w:val="28"/>
          <w:szCs w:val="28"/>
        </w:rPr>
      </w:pPr>
    </w:p>
    <w:p w:rsidR="00AC5EB1" w:rsidRDefault="00AC5EB1">
      <w:pPr>
        <w:rPr>
          <w:rFonts w:cs="Times New Roman"/>
          <w:b/>
          <w:sz w:val="28"/>
          <w:szCs w:val="28"/>
        </w:rPr>
      </w:pPr>
      <w:r>
        <w:rPr>
          <w:rFonts w:cs="Times New Roman"/>
          <w:b/>
          <w:sz w:val="28"/>
          <w:szCs w:val="28"/>
        </w:rPr>
        <w:br w:type="page"/>
      </w:r>
    </w:p>
    <w:p w:rsidR="0025536E" w:rsidRDefault="00AC5EB1" w:rsidP="001D7445">
      <w:pPr>
        <w:rPr>
          <w:rFonts w:ascii="Times New Roman" w:hAnsi="Times New Roman" w:cs="Times New Roman"/>
          <w:b/>
          <w:u w:val="single"/>
        </w:rPr>
      </w:pPr>
      <w:r w:rsidRPr="00AC5EB1">
        <w:rPr>
          <w:rFonts w:cs="Times New Roman"/>
          <w:b/>
          <w:sz w:val="28"/>
          <w:szCs w:val="28"/>
        </w:rPr>
        <w:lastRenderedPageBreak/>
        <w:t>1.- ESTADO DE INGRESOS Y EGRESOS PRESUPUESTALES EJERCICIO 201</w:t>
      </w:r>
      <w:r w:rsidR="00B12720">
        <w:rPr>
          <w:rFonts w:cs="Times New Roman"/>
          <w:b/>
          <w:sz w:val="28"/>
          <w:szCs w:val="28"/>
        </w:rPr>
        <w:t>4</w:t>
      </w:r>
    </w:p>
    <w:p w:rsidR="00AC5EB1" w:rsidRDefault="007C16EE" w:rsidP="00DF3F13">
      <w:pPr>
        <w:pStyle w:val="Sinespaciado"/>
        <w:jc w:val="center"/>
        <w:rPr>
          <w:rFonts w:ascii="Times New Roman" w:hAnsi="Times New Roman" w:cs="Times New Roman"/>
          <w:b/>
          <w:u w:val="single"/>
        </w:rPr>
      </w:pPr>
      <w:r w:rsidRPr="007C16EE">
        <w:drawing>
          <wp:inline distT="0" distB="0" distL="0" distR="0">
            <wp:extent cx="5612130" cy="6664996"/>
            <wp:effectExtent l="1905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612130" cy="6664996"/>
                    </a:xfrm>
                    <a:prstGeom prst="rect">
                      <a:avLst/>
                    </a:prstGeom>
                    <a:noFill/>
                    <a:ln w="9525">
                      <a:noFill/>
                      <a:miter lim="800000"/>
                      <a:headEnd/>
                      <a:tailEnd/>
                    </a:ln>
                  </pic:spPr>
                </pic:pic>
              </a:graphicData>
            </a:graphic>
          </wp:inline>
        </w:drawing>
      </w:r>
    </w:p>
    <w:p w:rsidR="0052587C" w:rsidRDefault="0052587C" w:rsidP="00DF3F13">
      <w:pPr>
        <w:pStyle w:val="Sinespaciado"/>
        <w:jc w:val="center"/>
        <w:rPr>
          <w:rFonts w:ascii="Times New Roman" w:hAnsi="Times New Roman" w:cs="Times New Roman"/>
          <w:b/>
          <w:u w:val="single"/>
        </w:rPr>
      </w:pPr>
    </w:p>
    <w:p w:rsidR="00AC5EB1" w:rsidRDefault="001E3703" w:rsidP="00AC5EB1">
      <w:pPr>
        <w:rPr>
          <w:rFonts w:cs="Times New Roman"/>
          <w:b/>
          <w:sz w:val="28"/>
          <w:szCs w:val="28"/>
        </w:rPr>
      </w:pPr>
      <w:r>
        <w:rPr>
          <w:rFonts w:cs="Times New Roman"/>
          <w:b/>
          <w:sz w:val="28"/>
          <w:szCs w:val="28"/>
        </w:rPr>
        <w:br w:type="page"/>
      </w:r>
      <w:r w:rsidR="00B12720">
        <w:rPr>
          <w:rFonts w:cs="Times New Roman"/>
          <w:b/>
          <w:sz w:val="28"/>
          <w:szCs w:val="28"/>
        </w:rPr>
        <w:lastRenderedPageBreak/>
        <w:t>2</w:t>
      </w:r>
      <w:r w:rsidR="00AC5EB1" w:rsidRPr="00AC5EB1">
        <w:rPr>
          <w:rFonts w:cs="Times New Roman"/>
          <w:b/>
          <w:sz w:val="28"/>
          <w:szCs w:val="28"/>
        </w:rPr>
        <w:t>.- ESTADO DE SITUACIÓN FINANCIERA EJERCICIO 201</w:t>
      </w:r>
      <w:r w:rsidR="00B12720">
        <w:rPr>
          <w:rFonts w:cs="Times New Roman"/>
          <w:b/>
          <w:sz w:val="28"/>
          <w:szCs w:val="28"/>
        </w:rPr>
        <w:t>4</w:t>
      </w:r>
    </w:p>
    <w:p w:rsidR="00A90137" w:rsidRPr="00CE5BC0" w:rsidRDefault="001B2C74" w:rsidP="00DF3F13">
      <w:pPr>
        <w:pStyle w:val="Sinespaciado"/>
        <w:jc w:val="center"/>
        <w:rPr>
          <w:rFonts w:ascii="Times New Roman" w:hAnsi="Times New Roman" w:cs="Times New Roman"/>
          <w:b/>
          <w:u w:val="single"/>
        </w:rPr>
      </w:pPr>
      <w:r w:rsidRPr="00CE5BC0">
        <w:rPr>
          <w:rFonts w:ascii="Times New Roman" w:hAnsi="Times New Roman" w:cs="Times New Roman"/>
          <w:b/>
          <w:u w:val="single"/>
        </w:rPr>
        <w:t>GOBIERNO DEL ESTADO DE OAXACA</w:t>
      </w:r>
    </w:p>
    <w:p w:rsidR="00946AD5" w:rsidRDefault="00A95BD7" w:rsidP="00A95BD7">
      <w:pPr>
        <w:pStyle w:val="Sinespaciado"/>
        <w:jc w:val="center"/>
        <w:rPr>
          <w:rFonts w:ascii="Times New Roman" w:hAnsi="Times New Roman" w:cs="Times New Roman"/>
          <w:b/>
          <w:u w:val="single"/>
        </w:rPr>
      </w:pPr>
      <w:r w:rsidRPr="00CE5BC0">
        <w:rPr>
          <w:rFonts w:ascii="Times New Roman" w:hAnsi="Times New Roman" w:cs="Times New Roman"/>
          <w:b/>
          <w:u w:val="single"/>
        </w:rPr>
        <w:t xml:space="preserve">ESTADO </w:t>
      </w:r>
      <w:r w:rsidR="008B2CFC">
        <w:rPr>
          <w:rFonts w:ascii="Times New Roman" w:hAnsi="Times New Roman" w:cs="Times New Roman"/>
          <w:b/>
          <w:u w:val="single"/>
        </w:rPr>
        <w:t xml:space="preserve">DE SITUACION </w:t>
      </w:r>
      <w:r w:rsidRPr="00CE5BC0">
        <w:rPr>
          <w:rFonts w:ascii="Times New Roman" w:hAnsi="Times New Roman" w:cs="Times New Roman"/>
          <w:b/>
          <w:u w:val="single"/>
        </w:rPr>
        <w:t>FINANCIER</w:t>
      </w:r>
      <w:r w:rsidR="008B2CFC">
        <w:rPr>
          <w:rFonts w:ascii="Times New Roman" w:hAnsi="Times New Roman" w:cs="Times New Roman"/>
          <w:b/>
          <w:u w:val="single"/>
        </w:rPr>
        <w:t>A</w:t>
      </w:r>
      <w:r w:rsidR="00C40F79">
        <w:rPr>
          <w:rFonts w:ascii="Times New Roman" w:hAnsi="Times New Roman" w:cs="Times New Roman"/>
          <w:b/>
          <w:u w:val="single"/>
        </w:rPr>
        <w:t xml:space="preserve"> </w:t>
      </w:r>
      <w:r w:rsidR="002878C4">
        <w:rPr>
          <w:rFonts w:ascii="Times New Roman" w:hAnsi="Times New Roman" w:cs="Times New Roman"/>
          <w:b/>
          <w:u w:val="single"/>
        </w:rPr>
        <w:t xml:space="preserve">PRELIMINAR </w:t>
      </w:r>
      <w:r w:rsidR="00C40F79">
        <w:rPr>
          <w:rFonts w:ascii="Times New Roman" w:hAnsi="Times New Roman" w:cs="Times New Roman"/>
          <w:b/>
          <w:u w:val="single"/>
        </w:rPr>
        <w:t xml:space="preserve">AL </w:t>
      </w:r>
      <w:r w:rsidR="00E87407">
        <w:rPr>
          <w:rFonts w:ascii="Times New Roman" w:hAnsi="Times New Roman" w:cs="Times New Roman"/>
          <w:b/>
          <w:u w:val="single"/>
        </w:rPr>
        <w:t>3</w:t>
      </w:r>
      <w:r w:rsidR="00761BDA">
        <w:rPr>
          <w:rFonts w:ascii="Times New Roman" w:hAnsi="Times New Roman" w:cs="Times New Roman"/>
          <w:b/>
          <w:u w:val="single"/>
        </w:rPr>
        <w:t>1</w:t>
      </w:r>
      <w:r w:rsidR="00E87407">
        <w:rPr>
          <w:rFonts w:ascii="Times New Roman" w:hAnsi="Times New Roman" w:cs="Times New Roman"/>
          <w:b/>
          <w:u w:val="single"/>
        </w:rPr>
        <w:t xml:space="preserve"> </w:t>
      </w:r>
      <w:r w:rsidR="002878C4">
        <w:rPr>
          <w:rFonts w:ascii="Times New Roman" w:hAnsi="Times New Roman" w:cs="Times New Roman"/>
          <w:b/>
          <w:u w:val="single"/>
        </w:rPr>
        <w:t>DE DICIEMBRE DE</w:t>
      </w:r>
      <w:r w:rsidR="00E87407">
        <w:rPr>
          <w:rFonts w:ascii="Times New Roman" w:hAnsi="Times New Roman" w:cs="Times New Roman"/>
          <w:b/>
          <w:u w:val="single"/>
        </w:rPr>
        <w:t xml:space="preserve"> 2014</w:t>
      </w:r>
    </w:p>
    <w:p w:rsidR="00730F51" w:rsidRDefault="00730F51" w:rsidP="00A95BD7">
      <w:pPr>
        <w:pStyle w:val="Sinespaciado"/>
        <w:jc w:val="center"/>
        <w:rPr>
          <w:rFonts w:ascii="Times New Roman" w:hAnsi="Times New Roman" w:cs="Times New Roman"/>
          <w:b/>
          <w:sz w:val="14"/>
          <w:szCs w:val="20"/>
          <w:u w:val="single"/>
        </w:rPr>
      </w:pPr>
      <w:r>
        <w:rPr>
          <w:rFonts w:ascii="Times New Roman" w:hAnsi="Times New Roman" w:cs="Times New Roman"/>
          <w:b/>
          <w:sz w:val="20"/>
          <w:szCs w:val="20"/>
          <w:u w:val="single"/>
        </w:rPr>
        <w:t>(</w:t>
      </w:r>
      <w:r w:rsidRPr="00730F51">
        <w:rPr>
          <w:rFonts w:ascii="Times New Roman" w:hAnsi="Times New Roman" w:cs="Times New Roman"/>
          <w:b/>
          <w:sz w:val="14"/>
          <w:szCs w:val="20"/>
          <w:u w:val="single"/>
        </w:rPr>
        <w:t>MILES DE PESOS)</w:t>
      </w:r>
    </w:p>
    <w:p w:rsidR="006A11DB" w:rsidRDefault="002878C4" w:rsidP="008D3757">
      <w:pPr>
        <w:jc w:val="center"/>
        <w:rPr>
          <w:rFonts w:cs="Times New Roman"/>
          <w:b/>
          <w:sz w:val="28"/>
          <w:szCs w:val="28"/>
        </w:rPr>
      </w:pPr>
      <w:r w:rsidRPr="002878C4">
        <w:rPr>
          <w:noProof/>
          <w:szCs w:val="28"/>
          <w:lang w:eastAsia="es-MX"/>
        </w:rPr>
        <w:drawing>
          <wp:inline distT="0" distB="0" distL="0" distR="0">
            <wp:extent cx="4380712" cy="6483584"/>
            <wp:effectExtent l="19050" t="0" r="788"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4383492" cy="6487698"/>
                    </a:xfrm>
                    <a:prstGeom prst="rect">
                      <a:avLst/>
                    </a:prstGeom>
                    <a:noFill/>
                    <a:ln w="9525">
                      <a:noFill/>
                      <a:miter lim="800000"/>
                      <a:headEnd/>
                      <a:tailEnd/>
                    </a:ln>
                  </pic:spPr>
                </pic:pic>
              </a:graphicData>
            </a:graphic>
          </wp:inline>
        </w:drawing>
      </w:r>
    </w:p>
    <w:p w:rsidR="0063341C" w:rsidRPr="00AC5EB1" w:rsidRDefault="0076247A" w:rsidP="00AC5EB1">
      <w:pPr>
        <w:rPr>
          <w:rFonts w:cs="Times New Roman"/>
          <w:b/>
          <w:sz w:val="28"/>
          <w:szCs w:val="28"/>
        </w:rPr>
      </w:pPr>
      <w:r>
        <w:rPr>
          <w:rFonts w:cs="Times New Roman"/>
          <w:b/>
          <w:sz w:val="28"/>
          <w:szCs w:val="28"/>
        </w:rPr>
        <w:br w:type="page"/>
      </w:r>
      <w:r w:rsidR="00B12720">
        <w:rPr>
          <w:rFonts w:cs="Times New Roman"/>
          <w:b/>
          <w:sz w:val="28"/>
          <w:szCs w:val="28"/>
        </w:rPr>
        <w:lastRenderedPageBreak/>
        <w:t>3</w:t>
      </w:r>
      <w:r w:rsidR="00AC5EB1" w:rsidRPr="00AC5EB1">
        <w:rPr>
          <w:rFonts w:cs="Times New Roman"/>
          <w:b/>
          <w:sz w:val="28"/>
          <w:szCs w:val="28"/>
        </w:rPr>
        <w:t xml:space="preserve">.- </w:t>
      </w:r>
      <w:r w:rsidR="00AC5EB1">
        <w:rPr>
          <w:rFonts w:cs="Times New Roman"/>
          <w:b/>
          <w:sz w:val="28"/>
          <w:szCs w:val="28"/>
        </w:rPr>
        <w:t>N</w:t>
      </w:r>
      <w:r w:rsidR="00AC5EB1" w:rsidRPr="00AC5EB1">
        <w:rPr>
          <w:rFonts w:cs="Times New Roman"/>
          <w:b/>
          <w:sz w:val="28"/>
          <w:szCs w:val="28"/>
        </w:rPr>
        <w:t>OTAS DE DESGLOSE</w:t>
      </w:r>
    </w:p>
    <w:p w:rsidR="00114A08" w:rsidRPr="005411E0" w:rsidRDefault="00114A08" w:rsidP="00114A08">
      <w:pPr>
        <w:pStyle w:val="Sinespaciado"/>
        <w:jc w:val="both"/>
        <w:rPr>
          <w:b/>
          <w:sz w:val="23"/>
          <w:szCs w:val="23"/>
        </w:rPr>
      </w:pPr>
      <w:r w:rsidRPr="005411E0">
        <w:rPr>
          <w:b/>
          <w:sz w:val="23"/>
          <w:szCs w:val="23"/>
        </w:rPr>
        <w:t>Nota 1.- Efectivo y Equivalentes.</w:t>
      </w:r>
    </w:p>
    <w:p w:rsidR="00114A08" w:rsidRPr="005411E0" w:rsidRDefault="00114A08" w:rsidP="00114A08">
      <w:pPr>
        <w:pStyle w:val="Sinespaciado"/>
        <w:jc w:val="both"/>
        <w:rPr>
          <w:sz w:val="23"/>
          <w:szCs w:val="23"/>
        </w:rPr>
      </w:pPr>
    </w:p>
    <w:p w:rsidR="00114A08" w:rsidRPr="005411E0" w:rsidRDefault="00114A08" w:rsidP="00114A08">
      <w:pPr>
        <w:pStyle w:val="Sinespaciado"/>
        <w:jc w:val="both"/>
        <w:rPr>
          <w:sz w:val="23"/>
          <w:szCs w:val="23"/>
        </w:rPr>
      </w:pPr>
      <w:r w:rsidRPr="005411E0">
        <w:rPr>
          <w:sz w:val="23"/>
          <w:szCs w:val="23"/>
        </w:rPr>
        <w:t xml:space="preserve">Los montos reflejados en este rubro representan la disponibilidad que se tiene para realizar pagos a corto plazo, como son, entre otros: a los prestadores de bienes y servicios; a contratistas por obra pública en proceso; a la Secretaría de Hacienda y Crédito Público, por las retenciones del Impuesto Sobre la Renta, sobre sueldos y salarios, honorarios y arrendamientos; al Instituto Mexicano del Seguro Social, por las cuotas obrero patronales de la burocracia; a la Tesorería de la Federación, por diferencias de anticipos pendientes de entregar. Asimismo, incluye recursos federales que serán utilizados para obras o programas que se encuentran en proceso de ejecución. </w:t>
      </w:r>
    </w:p>
    <w:p w:rsidR="005411E0" w:rsidRPr="005411E0" w:rsidRDefault="005411E0" w:rsidP="00114A08">
      <w:pPr>
        <w:pStyle w:val="Sinespaciado"/>
        <w:jc w:val="both"/>
        <w:rPr>
          <w:sz w:val="23"/>
          <w:szCs w:val="23"/>
        </w:rPr>
      </w:pPr>
    </w:p>
    <w:p w:rsidR="00114A08" w:rsidRDefault="00114A08" w:rsidP="00114A08">
      <w:pPr>
        <w:pStyle w:val="Sinespaciado"/>
        <w:jc w:val="both"/>
        <w:rPr>
          <w:sz w:val="23"/>
          <w:szCs w:val="23"/>
        </w:rPr>
      </w:pPr>
      <w:r w:rsidRPr="005411E0">
        <w:rPr>
          <w:sz w:val="23"/>
          <w:szCs w:val="23"/>
        </w:rPr>
        <w:t xml:space="preserve">Al </w:t>
      </w:r>
      <w:r w:rsidR="00093626">
        <w:rPr>
          <w:sz w:val="23"/>
          <w:szCs w:val="23"/>
        </w:rPr>
        <w:t>31 de Diciembre</w:t>
      </w:r>
      <w:r w:rsidR="00E87407">
        <w:rPr>
          <w:sz w:val="23"/>
          <w:szCs w:val="23"/>
        </w:rPr>
        <w:t xml:space="preserve"> de 2014</w:t>
      </w:r>
      <w:r w:rsidRPr="005411E0">
        <w:rPr>
          <w:sz w:val="23"/>
          <w:szCs w:val="23"/>
        </w:rPr>
        <w:t xml:space="preserve"> el efectivo se encontraba integrado de la siguiente manera:</w:t>
      </w:r>
    </w:p>
    <w:p w:rsidR="005411E0" w:rsidRDefault="005411E0" w:rsidP="00114A08">
      <w:pPr>
        <w:pStyle w:val="Sinespaciado"/>
        <w:jc w:val="both"/>
        <w:rPr>
          <w:sz w:val="23"/>
          <w:szCs w:val="23"/>
        </w:rPr>
      </w:pPr>
    </w:p>
    <w:p w:rsidR="005411E0" w:rsidRPr="005411E0" w:rsidRDefault="005411E0" w:rsidP="00114A08">
      <w:pPr>
        <w:pStyle w:val="Sinespaciado"/>
        <w:jc w:val="both"/>
        <w:rPr>
          <w:sz w:val="23"/>
          <w:szCs w:val="23"/>
        </w:rPr>
      </w:pPr>
    </w:p>
    <w:p w:rsidR="00114A08" w:rsidRPr="005411E0" w:rsidRDefault="00114A08" w:rsidP="00114A08">
      <w:pPr>
        <w:pStyle w:val="Sinespaciado"/>
        <w:jc w:val="both"/>
        <w:rPr>
          <w:sz w:val="23"/>
          <w:szCs w:val="23"/>
        </w:rPr>
      </w:pPr>
    </w:p>
    <w:tbl>
      <w:tblPr>
        <w:tblW w:w="0" w:type="auto"/>
        <w:jc w:val="center"/>
        <w:tblLayout w:type="fixed"/>
        <w:tblCellMar>
          <w:left w:w="70" w:type="dxa"/>
          <w:right w:w="70" w:type="dxa"/>
        </w:tblCellMar>
        <w:tblLook w:val="04A0"/>
      </w:tblPr>
      <w:tblGrid>
        <w:gridCol w:w="4464"/>
        <w:gridCol w:w="1676"/>
      </w:tblGrid>
      <w:tr w:rsidR="005411E0" w:rsidRPr="005411E0" w:rsidTr="005411E0">
        <w:trPr>
          <w:trHeight w:val="276"/>
          <w:jc w:val="center"/>
        </w:trPr>
        <w:tc>
          <w:tcPr>
            <w:tcW w:w="4464" w:type="dxa"/>
            <w:shd w:val="clear" w:color="auto" w:fill="auto"/>
            <w:vAlign w:val="center"/>
            <w:hideMark/>
          </w:tcPr>
          <w:p w:rsidR="005411E0" w:rsidRPr="005411E0" w:rsidRDefault="005411E0" w:rsidP="005411E0">
            <w:pPr>
              <w:spacing w:after="0" w:line="240" w:lineRule="auto"/>
              <w:jc w:val="center"/>
              <w:rPr>
                <w:b/>
                <w:sz w:val="23"/>
                <w:szCs w:val="23"/>
              </w:rPr>
            </w:pPr>
            <w:r w:rsidRPr="005411E0">
              <w:rPr>
                <w:b/>
                <w:sz w:val="23"/>
                <w:szCs w:val="23"/>
              </w:rPr>
              <w:t>CONCEPTO</w:t>
            </w:r>
          </w:p>
        </w:tc>
        <w:tc>
          <w:tcPr>
            <w:tcW w:w="1676" w:type="dxa"/>
            <w:vAlign w:val="center"/>
          </w:tcPr>
          <w:p w:rsidR="005411E0" w:rsidRPr="005411E0" w:rsidRDefault="005411E0" w:rsidP="005411E0">
            <w:pPr>
              <w:spacing w:after="0" w:line="240" w:lineRule="auto"/>
              <w:jc w:val="right"/>
              <w:rPr>
                <w:sz w:val="23"/>
                <w:szCs w:val="23"/>
              </w:rPr>
            </w:pPr>
          </w:p>
        </w:tc>
      </w:tr>
      <w:tr w:rsidR="005411E0" w:rsidRPr="005411E0" w:rsidTr="005411E0">
        <w:trPr>
          <w:trHeight w:val="276"/>
          <w:jc w:val="center"/>
        </w:trPr>
        <w:tc>
          <w:tcPr>
            <w:tcW w:w="4464" w:type="dxa"/>
            <w:shd w:val="clear" w:color="auto" w:fill="auto"/>
            <w:vAlign w:val="center"/>
            <w:hideMark/>
          </w:tcPr>
          <w:p w:rsidR="005411E0" w:rsidRPr="005411E0" w:rsidRDefault="005411E0" w:rsidP="005411E0">
            <w:pPr>
              <w:spacing w:after="0" w:line="240" w:lineRule="auto"/>
              <w:ind w:right="-70"/>
              <w:jc w:val="right"/>
              <w:rPr>
                <w:sz w:val="23"/>
                <w:szCs w:val="23"/>
              </w:rPr>
            </w:pPr>
          </w:p>
        </w:tc>
        <w:tc>
          <w:tcPr>
            <w:tcW w:w="1676" w:type="dxa"/>
            <w:vAlign w:val="center"/>
          </w:tcPr>
          <w:p w:rsidR="005411E0" w:rsidRPr="005411E0" w:rsidRDefault="005411E0" w:rsidP="005411E0">
            <w:pPr>
              <w:spacing w:after="0" w:line="240" w:lineRule="auto"/>
              <w:jc w:val="right"/>
              <w:rPr>
                <w:sz w:val="23"/>
                <w:szCs w:val="23"/>
              </w:rPr>
            </w:pPr>
          </w:p>
        </w:tc>
      </w:tr>
      <w:tr w:rsidR="005411E0" w:rsidRPr="005411E0" w:rsidTr="005411E0">
        <w:trPr>
          <w:trHeight w:val="276"/>
          <w:jc w:val="center"/>
        </w:trPr>
        <w:tc>
          <w:tcPr>
            <w:tcW w:w="4464" w:type="dxa"/>
            <w:shd w:val="clear" w:color="auto" w:fill="auto"/>
            <w:vAlign w:val="center"/>
            <w:hideMark/>
          </w:tcPr>
          <w:p w:rsidR="005411E0" w:rsidRPr="005411E0" w:rsidRDefault="005411E0" w:rsidP="005411E0">
            <w:pPr>
              <w:spacing w:after="0" w:line="240" w:lineRule="auto"/>
              <w:rPr>
                <w:sz w:val="23"/>
                <w:szCs w:val="23"/>
              </w:rPr>
            </w:pPr>
            <w:r w:rsidRPr="005411E0">
              <w:rPr>
                <w:sz w:val="23"/>
                <w:szCs w:val="23"/>
              </w:rPr>
              <w:t>Fondos Fijos de Caja</w:t>
            </w:r>
          </w:p>
        </w:tc>
        <w:tc>
          <w:tcPr>
            <w:tcW w:w="1676" w:type="dxa"/>
            <w:vAlign w:val="center"/>
          </w:tcPr>
          <w:p w:rsidR="00B0410C" w:rsidRPr="005411E0" w:rsidRDefault="00FE7A44" w:rsidP="00B0410C">
            <w:pPr>
              <w:spacing w:after="0" w:line="240" w:lineRule="auto"/>
              <w:jc w:val="right"/>
              <w:rPr>
                <w:sz w:val="23"/>
                <w:szCs w:val="23"/>
              </w:rPr>
            </w:pPr>
            <w:r>
              <w:rPr>
                <w:sz w:val="23"/>
                <w:szCs w:val="23"/>
              </w:rPr>
              <w:t>2,102</w:t>
            </w:r>
          </w:p>
        </w:tc>
      </w:tr>
      <w:tr w:rsidR="005411E0" w:rsidRPr="005411E0" w:rsidTr="00FE7A44">
        <w:trPr>
          <w:trHeight w:val="276"/>
          <w:jc w:val="center"/>
        </w:trPr>
        <w:tc>
          <w:tcPr>
            <w:tcW w:w="4464" w:type="dxa"/>
            <w:shd w:val="clear" w:color="auto" w:fill="auto"/>
            <w:vAlign w:val="center"/>
            <w:hideMark/>
          </w:tcPr>
          <w:p w:rsidR="005411E0" w:rsidRPr="005411E0" w:rsidRDefault="005411E0" w:rsidP="005411E0">
            <w:pPr>
              <w:spacing w:after="0" w:line="240" w:lineRule="auto"/>
              <w:rPr>
                <w:sz w:val="23"/>
                <w:szCs w:val="23"/>
              </w:rPr>
            </w:pPr>
            <w:r w:rsidRPr="005411E0">
              <w:rPr>
                <w:sz w:val="23"/>
                <w:szCs w:val="23"/>
              </w:rPr>
              <w:t>Bancos Moneda Nacional</w:t>
            </w:r>
          </w:p>
        </w:tc>
        <w:tc>
          <w:tcPr>
            <w:tcW w:w="1676" w:type="dxa"/>
            <w:vAlign w:val="center"/>
          </w:tcPr>
          <w:p w:rsidR="005411E0" w:rsidRPr="005411E0" w:rsidRDefault="00FE7A44" w:rsidP="000E7441">
            <w:pPr>
              <w:spacing w:after="0" w:line="240" w:lineRule="auto"/>
              <w:jc w:val="right"/>
              <w:rPr>
                <w:sz w:val="23"/>
                <w:szCs w:val="23"/>
              </w:rPr>
            </w:pPr>
            <w:r>
              <w:rPr>
                <w:sz w:val="23"/>
                <w:szCs w:val="23"/>
              </w:rPr>
              <w:t>2,919,808</w:t>
            </w:r>
          </w:p>
        </w:tc>
      </w:tr>
      <w:tr w:rsidR="00FE7A44" w:rsidRPr="005411E0" w:rsidTr="00FE7A44">
        <w:trPr>
          <w:trHeight w:val="276"/>
          <w:jc w:val="center"/>
        </w:trPr>
        <w:tc>
          <w:tcPr>
            <w:tcW w:w="4464" w:type="dxa"/>
            <w:shd w:val="clear" w:color="auto" w:fill="auto"/>
            <w:vAlign w:val="center"/>
            <w:hideMark/>
          </w:tcPr>
          <w:p w:rsidR="00FE7A44" w:rsidRPr="005411E0" w:rsidRDefault="00FE7A44" w:rsidP="005411E0">
            <w:pPr>
              <w:spacing w:after="0" w:line="240" w:lineRule="auto"/>
              <w:rPr>
                <w:sz w:val="23"/>
                <w:szCs w:val="23"/>
              </w:rPr>
            </w:pPr>
            <w:r w:rsidRPr="005411E0">
              <w:rPr>
                <w:sz w:val="23"/>
                <w:szCs w:val="23"/>
              </w:rPr>
              <w:t>Inversiones en Moneda Nacional corto plazo</w:t>
            </w:r>
          </w:p>
        </w:tc>
        <w:tc>
          <w:tcPr>
            <w:tcW w:w="1676" w:type="dxa"/>
            <w:vAlign w:val="center"/>
          </w:tcPr>
          <w:p w:rsidR="00FE7A44" w:rsidRPr="005411E0" w:rsidRDefault="00FE7A44" w:rsidP="005411E0">
            <w:pPr>
              <w:spacing w:after="0" w:line="240" w:lineRule="auto"/>
              <w:jc w:val="right"/>
              <w:rPr>
                <w:sz w:val="23"/>
                <w:szCs w:val="23"/>
              </w:rPr>
            </w:pPr>
            <w:r>
              <w:rPr>
                <w:sz w:val="23"/>
                <w:szCs w:val="23"/>
              </w:rPr>
              <w:t>3,343,144</w:t>
            </w:r>
          </w:p>
        </w:tc>
      </w:tr>
      <w:tr w:rsidR="005411E0" w:rsidRPr="005411E0" w:rsidTr="00FE7A44">
        <w:trPr>
          <w:trHeight w:val="276"/>
          <w:jc w:val="center"/>
        </w:trPr>
        <w:tc>
          <w:tcPr>
            <w:tcW w:w="4464" w:type="dxa"/>
            <w:shd w:val="clear" w:color="auto" w:fill="auto"/>
            <w:vAlign w:val="center"/>
            <w:hideMark/>
          </w:tcPr>
          <w:p w:rsidR="005411E0" w:rsidRPr="005411E0" w:rsidRDefault="00FE7A44" w:rsidP="005411E0">
            <w:pPr>
              <w:spacing w:after="0" w:line="240" w:lineRule="auto"/>
              <w:rPr>
                <w:sz w:val="23"/>
                <w:szCs w:val="23"/>
              </w:rPr>
            </w:pPr>
            <w:r>
              <w:rPr>
                <w:sz w:val="23"/>
                <w:szCs w:val="23"/>
              </w:rPr>
              <w:t xml:space="preserve">Depósitos en garantía </w:t>
            </w:r>
          </w:p>
        </w:tc>
        <w:tc>
          <w:tcPr>
            <w:tcW w:w="1676" w:type="dxa"/>
            <w:tcBorders>
              <w:bottom w:val="single" w:sz="4" w:space="0" w:color="auto"/>
            </w:tcBorders>
            <w:vAlign w:val="center"/>
          </w:tcPr>
          <w:p w:rsidR="005411E0" w:rsidRPr="005411E0" w:rsidRDefault="00FE7A44" w:rsidP="005411E0">
            <w:pPr>
              <w:spacing w:after="0" w:line="240" w:lineRule="auto"/>
              <w:jc w:val="right"/>
              <w:rPr>
                <w:sz w:val="23"/>
                <w:szCs w:val="23"/>
              </w:rPr>
            </w:pPr>
            <w:r>
              <w:rPr>
                <w:sz w:val="23"/>
                <w:szCs w:val="23"/>
              </w:rPr>
              <w:t>622</w:t>
            </w:r>
          </w:p>
        </w:tc>
      </w:tr>
      <w:tr w:rsidR="005411E0" w:rsidRPr="005411E0" w:rsidTr="005411E0">
        <w:trPr>
          <w:trHeight w:val="276"/>
          <w:jc w:val="center"/>
        </w:trPr>
        <w:tc>
          <w:tcPr>
            <w:tcW w:w="4464" w:type="dxa"/>
            <w:shd w:val="clear" w:color="auto" w:fill="auto"/>
            <w:vAlign w:val="center"/>
            <w:hideMark/>
          </w:tcPr>
          <w:p w:rsidR="005411E0" w:rsidRPr="005411E0" w:rsidRDefault="005411E0" w:rsidP="005411E0">
            <w:pPr>
              <w:spacing w:after="0" w:line="240" w:lineRule="auto"/>
              <w:jc w:val="right"/>
              <w:rPr>
                <w:b/>
                <w:sz w:val="23"/>
                <w:szCs w:val="23"/>
              </w:rPr>
            </w:pPr>
            <w:r w:rsidRPr="005411E0">
              <w:rPr>
                <w:b/>
                <w:sz w:val="23"/>
                <w:szCs w:val="23"/>
              </w:rPr>
              <w:t>SUMAS</w:t>
            </w:r>
          </w:p>
        </w:tc>
        <w:tc>
          <w:tcPr>
            <w:tcW w:w="1676" w:type="dxa"/>
            <w:tcBorders>
              <w:top w:val="single" w:sz="4" w:space="0" w:color="auto"/>
            </w:tcBorders>
            <w:vAlign w:val="center"/>
          </w:tcPr>
          <w:p w:rsidR="005411E0" w:rsidRPr="005411E0" w:rsidRDefault="006A4AE0" w:rsidP="005411E0">
            <w:pPr>
              <w:spacing w:after="0" w:line="240" w:lineRule="auto"/>
              <w:jc w:val="right"/>
              <w:rPr>
                <w:b/>
                <w:sz w:val="23"/>
                <w:szCs w:val="23"/>
              </w:rPr>
            </w:pPr>
            <w:r>
              <w:rPr>
                <w:b/>
                <w:sz w:val="23"/>
                <w:szCs w:val="23"/>
              </w:rPr>
              <w:fldChar w:fldCharType="begin"/>
            </w:r>
            <w:r w:rsidR="00FE7A44">
              <w:rPr>
                <w:b/>
                <w:sz w:val="23"/>
                <w:szCs w:val="23"/>
              </w:rPr>
              <w:instrText xml:space="preserve"> =SUM(ABOVE) </w:instrText>
            </w:r>
            <w:r>
              <w:rPr>
                <w:b/>
                <w:sz w:val="23"/>
                <w:szCs w:val="23"/>
              </w:rPr>
              <w:fldChar w:fldCharType="separate"/>
            </w:r>
            <w:r w:rsidR="00FE7A44">
              <w:rPr>
                <w:b/>
                <w:noProof/>
                <w:sz w:val="23"/>
                <w:szCs w:val="23"/>
              </w:rPr>
              <w:t>6,265,676</w:t>
            </w:r>
            <w:r>
              <w:rPr>
                <w:b/>
                <w:sz w:val="23"/>
                <w:szCs w:val="23"/>
              </w:rPr>
              <w:fldChar w:fldCharType="end"/>
            </w:r>
          </w:p>
        </w:tc>
      </w:tr>
    </w:tbl>
    <w:p w:rsidR="00114A08" w:rsidRPr="005411E0" w:rsidRDefault="00114A08" w:rsidP="00114A08">
      <w:pPr>
        <w:pStyle w:val="Sinespaciado"/>
        <w:jc w:val="both"/>
        <w:rPr>
          <w:sz w:val="23"/>
          <w:szCs w:val="23"/>
        </w:rPr>
      </w:pPr>
    </w:p>
    <w:p w:rsidR="00564A6D" w:rsidRDefault="00564A6D" w:rsidP="00114A08">
      <w:pPr>
        <w:pStyle w:val="Sinespaciado"/>
        <w:jc w:val="both"/>
        <w:rPr>
          <w:sz w:val="23"/>
          <w:szCs w:val="23"/>
        </w:rPr>
      </w:pPr>
    </w:p>
    <w:p w:rsidR="00581FCE" w:rsidRPr="005411E0" w:rsidRDefault="00581FCE" w:rsidP="00114A08">
      <w:pPr>
        <w:pStyle w:val="Sinespaciado"/>
        <w:jc w:val="both"/>
        <w:rPr>
          <w:sz w:val="23"/>
          <w:szCs w:val="23"/>
        </w:rPr>
      </w:pPr>
    </w:p>
    <w:p w:rsidR="00114A08" w:rsidRPr="005411E0" w:rsidRDefault="00114A08" w:rsidP="00114A08">
      <w:pPr>
        <w:pStyle w:val="Sinespaciado"/>
        <w:jc w:val="both"/>
        <w:rPr>
          <w:b/>
          <w:sz w:val="23"/>
          <w:szCs w:val="23"/>
        </w:rPr>
      </w:pPr>
      <w:r w:rsidRPr="005411E0">
        <w:rPr>
          <w:b/>
          <w:sz w:val="23"/>
          <w:szCs w:val="23"/>
        </w:rPr>
        <w:t xml:space="preserve">Nota 2.- Derechos a recibir Efectivo y Equivalentes </w:t>
      </w:r>
      <w:r w:rsidR="00811CA4">
        <w:rPr>
          <w:b/>
          <w:sz w:val="23"/>
          <w:szCs w:val="23"/>
        </w:rPr>
        <w:t>y Bienes o Servicios a Recibir.</w:t>
      </w:r>
    </w:p>
    <w:p w:rsidR="00114A08" w:rsidRPr="005411E0" w:rsidRDefault="00114A08" w:rsidP="00114A08">
      <w:pPr>
        <w:pStyle w:val="Sinespaciado"/>
        <w:jc w:val="both"/>
        <w:rPr>
          <w:sz w:val="23"/>
          <w:szCs w:val="23"/>
        </w:rPr>
      </w:pPr>
    </w:p>
    <w:p w:rsidR="00114A08" w:rsidRPr="005411E0" w:rsidRDefault="00114A08" w:rsidP="00114A08">
      <w:pPr>
        <w:pStyle w:val="Sinespaciado"/>
        <w:jc w:val="both"/>
        <w:rPr>
          <w:sz w:val="23"/>
          <w:szCs w:val="23"/>
        </w:rPr>
      </w:pPr>
      <w:r w:rsidRPr="005411E0">
        <w:rPr>
          <w:sz w:val="23"/>
          <w:szCs w:val="23"/>
        </w:rPr>
        <w:t>Corresponde a los derechos que tiene el Estado a recibir efectivo y equivalentes, y bienes o servicios a recibir.</w:t>
      </w:r>
    </w:p>
    <w:p w:rsidR="00114A08" w:rsidRPr="005411E0" w:rsidRDefault="00114A08" w:rsidP="00114A08">
      <w:pPr>
        <w:pStyle w:val="Sinespaciado"/>
        <w:jc w:val="both"/>
        <w:rPr>
          <w:sz w:val="23"/>
          <w:szCs w:val="23"/>
        </w:rPr>
      </w:pPr>
    </w:p>
    <w:p w:rsidR="00114A08" w:rsidRPr="005411E0" w:rsidRDefault="00114A08" w:rsidP="00114A08">
      <w:pPr>
        <w:pStyle w:val="Sinespaciado"/>
        <w:jc w:val="both"/>
        <w:rPr>
          <w:sz w:val="23"/>
          <w:szCs w:val="23"/>
        </w:rPr>
      </w:pPr>
      <w:r w:rsidRPr="005411E0">
        <w:rPr>
          <w:sz w:val="23"/>
          <w:szCs w:val="23"/>
        </w:rPr>
        <w:t>Los saldos de esta cuenta se integran de la siguiente manera:</w:t>
      </w:r>
    </w:p>
    <w:p w:rsidR="00A464F6" w:rsidRPr="005411E0" w:rsidRDefault="00A464F6" w:rsidP="00114A08">
      <w:pPr>
        <w:pStyle w:val="Sinespaciado"/>
        <w:jc w:val="both"/>
        <w:rPr>
          <w:sz w:val="23"/>
          <w:szCs w:val="23"/>
        </w:rPr>
      </w:pPr>
    </w:p>
    <w:p w:rsidR="00114A08" w:rsidRPr="005411E0" w:rsidRDefault="00114A08" w:rsidP="00284C5D">
      <w:pPr>
        <w:pStyle w:val="Sinespaciado"/>
        <w:tabs>
          <w:tab w:val="left" w:pos="7655"/>
          <w:tab w:val="left" w:pos="7797"/>
        </w:tabs>
        <w:jc w:val="both"/>
        <w:rPr>
          <w:sz w:val="23"/>
          <w:szCs w:val="23"/>
        </w:rPr>
      </w:pPr>
    </w:p>
    <w:tbl>
      <w:tblPr>
        <w:tblW w:w="6161" w:type="dxa"/>
        <w:jc w:val="center"/>
        <w:tblInd w:w="55" w:type="dxa"/>
        <w:tblCellMar>
          <w:left w:w="70" w:type="dxa"/>
          <w:right w:w="70" w:type="dxa"/>
        </w:tblCellMar>
        <w:tblLook w:val="04A0"/>
      </w:tblPr>
      <w:tblGrid>
        <w:gridCol w:w="4808"/>
        <w:gridCol w:w="1353"/>
      </w:tblGrid>
      <w:tr w:rsidR="00946AD5" w:rsidRPr="005411E0" w:rsidTr="00946AD5">
        <w:trPr>
          <w:trHeight w:val="248"/>
          <w:jc w:val="center"/>
        </w:trPr>
        <w:tc>
          <w:tcPr>
            <w:tcW w:w="4808" w:type="dxa"/>
            <w:shd w:val="clear" w:color="auto" w:fill="auto"/>
            <w:vAlign w:val="center"/>
            <w:hideMark/>
          </w:tcPr>
          <w:p w:rsidR="00946AD5" w:rsidRPr="005411E0" w:rsidRDefault="00946AD5" w:rsidP="00946AD5">
            <w:pPr>
              <w:spacing w:after="0" w:line="240" w:lineRule="auto"/>
              <w:contextualSpacing/>
              <w:jc w:val="center"/>
              <w:rPr>
                <w:b/>
                <w:sz w:val="23"/>
                <w:szCs w:val="23"/>
              </w:rPr>
            </w:pPr>
            <w:r w:rsidRPr="005411E0">
              <w:rPr>
                <w:b/>
                <w:sz w:val="23"/>
                <w:szCs w:val="23"/>
              </w:rPr>
              <w:t>CONCEPTO</w:t>
            </w:r>
          </w:p>
          <w:p w:rsidR="00946AD5" w:rsidRPr="005411E0" w:rsidRDefault="00946AD5" w:rsidP="00946AD5">
            <w:pPr>
              <w:spacing w:after="0" w:line="240" w:lineRule="auto"/>
              <w:contextualSpacing/>
              <w:jc w:val="center"/>
              <w:rPr>
                <w:sz w:val="23"/>
                <w:szCs w:val="23"/>
              </w:rPr>
            </w:pPr>
          </w:p>
        </w:tc>
        <w:tc>
          <w:tcPr>
            <w:tcW w:w="1353" w:type="dxa"/>
            <w:vAlign w:val="center"/>
          </w:tcPr>
          <w:p w:rsidR="00946AD5" w:rsidRPr="005411E0" w:rsidRDefault="00946AD5" w:rsidP="00946AD5">
            <w:pPr>
              <w:spacing w:after="0" w:line="240" w:lineRule="auto"/>
              <w:contextualSpacing/>
              <w:jc w:val="center"/>
              <w:rPr>
                <w:sz w:val="23"/>
                <w:szCs w:val="23"/>
              </w:rPr>
            </w:pPr>
          </w:p>
        </w:tc>
      </w:tr>
      <w:tr w:rsidR="00946AD5" w:rsidRPr="005411E0" w:rsidTr="00946AD5">
        <w:trPr>
          <w:trHeight w:val="248"/>
          <w:jc w:val="center"/>
        </w:trPr>
        <w:tc>
          <w:tcPr>
            <w:tcW w:w="4808" w:type="dxa"/>
            <w:shd w:val="clear" w:color="auto" w:fill="auto"/>
            <w:vAlign w:val="center"/>
            <w:hideMark/>
          </w:tcPr>
          <w:p w:rsidR="00946AD5" w:rsidRPr="005411E0" w:rsidRDefault="00946AD5" w:rsidP="00946AD5">
            <w:pPr>
              <w:spacing w:after="0" w:line="240" w:lineRule="auto"/>
              <w:contextualSpacing/>
              <w:rPr>
                <w:sz w:val="23"/>
                <w:szCs w:val="23"/>
              </w:rPr>
            </w:pPr>
            <w:r w:rsidRPr="005411E0">
              <w:rPr>
                <w:sz w:val="23"/>
                <w:szCs w:val="23"/>
              </w:rPr>
              <w:t>Otras cuentas por cobrar</w:t>
            </w:r>
          </w:p>
        </w:tc>
        <w:tc>
          <w:tcPr>
            <w:tcW w:w="1353" w:type="dxa"/>
            <w:vAlign w:val="center"/>
          </w:tcPr>
          <w:p w:rsidR="007E13F7" w:rsidRPr="005411E0" w:rsidRDefault="00FE7A44" w:rsidP="007E13F7">
            <w:pPr>
              <w:spacing w:after="0" w:line="240" w:lineRule="auto"/>
              <w:contextualSpacing/>
              <w:jc w:val="right"/>
              <w:rPr>
                <w:sz w:val="23"/>
                <w:szCs w:val="23"/>
              </w:rPr>
            </w:pPr>
            <w:r>
              <w:rPr>
                <w:sz w:val="23"/>
                <w:szCs w:val="23"/>
              </w:rPr>
              <w:t>787,698</w:t>
            </w:r>
          </w:p>
        </w:tc>
      </w:tr>
      <w:tr w:rsidR="00946AD5" w:rsidRPr="005411E0" w:rsidTr="00946AD5">
        <w:trPr>
          <w:trHeight w:val="474"/>
          <w:jc w:val="center"/>
        </w:trPr>
        <w:tc>
          <w:tcPr>
            <w:tcW w:w="4808" w:type="dxa"/>
            <w:shd w:val="clear" w:color="auto" w:fill="auto"/>
            <w:vAlign w:val="center"/>
            <w:hideMark/>
          </w:tcPr>
          <w:p w:rsidR="00946AD5" w:rsidRPr="005411E0" w:rsidRDefault="00946AD5" w:rsidP="00946AD5">
            <w:pPr>
              <w:spacing w:after="0" w:line="240" w:lineRule="auto"/>
              <w:contextualSpacing/>
              <w:rPr>
                <w:sz w:val="23"/>
                <w:szCs w:val="23"/>
              </w:rPr>
            </w:pPr>
            <w:r w:rsidRPr="005411E0">
              <w:rPr>
                <w:sz w:val="23"/>
                <w:szCs w:val="23"/>
              </w:rPr>
              <w:t>Otros deudores diversos por cobrar a corto plazo</w:t>
            </w:r>
          </w:p>
        </w:tc>
        <w:tc>
          <w:tcPr>
            <w:tcW w:w="1353" w:type="dxa"/>
            <w:tcBorders>
              <w:bottom w:val="single" w:sz="4" w:space="0" w:color="auto"/>
            </w:tcBorders>
            <w:vAlign w:val="center"/>
          </w:tcPr>
          <w:p w:rsidR="00946AD5" w:rsidRPr="005411E0" w:rsidRDefault="00FE7A44" w:rsidP="00946AD5">
            <w:pPr>
              <w:spacing w:after="0" w:line="240" w:lineRule="auto"/>
              <w:contextualSpacing/>
              <w:jc w:val="right"/>
              <w:rPr>
                <w:sz w:val="23"/>
                <w:szCs w:val="23"/>
              </w:rPr>
            </w:pPr>
            <w:r>
              <w:rPr>
                <w:sz w:val="23"/>
                <w:szCs w:val="23"/>
              </w:rPr>
              <w:t>3,513,917</w:t>
            </w:r>
          </w:p>
        </w:tc>
      </w:tr>
      <w:tr w:rsidR="00946AD5" w:rsidRPr="005411E0" w:rsidTr="00946AD5">
        <w:trPr>
          <w:trHeight w:val="248"/>
          <w:jc w:val="center"/>
        </w:trPr>
        <w:tc>
          <w:tcPr>
            <w:tcW w:w="4808" w:type="dxa"/>
            <w:shd w:val="clear" w:color="auto" w:fill="auto"/>
            <w:vAlign w:val="center"/>
            <w:hideMark/>
          </w:tcPr>
          <w:p w:rsidR="00946AD5" w:rsidRPr="005411E0" w:rsidRDefault="00946AD5" w:rsidP="005411E0">
            <w:pPr>
              <w:spacing w:after="0" w:line="240" w:lineRule="auto"/>
              <w:contextualSpacing/>
              <w:jc w:val="right"/>
              <w:rPr>
                <w:b/>
                <w:sz w:val="23"/>
                <w:szCs w:val="23"/>
              </w:rPr>
            </w:pPr>
            <w:r w:rsidRPr="005411E0">
              <w:rPr>
                <w:b/>
                <w:sz w:val="23"/>
                <w:szCs w:val="23"/>
              </w:rPr>
              <w:t>SUMAS</w:t>
            </w:r>
          </w:p>
        </w:tc>
        <w:tc>
          <w:tcPr>
            <w:tcW w:w="1353" w:type="dxa"/>
            <w:tcBorders>
              <w:top w:val="single" w:sz="4" w:space="0" w:color="auto"/>
            </w:tcBorders>
            <w:vAlign w:val="center"/>
          </w:tcPr>
          <w:p w:rsidR="00946AD5" w:rsidRPr="005411E0" w:rsidRDefault="006A4AE0" w:rsidP="009866AB">
            <w:pPr>
              <w:spacing w:after="0" w:line="240" w:lineRule="auto"/>
              <w:contextualSpacing/>
              <w:jc w:val="right"/>
              <w:rPr>
                <w:b/>
                <w:sz w:val="23"/>
                <w:szCs w:val="23"/>
              </w:rPr>
            </w:pPr>
            <w:r>
              <w:rPr>
                <w:b/>
                <w:sz w:val="23"/>
                <w:szCs w:val="23"/>
              </w:rPr>
              <w:fldChar w:fldCharType="begin"/>
            </w:r>
            <w:r w:rsidR="00FE7A44">
              <w:rPr>
                <w:b/>
                <w:sz w:val="23"/>
                <w:szCs w:val="23"/>
              </w:rPr>
              <w:instrText xml:space="preserve"> =SUM(ABOVE) </w:instrText>
            </w:r>
            <w:r>
              <w:rPr>
                <w:b/>
                <w:sz w:val="23"/>
                <w:szCs w:val="23"/>
              </w:rPr>
              <w:fldChar w:fldCharType="separate"/>
            </w:r>
            <w:r w:rsidR="00FE7A44">
              <w:rPr>
                <w:b/>
                <w:noProof/>
                <w:sz w:val="23"/>
                <w:szCs w:val="23"/>
              </w:rPr>
              <w:t>4,301,615</w:t>
            </w:r>
            <w:r>
              <w:rPr>
                <w:b/>
                <w:sz w:val="23"/>
                <w:szCs w:val="23"/>
              </w:rPr>
              <w:fldChar w:fldCharType="end"/>
            </w:r>
          </w:p>
        </w:tc>
      </w:tr>
    </w:tbl>
    <w:p w:rsidR="003536AD" w:rsidRPr="005411E0" w:rsidRDefault="003536AD" w:rsidP="00114A08">
      <w:pPr>
        <w:pStyle w:val="Sinespaciado"/>
        <w:jc w:val="both"/>
        <w:rPr>
          <w:sz w:val="23"/>
          <w:szCs w:val="23"/>
        </w:rPr>
      </w:pPr>
    </w:p>
    <w:p w:rsidR="00B0410C" w:rsidRDefault="00B0410C">
      <w:pPr>
        <w:rPr>
          <w:b/>
          <w:sz w:val="23"/>
          <w:szCs w:val="23"/>
        </w:rPr>
      </w:pPr>
      <w:r>
        <w:rPr>
          <w:b/>
          <w:sz w:val="23"/>
          <w:szCs w:val="23"/>
        </w:rPr>
        <w:br w:type="page"/>
      </w:r>
    </w:p>
    <w:p w:rsidR="00114A08" w:rsidRPr="005411E0" w:rsidRDefault="00114A08" w:rsidP="00114A08">
      <w:pPr>
        <w:pStyle w:val="Sinespaciado"/>
        <w:jc w:val="both"/>
        <w:rPr>
          <w:b/>
          <w:sz w:val="23"/>
          <w:szCs w:val="23"/>
        </w:rPr>
      </w:pPr>
      <w:r w:rsidRPr="005411E0">
        <w:rPr>
          <w:b/>
          <w:sz w:val="23"/>
          <w:szCs w:val="23"/>
        </w:rPr>
        <w:lastRenderedPageBreak/>
        <w:t>Derechos a recibir bienes y servicios.</w:t>
      </w:r>
    </w:p>
    <w:p w:rsidR="00114A08" w:rsidRPr="005411E0" w:rsidRDefault="00114A08" w:rsidP="00114A08">
      <w:pPr>
        <w:pStyle w:val="Sinespaciado"/>
        <w:jc w:val="both"/>
        <w:rPr>
          <w:sz w:val="23"/>
          <w:szCs w:val="23"/>
        </w:rPr>
      </w:pPr>
    </w:p>
    <w:p w:rsidR="00114A08" w:rsidRPr="005411E0" w:rsidRDefault="00114A08" w:rsidP="00114A08">
      <w:pPr>
        <w:pStyle w:val="Sinespaciado"/>
        <w:jc w:val="both"/>
        <w:rPr>
          <w:sz w:val="23"/>
          <w:szCs w:val="23"/>
        </w:rPr>
      </w:pPr>
      <w:r w:rsidRPr="005411E0">
        <w:rPr>
          <w:sz w:val="23"/>
          <w:szCs w:val="23"/>
        </w:rPr>
        <w:t>Los saldos de esta cuenta se integran de la siguiente manera:</w:t>
      </w:r>
    </w:p>
    <w:p w:rsidR="00A464F6" w:rsidRPr="005411E0" w:rsidRDefault="007A5DBC" w:rsidP="007A5DBC">
      <w:pPr>
        <w:pStyle w:val="Sinespaciado"/>
        <w:tabs>
          <w:tab w:val="left" w:pos="904"/>
        </w:tabs>
        <w:jc w:val="both"/>
        <w:rPr>
          <w:sz w:val="23"/>
          <w:szCs w:val="23"/>
        </w:rPr>
      </w:pPr>
      <w:r w:rsidRPr="005411E0">
        <w:rPr>
          <w:sz w:val="23"/>
          <w:szCs w:val="23"/>
        </w:rPr>
        <w:tab/>
      </w:r>
    </w:p>
    <w:tbl>
      <w:tblPr>
        <w:tblW w:w="6892" w:type="dxa"/>
        <w:jc w:val="center"/>
        <w:tblInd w:w="55" w:type="dxa"/>
        <w:tblCellMar>
          <w:left w:w="70" w:type="dxa"/>
          <w:right w:w="70" w:type="dxa"/>
        </w:tblCellMar>
        <w:tblLook w:val="04A0"/>
      </w:tblPr>
      <w:tblGrid>
        <w:gridCol w:w="5617"/>
        <w:gridCol w:w="1275"/>
      </w:tblGrid>
      <w:tr w:rsidR="00946AD5" w:rsidRPr="005411E0" w:rsidTr="007E13F7">
        <w:trPr>
          <w:trHeight w:val="570"/>
          <w:jc w:val="center"/>
        </w:trPr>
        <w:tc>
          <w:tcPr>
            <w:tcW w:w="5617" w:type="dxa"/>
            <w:shd w:val="clear" w:color="auto" w:fill="auto"/>
            <w:hideMark/>
          </w:tcPr>
          <w:p w:rsidR="00946AD5" w:rsidRPr="005411E0" w:rsidRDefault="00946AD5" w:rsidP="007A5DBC">
            <w:pPr>
              <w:spacing w:after="0" w:line="240" w:lineRule="auto"/>
              <w:jc w:val="center"/>
              <w:rPr>
                <w:b/>
                <w:sz w:val="23"/>
                <w:szCs w:val="23"/>
              </w:rPr>
            </w:pPr>
            <w:r w:rsidRPr="005411E0">
              <w:rPr>
                <w:b/>
                <w:sz w:val="23"/>
                <w:szCs w:val="23"/>
              </w:rPr>
              <w:t>CONCEPTO</w:t>
            </w:r>
          </w:p>
        </w:tc>
        <w:tc>
          <w:tcPr>
            <w:tcW w:w="1275" w:type="dxa"/>
            <w:shd w:val="clear" w:color="auto" w:fill="auto"/>
            <w:hideMark/>
          </w:tcPr>
          <w:p w:rsidR="00946AD5" w:rsidRPr="005411E0" w:rsidRDefault="00946AD5" w:rsidP="007A5DBC">
            <w:pPr>
              <w:spacing w:after="0" w:line="240" w:lineRule="auto"/>
              <w:jc w:val="center"/>
              <w:rPr>
                <w:sz w:val="23"/>
                <w:szCs w:val="23"/>
              </w:rPr>
            </w:pPr>
          </w:p>
        </w:tc>
      </w:tr>
      <w:tr w:rsidR="00946AD5" w:rsidRPr="005411E0" w:rsidTr="007E13F7">
        <w:trPr>
          <w:trHeight w:val="300"/>
          <w:jc w:val="center"/>
        </w:trPr>
        <w:tc>
          <w:tcPr>
            <w:tcW w:w="5617" w:type="dxa"/>
            <w:shd w:val="clear" w:color="auto" w:fill="auto"/>
            <w:hideMark/>
          </w:tcPr>
          <w:p w:rsidR="00946AD5" w:rsidRPr="005411E0" w:rsidRDefault="00B06EEC" w:rsidP="007A5DBC">
            <w:pPr>
              <w:spacing w:after="0" w:line="240" w:lineRule="auto"/>
              <w:rPr>
                <w:sz w:val="23"/>
                <w:szCs w:val="23"/>
              </w:rPr>
            </w:pPr>
            <w:r>
              <w:rPr>
                <w:sz w:val="23"/>
                <w:szCs w:val="23"/>
              </w:rPr>
              <w:t>Otros activos</w:t>
            </w:r>
          </w:p>
        </w:tc>
        <w:tc>
          <w:tcPr>
            <w:tcW w:w="1275" w:type="dxa"/>
            <w:shd w:val="clear" w:color="auto" w:fill="auto"/>
            <w:hideMark/>
          </w:tcPr>
          <w:p w:rsidR="00946AD5" w:rsidRPr="005411E0" w:rsidRDefault="00FE7A44" w:rsidP="007A5DBC">
            <w:pPr>
              <w:spacing w:after="0" w:line="240" w:lineRule="auto"/>
              <w:jc w:val="right"/>
              <w:rPr>
                <w:sz w:val="23"/>
                <w:szCs w:val="23"/>
              </w:rPr>
            </w:pPr>
            <w:r>
              <w:rPr>
                <w:sz w:val="23"/>
                <w:szCs w:val="23"/>
              </w:rPr>
              <w:t>71</w:t>
            </w:r>
          </w:p>
        </w:tc>
      </w:tr>
      <w:tr w:rsidR="00946AD5" w:rsidRPr="005411E0" w:rsidTr="007E13F7">
        <w:trPr>
          <w:trHeight w:val="353"/>
          <w:jc w:val="center"/>
        </w:trPr>
        <w:tc>
          <w:tcPr>
            <w:tcW w:w="5617" w:type="dxa"/>
            <w:shd w:val="clear" w:color="auto" w:fill="auto"/>
            <w:hideMark/>
          </w:tcPr>
          <w:p w:rsidR="00946AD5" w:rsidRPr="005411E0" w:rsidRDefault="00946AD5" w:rsidP="007A5DBC">
            <w:pPr>
              <w:spacing w:after="0" w:line="240" w:lineRule="auto"/>
              <w:rPr>
                <w:sz w:val="23"/>
                <w:szCs w:val="23"/>
              </w:rPr>
            </w:pPr>
            <w:r w:rsidRPr="005411E0">
              <w:rPr>
                <w:sz w:val="23"/>
                <w:szCs w:val="23"/>
              </w:rPr>
              <w:t>Anticipo a Contratistas por Obra Pública en Bienes Propios</w:t>
            </w:r>
          </w:p>
        </w:tc>
        <w:tc>
          <w:tcPr>
            <w:tcW w:w="1275" w:type="dxa"/>
            <w:shd w:val="clear" w:color="auto" w:fill="auto"/>
            <w:hideMark/>
          </w:tcPr>
          <w:p w:rsidR="00946AD5" w:rsidRPr="005411E0" w:rsidRDefault="00FE7A44" w:rsidP="00B06EEC">
            <w:pPr>
              <w:spacing w:after="0" w:line="240" w:lineRule="auto"/>
              <w:jc w:val="right"/>
              <w:rPr>
                <w:sz w:val="23"/>
                <w:szCs w:val="23"/>
              </w:rPr>
            </w:pPr>
            <w:r>
              <w:rPr>
                <w:sz w:val="23"/>
                <w:szCs w:val="23"/>
              </w:rPr>
              <w:t>178,743</w:t>
            </w:r>
          </w:p>
        </w:tc>
      </w:tr>
      <w:tr w:rsidR="00946AD5" w:rsidRPr="005411E0" w:rsidTr="007E13F7">
        <w:trPr>
          <w:trHeight w:val="300"/>
          <w:jc w:val="center"/>
        </w:trPr>
        <w:tc>
          <w:tcPr>
            <w:tcW w:w="5617" w:type="dxa"/>
            <w:shd w:val="clear" w:color="auto" w:fill="auto"/>
            <w:hideMark/>
          </w:tcPr>
          <w:p w:rsidR="00946AD5" w:rsidRPr="005411E0" w:rsidRDefault="00946AD5" w:rsidP="005411E0">
            <w:pPr>
              <w:spacing w:after="0" w:line="240" w:lineRule="auto"/>
              <w:jc w:val="right"/>
              <w:rPr>
                <w:b/>
                <w:sz w:val="23"/>
                <w:szCs w:val="23"/>
              </w:rPr>
            </w:pPr>
            <w:r w:rsidRPr="005411E0">
              <w:rPr>
                <w:b/>
                <w:sz w:val="23"/>
                <w:szCs w:val="23"/>
              </w:rPr>
              <w:t>SUMAS</w:t>
            </w:r>
          </w:p>
        </w:tc>
        <w:tc>
          <w:tcPr>
            <w:tcW w:w="1275" w:type="dxa"/>
            <w:tcBorders>
              <w:top w:val="single" w:sz="4" w:space="0" w:color="auto"/>
            </w:tcBorders>
            <w:shd w:val="clear" w:color="auto" w:fill="auto"/>
            <w:noWrap/>
            <w:hideMark/>
          </w:tcPr>
          <w:p w:rsidR="00946AD5" w:rsidRPr="005411E0" w:rsidRDefault="006A4AE0" w:rsidP="00B06EEC">
            <w:pPr>
              <w:spacing w:after="0" w:line="240" w:lineRule="auto"/>
              <w:jc w:val="right"/>
              <w:rPr>
                <w:b/>
                <w:sz w:val="23"/>
                <w:szCs w:val="23"/>
              </w:rPr>
            </w:pPr>
            <w:r>
              <w:rPr>
                <w:b/>
                <w:sz w:val="23"/>
                <w:szCs w:val="23"/>
              </w:rPr>
              <w:fldChar w:fldCharType="begin"/>
            </w:r>
            <w:r w:rsidR="00FE7A44">
              <w:rPr>
                <w:b/>
                <w:sz w:val="23"/>
                <w:szCs w:val="23"/>
              </w:rPr>
              <w:instrText xml:space="preserve"> =SUM(ABOVE) </w:instrText>
            </w:r>
            <w:r>
              <w:rPr>
                <w:b/>
                <w:sz w:val="23"/>
                <w:szCs w:val="23"/>
              </w:rPr>
              <w:fldChar w:fldCharType="separate"/>
            </w:r>
            <w:r w:rsidR="00FE7A44">
              <w:rPr>
                <w:b/>
                <w:noProof/>
                <w:sz w:val="23"/>
                <w:szCs w:val="23"/>
              </w:rPr>
              <w:t>178,814</w:t>
            </w:r>
            <w:r>
              <w:rPr>
                <w:b/>
                <w:sz w:val="23"/>
                <w:szCs w:val="23"/>
              </w:rPr>
              <w:fldChar w:fldCharType="end"/>
            </w:r>
          </w:p>
        </w:tc>
      </w:tr>
    </w:tbl>
    <w:p w:rsidR="00DD24EC" w:rsidRPr="005411E0" w:rsidRDefault="00DD24EC" w:rsidP="00114A08">
      <w:pPr>
        <w:pStyle w:val="Sinespaciado"/>
        <w:jc w:val="both"/>
        <w:rPr>
          <w:sz w:val="23"/>
          <w:szCs w:val="23"/>
        </w:rPr>
      </w:pPr>
    </w:p>
    <w:p w:rsidR="00B0410C" w:rsidRPr="005411E0" w:rsidRDefault="00B0410C" w:rsidP="00B0410C">
      <w:pPr>
        <w:pStyle w:val="Sinespaciado"/>
        <w:jc w:val="both"/>
        <w:rPr>
          <w:b/>
          <w:sz w:val="23"/>
          <w:szCs w:val="23"/>
        </w:rPr>
      </w:pPr>
      <w:r w:rsidRPr="005411E0">
        <w:rPr>
          <w:b/>
          <w:sz w:val="23"/>
          <w:szCs w:val="23"/>
        </w:rPr>
        <w:t xml:space="preserve">Nota </w:t>
      </w:r>
      <w:r>
        <w:rPr>
          <w:b/>
          <w:sz w:val="23"/>
          <w:szCs w:val="23"/>
        </w:rPr>
        <w:t>3</w:t>
      </w:r>
      <w:r w:rsidRPr="005411E0">
        <w:rPr>
          <w:b/>
          <w:sz w:val="23"/>
          <w:szCs w:val="23"/>
        </w:rPr>
        <w:t xml:space="preserve">.- </w:t>
      </w:r>
      <w:r w:rsidR="0052587C">
        <w:rPr>
          <w:b/>
          <w:sz w:val="23"/>
          <w:szCs w:val="23"/>
        </w:rPr>
        <w:t>Inversiones Financieras a Largo Plazo</w:t>
      </w:r>
      <w:r w:rsidRPr="005411E0">
        <w:rPr>
          <w:b/>
          <w:sz w:val="23"/>
          <w:szCs w:val="23"/>
        </w:rPr>
        <w:t>.</w:t>
      </w:r>
    </w:p>
    <w:p w:rsidR="00B0410C" w:rsidRPr="005411E0" w:rsidRDefault="00B0410C" w:rsidP="00B0410C">
      <w:pPr>
        <w:pStyle w:val="Sinespaciado"/>
        <w:jc w:val="both"/>
        <w:rPr>
          <w:sz w:val="23"/>
          <w:szCs w:val="23"/>
        </w:rPr>
      </w:pPr>
    </w:p>
    <w:p w:rsidR="00B0410C" w:rsidRPr="005411E0" w:rsidRDefault="0052587C" w:rsidP="00B0410C">
      <w:pPr>
        <w:pStyle w:val="Sinespaciado"/>
        <w:jc w:val="both"/>
        <w:rPr>
          <w:sz w:val="23"/>
          <w:szCs w:val="23"/>
        </w:rPr>
      </w:pPr>
      <w:r>
        <w:rPr>
          <w:sz w:val="23"/>
          <w:szCs w:val="23"/>
        </w:rPr>
        <w:t>R</w:t>
      </w:r>
      <w:r w:rsidR="00B0410C" w:rsidRPr="005411E0">
        <w:rPr>
          <w:sz w:val="23"/>
          <w:szCs w:val="23"/>
        </w:rPr>
        <w:t xml:space="preserve">epresenta el monto de </w:t>
      </w:r>
      <w:r w:rsidR="00B0410C">
        <w:rPr>
          <w:sz w:val="23"/>
          <w:szCs w:val="23"/>
        </w:rPr>
        <w:t>lo</w:t>
      </w:r>
      <w:r>
        <w:rPr>
          <w:sz w:val="23"/>
          <w:szCs w:val="23"/>
        </w:rPr>
        <w:t>s recursos excedentes del ente público, invertidos en títulos, valores y demás instrumentos financieros cuya recuperación de efectuará en un plazo mayor a doce meses.</w:t>
      </w:r>
    </w:p>
    <w:p w:rsidR="00B0410C" w:rsidRPr="005411E0" w:rsidRDefault="00B0410C" w:rsidP="00B0410C">
      <w:pPr>
        <w:pStyle w:val="Sinespaciado"/>
        <w:jc w:val="both"/>
        <w:rPr>
          <w:sz w:val="23"/>
          <w:szCs w:val="23"/>
        </w:rPr>
      </w:pPr>
    </w:p>
    <w:tbl>
      <w:tblPr>
        <w:tblStyle w:val="Tablaconcuadrcula"/>
        <w:tblW w:w="0" w:type="auto"/>
        <w:tblInd w:w="11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86"/>
        <w:gridCol w:w="1418"/>
      </w:tblGrid>
      <w:tr w:rsidR="00B0410C" w:rsidRPr="005411E0" w:rsidTr="009C0B77">
        <w:tc>
          <w:tcPr>
            <w:tcW w:w="5386" w:type="dxa"/>
          </w:tcPr>
          <w:p w:rsidR="00B0410C" w:rsidRPr="005411E0" w:rsidRDefault="00B0410C" w:rsidP="009C0B77">
            <w:pPr>
              <w:pStyle w:val="Sinespaciado"/>
              <w:jc w:val="center"/>
              <w:rPr>
                <w:b/>
                <w:sz w:val="23"/>
                <w:szCs w:val="23"/>
              </w:rPr>
            </w:pPr>
            <w:r w:rsidRPr="005411E0">
              <w:rPr>
                <w:b/>
                <w:sz w:val="23"/>
                <w:szCs w:val="23"/>
              </w:rPr>
              <w:t>CONCEPTO</w:t>
            </w:r>
          </w:p>
        </w:tc>
        <w:tc>
          <w:tcPr>
            <w:tcW w:w="1418" w:type="dxa"/>
          </w:tcPr>
          <w:p w:rsidR="00B0410C" w:rsidRPr="005411E0" w:rsidRDefault="00B0410C" w:rsidP="009C0B77">
            <w:pPr>
              <w:pStyle w:val="Sinespaciado"/>
              <w:jc w:val="center"/>
              <w:rPr>
                <w:sz w:val="23"/>
                <w:szCs w:val="23"/>
              </w:rPr>
            </w:pPr>
          </w:p>
        </w:tc>
      </w:tr>
      <w:tr w:rsidR="00B0410C" w:rsidRPr="005411E0" w:rsidTr="009C0B77">
        <w:tc>
          <w:tcPr>
            <w:tcW w:w="5386" w:type="dxa"/>
          </w:tcPr>
          <w:p w:rsidR="00B0410C" w:rsidRPr="005411E0" w:rsidRDefault="00B0410C" w:rsidP="009C0B77">
            <w:pPr>
              <w:pStyle w:val="Sinespaciado"/>
              <w:jc w:val="both"/>
              <w:rPr>
                <w:sz w:val="23"/>
                <w:szCs w:val="23"/>
              </w:rPr>
            </w:pPr>
          </w:p>
        </w:tc>
        <w:tc>
          <w:tcPr>
            <w:tcW w:w="1418" w:type="dxa"/>
          </w:tcPr>
          <w:p w:rsidR="00B0410C" w:rsidRPr="005411E0" w:rsidRDefault="00B0410C" w:rsidP="009C0B77">
            <w:pPr>
              <w:pStyle w:val="Sinespaciado"/>
              <w:jc w:val="right"/>
              <w:rPr>
                <w:sz w:val="23"/>
                <w:szCs w:val="23"/>
              </w:rPr>
            </w:pPr>
          </w:p>
        </w:tc>
      </w:tr>
      <w:tr w:rsidR="00B0410C" w:rsidRPr="005411E0" w:rsidTr="009C0B77">
        <w:tc>
          <w:tcPr>
            <w:tcW w:w="5386" w:type="dxa"/>
          </w:tcPr>
          <w:p w:rsidR="00B0410C" w:rsidRPr="005411E0" w:rsidRDefault="00B0410C" w:rsidP="0052587C">
            <w:pPr>
              <w:pStyle w:val="Sinespaciado"/>
              <w:jc w:val="both"/>
              <w:rPr>
                <w:sz w:val="23"/>
                <w:szCs w:val="23"/>
              </w:rPr>
            </w:pPr>
            <w:r>
              <w:rPr>
                <w:sz w:val="23"/>
                <w:szCs w:val="23"/>
              </w:rPr>
              <w:t xml:space="preserve">Fideicomisos, </w:t>
            </w:r>
            <w:r w:rsidR="0052587C">
              <w:rPr>
                <w:sz w:val="23"/>
                <w:szCs w:val="23"/>
              </w:rPr>
              <w:t xml:space="preserve">Bursatilización </w:t>
            </w:r>
          </w:p>
        </w:tc>
        <w:tc>
          <w:tcPr>
            <w:tcW w:w="1418" w:type="dxa"/>
          </w:tcPr>
          <w:p w:rsidR="00B0410C" w:rsidRPr="0052587C" w:rsidRDefault="0052587C" w:rsidP="00FE7A44">
            <w:pPr>
              <w:pStyle w:val="Sinespaciado"/>
              <w:rPr>
                <w:b/>
                <w:sz w:val="23"/>
                <w:szCs w:val="23"/>
              </w:rPr>
            </w:pPr>
            <w:r>
              <w:rPr>
                <w:sz w:val="23"/>
                <w:szCs w:val="23"/>
              </w:rPr>
              <w:t xml:space="preserve">      </w:t>
            </w:r>
            <w:r w:rsidR="00FE7A44">
              <w:rPr>
                <w:b/>
                <w:sz w:val="23"/>
                <w:szCs w:val="23"/>
              </w:rPr>
              <w:t>657,295</w:t>
            </w:r>
          </w:p>
        </w:tc>
      </w:tr>
      <w:tr w:rsidR="0052587C" w:rsidRPr="005411E0" w:rsidTr="009C0B77">
        <w:tc>
          <w:tcPr>
            <w:tcW w:w="5386" w:type="dxa"/>
          </w:tcPr>
          <w:p w:rsidR="0052587C" w:rsidRDefault="0052587C" w:rsidP="0052587C">
            <w:pPr>
              <w:pStyle w:val="Sinespaciado"/>
              <w:jc w:val="both"/>
              <w:rPr>
                <w:sz w:val="23"/>
                <w:szCs w:val="23"/>
              </w:rPr>
            </w:pPr>
          </w:p>
        </w:tc>
        <w:tc>
          <w:tcPr>
            <w:tcW w:w="1418" w:type="dxa"/>
          </w:tcPr>
          <w:p w:rsidR="0052587C" w:rsidRPr="005411E0" w:rsidRDefault="0052587C" w:rsidP="009C0B77">
            <w:pPr>
              <w:pStyle w:val="Sinespaciado"/>
              <w:jc w:val="right"/>
              <w:rPr>
                <w:sz w:val="23"/>
                <w:szCs w:val="23"/>
              </w:rPr>
            </w:pPr>
          </w:p>
        </w:tc>
      </w:tr>
    </w:tbl>
    <w:p w:rsidR="00114A08" w:rsidRDefault="00114A08" w:rsidP="00114A08">
      <w:pPr>
        <w:pStyle w:val="Sinespaciado"/>
        <w:jc w:val="both"/>
        <w:rPr>
          <w:sz w:val="23"/>
          <w:szCs w:val="23"/>
        </w:rPr>
      </w:pPr>
    </w:p>
    <w:p w:rsidR="00B0410C" w:rsidRPr="005411E0" w:rsidRDefault="00B0410C" w:rsidP="00114A08">
      <w:pPr>
        <w:pStyle w:val="Sinespaciado"/>
        <w:jc w:val="both"/>
        <w:rPr>
          <w:sz w:val="23"/>
          <w:szCs w:val="23"/>
        </w:rPr>
      </w:pPr>
    </w:p>
    <w:p w:rsidR="00114A08" w:rsidRPr="005411E0" w:rsidRDefault="00114A08" w:rsidP="00114A08">
      <w:pPr>
        <w:pStyle w:val="Sinespaciado"/>
        <w:jc w:val="both"/>
        <w:rPr>
          <w:b/>
          <w:sz w:val="23"/>
          <w:szCs w:val="23"/>
        </w:rPr>
      </w:pPr>
      <w:r w:rsidRPr="005411E0">
        <w:rPr>
          <w:b/>
          <w:sz w:val="23"/>
          <w:szCs w:val="23"/>
        </w:rPr>
        <w:t xml:space="preserve">Nota </w:t>
      </w:r>
      <w:r w:rsidR="00B0410C">
        <w:rPr>
          <w:b/>
          <w:sz w:val="23"/>
          <w:szCs w:val="23"/>
        </w:rPr>
        <w:t>4</w:t>
      </w:r>
      <w:r w:rsidRPr="005411E0">
        <w:rPr>
          <w:b/>
          <w:sz w:val="23"/>
          <w:szCs w:val="23"/>
        </w:rPr>
        <w:t>.- Bienes Inmuebles</w:t>
      </w:r>
      <w:r w:rsidR="00793CFE" w:rsidRPr="005411E0">
        <w:rPr>
          <w:b/>
          <w:sz w:val="23"/>
          <w:szCs w:val="23"/>
        </w:rPr>
        <w:t>,</w:t>
      </w:r>
      <w:r w:rsidRPr="005411E0">
        <w:rPr>
          <w:b/>
          <w:sz w:val="23"/>
          <w:szCs w:val="23"/>
        </w:rPr>
        <w:t xml:space="preserve"> Infraestructura y Construcciones en proceso.</w:t>
      </w:r>
    </w:p>
    <w:p w:rsidR="00114A08" w:rsidRPr="005411E0" w:rsidRDefault="00114A08" w:rsidP="00114A08">
      <w:pPr>
        <w:pStyle w:val="Sinespaciado"/>
        <w:jc w:val="both"/>
        <w:rPr>
          <w:sz w:val="23"/>
          <w:szCs w:val="23"/>
        </w:rPr>
      </w:pPr>
    </w:p>
    <w:p w:rsidR="00114A08" w:rsidRPr="005411E0" w:rsidRDefault="00114A08" w:rsidP="00114A08">
      <w:pPr>
        <w:pStyle w:val="Sinespaciado"/>
        <w:jc w:val="both"/>
        <w:rPr>
          <w:sz w:val="23"/>
          <w:szCs w:val="23"/>
        </w:rPr>
      </w:pPr>
      <w:r w:rsidRPr="005411E0">
        <w:rPr>
          <w:sz w:val="23"/>
          <w:szCs w:val="23"/>
        </w:rPr>
        <w:t xml:space="preserve">Representa el monto de todo tipo de inmuebles, infraestructura y construcciones, así como los gastos derivados de actos de su adquisición, adjudicación, expropiación e indemnización y los que se generen por estudios de pre inversión, cuando se realicen por causas de interés público.  </w:t>
      </w:r>
    </w:p>
    <w:p w:rsidR="00114A08" w:rsidRPr="005411E0" w:rsidRDefault="00114A08" w:rsidP="00114A08">
      <w:pPr>
        <w:pStyle w:val="Sinespaciado"/>
        <w:jc w:val="both"/>
        <w:rPr>
          <w:sz w:val="23"/>
          <w:szCs w:val="23"/>
        </w:rPr>
      </w:pPr>
    </w:p>
    <w:p w:rsidR="00114A08" w:rsidRPr="005411E0" w:rsidRDefault="00114A08" w:rsidP="00114A08">
      <w:pPr>
        <w:pStyle w:val="Sinespaciado"/>
        <w:jc w:val="both"/>
        <w:rPr>
          <w:sz w:val="23"/>
          <w:szCs w:val="23"/>
        </w:rPr>
      </w:pPr>
      <w:r w:rsidRPr="005411E0">
        <w:rPr>
          <w:sz w:val="23"/>
          <w:szCs w:val="23"/>
        </w:rPr>
        <w:t>Los saldos de esta cuenta se integran de la siguiente manera:</w:t>
      </w:r>
    </w:p>
    <w:p w:rsidR="00E32388" w:rsidRPr="005411E0" w:rsidRDefault="00E32388" w:rsidP="00114A08">
      <w:pPr>
        <w:pStyle w:val="Sinespaciado"/>
        <w:jc w:val="both"/>
        <w:rPr>
          <w:sz w:val="23"/>
          <w:szCs w:val="23"/>
        </w:rPr>
      </w:pPr>
    </w:p>
    <w:tbl>
      <w:tblPr>
        <w:tblW w:w="7191" w:type="dxa"/>
        <w:jc w:val="center"/>
        <w:tblInd w:w="676" w:type="dxa"/>
        <w:tblCellMar>
          <w:left w:w="70" w:type="dxa"/>
          <w:right w:w="70" w:type="dxa"/>
        </w:tblCellMar>
        <w:tblLook w:val="04A0"/>
      </w:tblPr>
      <w:tblGrid>
        <w:gridCol w:w="5915"/>
        <w:gridCol w:w="1276"/>
      </w:tblGrid>
      <w:tr w:rsidR="00906D34" w:rsidRPr="005411E0" w:rsidTr="005411E0">
        <w:trPr>
          <w:trHeight w:val="300"/>
          <w:jc w:val="center"/>
        </w:trPr>
        <w:tc>
          <w:tcPr>
            <w:tcW w:w="5915" w:type="dxa"/>
            <w:shd w:val="clear" w:color="auto" w:fill="auto"/>
            <w:noWrap/>
            <w:vAlign w:val="center"/>
            <w:hideMark/>
          </w:tcPr>
          <w:p w:rsidR="00906D34" w:rsidRPr="005411E0" w:rsidRDefault="00906D34" w:rsidP="00E32388">
            <w:pPr>
              <w:spacing w:after="0" w:line="240" w:lineRule="auto"/>
              <w:jc w:val="center"/>
              <w:rPr>
                <w:sz w:val="23"/>
                <w:szCs w:val="23"/>
              </w:rPr>
            </w:pPr>
            <w:r w:rsidRPr="005411E0">
              <w:rPr>
                <w:b/>
                <w:sz w:val="23"/>
                <w:szCs w:val="23"/>
              </w:rPr>
              <w:t>CONCEPTO</w:t>
            </w:r>
          </w:p>
        </w:tc>
        <w:tc>
          <w:tcPr>
            <w:tcW w:w="1276" w:type="dxa"/>
            <w:shd w:val="clear" w:color="auto" w:fill="auto"/>
            <w:noWrap/>
            <w:vAlign w:val="bottom"/>
            <w:hideMark/>
          </w:tcPr>
          <w:p w:rsidR="00906D34" w:rsidRPr="005411E0" w:rsidRDefault="00906D34" w:rsidP="00E32388">
            <w:pPr>
              <w:spacing w:after="0" w:line="240" w:lineRule="auto"/>
              <w:jc w:val="right"/>
              <w:rPr>
                <w:sz w:val="23"/>
                <w:szCs w:val="23"/>
              </w:rPr>
            </w:pPr>
          </w:p>
        </w:tc>
      </w:tr>
      <w:tr w:rsidR="00906D34" w:rsidRPr="005411E0" w:rsidTr="005411E0">
        <w:trPr>
          <w:trHeight w:val="300"/>
          <w:jc w:val="center"/>
        </w:trPr>
        <w:tc>
          <w:tcPr>
            <w:tcW w:w="5915" w:type="dxa"/>
            <w:shd w:val="clear" w:color="auto" w:fill="auto"/>
            <w:noWrap/>
            <w:vAlign w:val="center"/>
            <w:hideMark/>
          </w:tcPr>
          <w:p w:rsidR="00906D34" w:rsidRPr="005411E0" w:rsidRDefault="00906D34" w:rsidP="00E32388">
            <w:pPr>
              <w:spacing w:after="0" w:line="240" w:lineRule="auto"/>
              <w:rPr>
                <w:sz w:val="23"/>
                <w:szCs w:val="23"/>
              </w:rPr>
            </w:pPr>
            <w:r w:rsidRPr="005411E0">
              <w:rPr>
                <w:sz w:val="23"/>
                <w:szCs w:val="23"/>
              </w:rPr>
              <w:t>Terrenos</w:t>
            </w:r>
          </w:p>
        </w:tc>
        <w:tc>
          <w:tcPr>
            <w:tcW w:w="1276" w:type="dxa"/>
            <w:shd w:val="clear" w:color="auto" w:fill="auto"/>
            <w:noWrap/>
            <w:vAlign w:val="bottom"/>
            <w:hideMark/>
          </w:tcPr>
          <w:p w:rsidR="00906D34" w:rsidRPr="005411E0" w:rsidRDefault="00FE7A44" w:rsidP="0071009E">
            <w:pPr>
              <w:spacing w:after="0" w:line="240" w:lineRule="auto"/>
              <w:jc w:val="right"/>
              <w:rPr>
                <w:sz w:val="23"/>
                <w:szCs w:val="23"/>
              </w:rPr>
            </w:pPr>
            <w:r>
              <w:rPr>
                <w:sz w:val="23"/>
                <w:szCs w:val="23"/>
              </w:rPr>
              <w:t>417,</w:t>
            </w:r>
            <w:r w:rsidR="0071009E">
              <w:rPr>
                <w:sz w:val="23"/>
                <w:szCs w:val="23"/>
              </w:rPr>
              <w:t>00</w:t>
            </w:r>
            <w:r>
              <w:rPr>
                <w:sz w:val="23"/>
                <w:szCs w:val="23"/>
              </w:rPr>
              <w:t>5</w:t>
            </w:r>
          </w:p>
        </w:tc>
      </w:tr>
      <w:tr w:rsidR="00906D34" w:rsidRPr="005411E0" w:rsidTr="005411E0">
        <w:trPr>
          <w:trHeight w:val="300"/>
          <w:jc w:val="center"/>
        </w:trPr>
        <w:tc>
          <w:tcPr>
            <w:tcW w:w="5915" w:type="dxa"/>
            <w:shd w:val="clear" w:color="auto" w:fill="auto"/>
            <w:noWrap/>
            <w:vAlign w:val="center"/>
            <w:hideMark/>
          </w:tcPr>
          <w:p w:rsidR="00906D34" w:rsidRPr="005411E0" w:rsidRDefault="00906D34" w:rsidP="00E32388">
            <w:pPr>
              <w:spacing w:after="0" w:line="240" w:lineRule="auto"/>
              <w:rPr>
                <w:sz w:val="23"/>
                <w:szCs w:val="23"/>
              </w:rPr>
            </w:pPr>
            <w:r w:rsidRPr="005411E0">
              <w:rPr>
                <w:sz w:val="23"/>
                <w:szCs w:val="23"/>
              </w:rPr>
              <w:t>Edificios no residenciales</w:t>
            </w:r>
          </w:p>
        </w:tc>
        <w:tc>
          <w:tcPr>
            <w:tcW w:w="1276" w:type="dxa"/>
            <w:shd w:val="clear" w:color="auto" w:fill="auto"/>
            <w:noWrap/>
            <w:vAlign w:val="bottom"/>
            <w:hideMark/>
          </w:tcPr>
          <w:p w:rsidR="00906D34" w:rsidRPr="005411E0" w:rsidRDefault="00FE7A44" w:rsidP="00E32388">
            <w:pPr>
              <w:spacing w:after="0" w:line="240" w:lineRule="auto"/>
              <w:jc w:val="right"/>
              <w:rPr>
                <w:sz w:val="23"/>
                <w:szCs w:val="23"/>
              </w:rPr>
            </w:pPr>
            <w:r>
              <w:rPr>
                <w:sz w:val="23"/>
                <w:szCs w:val="23"/>
              </w:rPr>
              <w:t>1,305,929</w:t>
            </w:r>
          </w:p>
        </w:tc>
      </w:tr>
      <w:tr w:rsidR="00906D34" w:rsidRPr="005411E0" w:rsidTr="005411E0">
        <w:trPr>
          <w:trHeight w:val="300"/>
          <w:jc w:val="center"/>
        </w:trPr>
        <w:tc>
          <w:tcPr>
            <w:tcW w:w="5915" w:type="dxa"/>
            <w:shd w:val="clear" w:color="auto" w:fill="auto"/>
            <w:noWrap/>
            <w:vAlign w:val="center"/>
            <w:hideMark/>
          </w:tcPr>
          <w:p w:rsidR="00906D34" w:rsidRPr="005411E0" w:rsidRDefault="00906D34" w:rsidP="00E32388">
            <w:pPr>
              <w:spacing w:after="0" w:line="240" w:lineRule="auto"/>
              <w:rPr>
                <w:sz w:val="23"/>
                <w:szCs w:val="23"/>
              </w:rPr>
            </w:pPr>
            <w:r w:rsidRPr="005411E0">
              <w:rPr>
                <w:sz w:val="23"/>
                <w:szCs w:val="23"/>
              </w:rPr>
              <w:t>División de Terrenos y Construcción Urbanización en proceso</w:t>
            </w:r>
          </w:p>
        </w:tc>
        <w:tc>
          <w:tcPr>
            <w:tcW w:w="1276" w:type="dxa"/>
            <w:tcBorders>
              <w:bottom w:val="single" w:sz="4" w:space="0" w:color="auto"/>
            </w:tcBorders>
            <w:shd w:val="clear" w:color="auto" w:fill="auto"/>
            <w:noWrap/>
            <w:vAlign w:val="bottom"/>
            <w:hideMark/>
          </w:tcPr>
          <w:p w:rsidR="00906D34" w:rsidRPr="005411E0" w:rsidRDefault="00FE7A44" w:rsidP="00FC0DDA">
            <w:pPr>
              <w:spacing w:after="0" w:line="240" w:lineRule="auto"/>
              <w:jc w:val="right"/>
              <w:rPr>
                <w:sz w:val="23"/>
                <w:szCs w:val="23"/>
              </w:rPr>
            </w:pPr>
            <w:r>
              <w:rPr>
                <w:sz w:val="23"/>
                <w:szCs w:val="23"/>
              </w:rPr>
              <w:t>6,842,607</w:t>
            </w:r>
          </w:p>
        </w:tc>
      </w:tr>
      <w:tr w:rsidR="00906D34" w:rsidRPr="005411E0" w:rsidTr="005411E0">
        <w:trPr>
          <w:trHeight w:val="300"/>
          <w:jc w:val="center"/>
        </w:trPr>
        <w:tc>
          <w:tcPr>
            <w:tcW w:w="5915" w:type="dxa"/>
            <w:shd w:val="clear" w:color="auto" w:fill="auto"/>
            <w:noWrap/>
            <w:vAlign w:val="center"/>
            <w:hideMark/>
          </w:tcPr>
          <w:p w:rsidR="00906D34" w:rsidRPr="005411E0" w:rsidRDefault="00906D34" w:rsidP="005411E0">
            <w:pPr>
              <w:spacing w:after="0" w:line="240" w:lineRule="auto"/>
              <w:jc w:val="right"/>
              <w:rPr>
                <w:b/>
                <w:sz w:val="23"/>
                <w:szCs w:val="23"/>
              </w:rPr>
            </w:pPr>
            <w:r w:rsidRPr="005411E0">
              <w:rPr>
                <w:b/>
                <w:sz w:val="23"/>
                <w:szCs w:val="23"/>
              </w:rPr>
              <w:t>SUMAS</w:t>
            </w:r>
          </w:p>
        </w:tc>
        <w:tc>
          <w:tcPr>
            <w:tcW w:w="1276" w:type="dxa"/>
            <w:tcBorders>
              <w:top w:val="single" w:sz="4" w:space="0" w:color="auto"/>
            </w:tcBorders>
            <w:shd w:val="clear" w:color="auto" w:fill="auto"/>
            <w:noWrap/>
            <w:vAlign w:val="center"/>
            <w:hideMark/>
          </w:tcPr>
          <w:p w:rsidR="00906D34" w:rsidRPr="005411E0" w:rsidRDefault="006A4AE0" w:rsidP="00E32388">
            <w:pPr>
              <w:spacing w:after="0" w:line="240" w:lineRule="auto"/>
              <w:jc w:val="right"/>
              <w:rPr>
                <w:b/>
                <w:sz w:val="23"/>
                <w:szCs w:val="23"/>
              </w:rPr>
            </w:pPr>
            <w:r>
              <w:rPr>
                <w:b/>
                <w:sz w:val="23"/>
                <w:szCs w:val="23"/>
              </w:rPr>
              <w:fldChar w:fldCharType="begin"/>
            </w:r>
            <w:r w:rsidR="0071009E">
              <w:rPr>
                <w:b/>
                <w:sz w:val="23"/>
                <w:szCs w:val="23"/>
              </w:rPr>
              <w:instrText xml:space="preserve"> =SUM(ABOVE) </w:instrText>
            </w:r>
            <w:r>
              <w:rPr>
                <w:b/>
                <w:sz w:val="23"/>
                <w:szCs w:val="23"/>
              </w:rPr>
              <w:fldChar w:fldCharType="separate"/>
            </w:r>
            <w:r w:rsidR="0071009E">
              <w:rPr>
                <w:b/>
                <w:noProof/>
                <w:sz w:val="23"/>
                <w:szCs w:val="23"/>
              </w:rPr>
              <w:t>8,565,541</w:t>
            </w:r>
            <w:r>
              <w:rPr>
                <w:b/>
                <w:sz w:val="23"/>
                <w:szCs w:val="23"/>
              </w:rPr>
              <w:fldChar w:fldCharType="end"/>
            </w:r>
          </w:p>
        </w:tc>
      </w:tr>
    </w:tbl>
    <w:p w:rsidR="00906D34" w:rsidRPr="005411E0" w:rsidRDefault="00906D34" w:rsidP="00114A08">
      <w:pPr>
        <w:pStyle w:val="Sinespaciado"/>
        <w:jc w:val="both"/>
        <w:rPr>
          <w:sz w:val="23"/>
          <w:szCs w:val="23"/>
        </w:rPr>
      </w:pPr>
    </w:p>
    <w:p w:rsidR="00906D34" w:rsidRPr="005411E0" w:rsidRDefault="00906D34" w:rsidP="00114A08">
      <w:pPr>
        <w:pStyle w:val="Sinespaciado"/>
        <w:jc w:val="both"/>
        <w:rPr>
          <w:sz w:val="23"/>
          <w:szCs w:val="23"/>
        </w:rPr>
      </w:pPr>
    </w:p>
    <w:p w:rsidR="00906D34" w:rsidRPr="005411E0" w:rsidRDefault="00906D34">
      <w:pPr>
        <w:rPr>
          <w:sz w:val="23"/>
          <w:szCs w:val="23"/>
        </w:rPr>
      </w:pPr>
      <w:r w:rsidRPr="005411E0">
        <w:rPr>
          <w:sz w:val="23"/>
          <w:szCs w:val="23"/>
        </w:rPr>
        <w:br w:type="page"/>
      </w:r>
    </w:p>
    <w:p w:rsidR="00DE3BB5" w:rsidRPr="005411E0" w:rsidRDefault="00114A08" w:rsidP="00114A08">
      <w:pPr>
        <w:pStyle w:val="Sinespaciado"/>
        <w:jc w:val="both"/>
        <w:rPr>
          <w:b/>
          <w:sz w:val="23"/>
          <w:szCs w:val="23"/>
        </w:rPr>
      </w:pPr>
      <w:r w:rsidRPr="005411E0">
        <w:rPr>
          <w:b/>
          <w:sz w:val="23"/>
          <w:szCs w:val="23"/>
        </w:rPr>
        <w:lastRenderedPageBreak/>
        <w:t xml:space="preserve">Nota </w:t>
      </w:r>
      <w:r w:rsidR="00B0410C">
        <w:rPr>
          <w:b/>
          <w:sz w:val="23"/>
          <w:szCs w:val="23"/>
        </w:rPr>
        <w:t>5</w:t>
      </w:r>
      <w:r w:rsidRPr="005411E0">
        <w:rPr>
          <w:b/>
          <w:sz w:val="23"/>
          <w:szCs w:val="23"/>
        </w:rPr>
        <w:t xml:space="preserve">.- Bienes </w:t>
      </w:r>
      <w:r w:rsidR="00DE3BB5" w:rsidRPr="005411E0">
        <w:rPr>
          <w:b/>
          <w:sz w:val="23"/>
          <w:szCs w:val="23"/>
        </w:rPr>
        <w:t>Muebles</w:t>
      </w:r>
    </w:p>
    <w:p w:rsidR="00DE3BB5" w:rsidRPr="005411E0" w:rsidRDefault="00DE3BB5" w:rsidP="00114A08">
      <w:pPr>
        <w:pStyle w:val="Sinespaciado"/>
        <w:jc w:val="both"/>
        <w:rPr>
          <w:sz w:val="23"/>
          <w:szCs w:val="23"/>
        </w:rPr>
      </w:pPr>
    </w:p>
    <w:p w:rsidR="00114A08" w:rsidRPr="005411E0" w:rsidRDefault="00114A08" w:rsidP="00114A08">
      <w:pPr>
        <w:pStyle w:val="Sinespaciado"/>
        <w:jc w:val="both"/>
        <w:rPr>
          <w:sz w:val="23"/>
          <w:szCs w:val="23"/>
        </w:rPr>
      </w:pPr>
      <w:r w:rsidRPr="005411E0">
        <w:rPr>
          <w:sz w:val="23"/>
          <w:szCs w:val="23"/>
        </w:rPr>
        <w:t>Representa el monto de los bienes muebles requeridos en el desempeño de las actividades propias del Estado. Su valuación es en base al costo histórico, los saldos de estas cuentas se integran de la siguiente forma:</w:t>
      </w:r>
    </w:p>
    <w:p w:rsidR="00DE3BB5" w:rsidRPr="005411E0" w:rsidRDefault="00DE3BB5" w:rsidP="00114A08">
      <w:pPr>
        <w:pStyle w:val="Sinespaciado"/>
        <w:jc w:val="both"/>
        <w:rPr>
          <w:sz w:val="23"/>
          <w:szCs w:val="23"/>
        </w:rPr>
      </w:pPr>
    </w:p>
    <w:p w:rsidR="00DE3BB5" w:rsidRDefault="00DE3BB5" w:rsidP="00114A08">
      <w:pPr>
        <w:pStyle w:val="Sinespaciado"/>
        <w:jc w:val="both"/>
        <w:rPr>
          <w:sz w:val="23"/>
          <w:szCs w:val="23"/>
        </w:rPr>
      </w:pPr>
    </w:p>
    <w:tbl>
      <w:tblPr>
        <w:tblpPr w:leftFromText="141" w:rightFromText="141" w:vertAnchor="text" w:horzAnchor="margin" w:tblpXSpec="center" w:tblpY="122"/>
        <w:tblW w:w="0" w:type="auto"/>
        <w:tblCellMar>
          <w:left w:w="70" w:type="dxa"/>
          <w:right w:w="70" w:type="dxa"/>
        </w:tblCellMar>
        <w:tblLook w:val="04A0"/>
      </w:tblPr>
      <w:tblGrid>
        <w:gridCol w:w="6166"/>
        <w:gridCol w:w="1707"/>
      </w:tblGrid>
      <w:tr w:rsidR="00FE7A44" w:rsidRPr="00FE7A44" w:rsidTr="00FE7A44">
        <w:trPr>
          <w:trHeight w:hRule="exact" w:val="255"/>
        </w:trPr>
        <w:tc>
          <w:tcPr>
            <w:tcW w:w="6166" w:type="dxa"/>
            <w:shd w:val="clear" w:color="auto" w:fill="auto"/>
            <w:vAlign w:val="bottom"/>
            <w:hideMark/>
          </w:tcPr>
          <w:p w:rsidR="00FE7A44" w:rsidRPr="00FE7A44" w:rsidRDefault="00FE7A44" w:rsidP="003B31FE">
            <w:pPr>
              <w:pStyle w:val="Ttulo2"/>
              <w:contextualSpacing/>
              <w:rPr>
                <w:rFonts w:asciiTheme="minorHAnsi" w:hAnsiTheme="minorHAnsi" w:cs="Arial"/>
                <w:bCs/>
                <w:spacing w:val="0"/>
                <w:sz w:val="22"/>
                <w:szCs w:val="22"/>
                <w:lang w:val="es-ES"/>
              </w:rPr>
            </w:pPr>
            <w:r w:rsidRPr="00FE7A44">
              <w:rPr>
                <w:rFonts w:asciiTheme="minorHAnsi" w:hAnsiTheme="minorHAnsi" w:cs="Arial"/>
                <w:bCs/>
                <w:spacing w:val="0"/>
                <w:sz w:val="22"/>
                <w:szCs w:val="22"/>
                <w:lang w:val="es-ES"/>
              </w:rPr>
              <w:t xml:space="preserve">                                  CONCEPTO</w:t>
            </w:r>
          </w:p>
          <w:p w:rsidR="00FE7A44" w:rsidRPr="00FE7A44" w:rsidRDefault="00FE7A44" w:rsidP="003B31FE">
            <w:pPr>
              <w:pStyle w:val="Ttulo2"/>
              <w:contextualSpacing/>
              <w:rPr>
                <w:rFonts w:asciiTheme="minorHAnsi" w:hAnsiTheme="minorHAnsi" w:cs="Arial"/>
                <w:bCs/>
                <w:spacing w:val="0"/>
                <w:sz w:val="22"/>
                <w:szCs w:val="22"/>
                <w:lang w:val="es-ES"/>
              </w:rPr>
            </w:pPr>
          </w:p>
          <w:p w:rsidR="00FE7A44" w:rsidRPr="00FE7A44" w:rsidRDefault="00FE7A44" w:rsidP="003B31FE">
            <w:pPr>
              <w:pStyle w:val="Ttulo2"/>
              <w:contextualSpacing/>
              <w:rPr>
                <w:rFonts w:asciiTheme="minorHAnsi" w:hAnsiTheme="minorHAnsi" w:cs="Arial"/>
                <w:bCs/>
                <w:spacing w:val="0"/>
                <w:sz w:val="22"/>
                <w:szCs w:val="22"/>
                <w:lang w:val="es-ES"/>
              </w:rPr>
            </w:pPr>
          </w:p>
          <w:p w:rsidR="00FE7A44" w:rsidRPr="00FE7A44" w:rsidRDefault="00FE7A44" w:rsidP="003B31FE">
            <w:pPr>
              <w:pStyle w:val="Ttulo2"/>
              <w:contextualSpacing/>
              <w:rPr>
                <w:rFonts w:asciiTheme="minorHAnsi" w:hAnsiTheme="minorHAnsi" w:cs="Arial"/>
                <w:bCs/>
                <w:spacing w:val="0"/>
                <w:sz w:val="22"/>
                <w:szCs w:val="22"/>
                <w:lang w:val="es-ES"/>
              </w:rPr>
            </w:pPr>
          </w:p>
          <w:p w:rsidR="00FE7A44" w:rsidRPr="00FE7A44" w:rsidRDefault="00FE7A44" w:rsidP="003B31FE">
            <w:pPr>
              <w:pStyle w:val="Ttulo2"/>
              <w:contextualSpacing/>
              <w:rPr>
                <w:rFonts w:asciiTheme="minorHAnsi" w:hAnsiTheme="minorHAnsi" w:cs="Arial"/>
                <w:bCs/>
                <w:spacing w:val="0"/>
                <w:sz w:val="22"/>
                <w:szCs w:val="22"/>
                <w:lang w:val="es-ES"/>
              </w:rPr>
            </w:pPr>
          </w:p>
          <w:p w:rsidR="00FE7A44" w:rsidRPr="00FE7A44" w:rsidRDefault="00FE7A44" w:rsidP="003B31FE">
            <w:pPr>
              <w:pStyle w:val="Ttulo2"/>
              <w:contextualSpacing/>
              <w:rPr>
                <w:rFonts w:asciiTheme="minorHAnsi" w:hAnsiTheme="minorHAnsi" w:cs="Arial"/>
                <w:bCs/>
                <w:spacing w:val="0"/>
                <w:sz w:val="22"/>
                <w:szCs w:val="22"/>
                <w:lang w:val="es-ES"/>
              </w:rPr>
            </w:pPr>
          </w:p>
          <w:p w:rsidR="00FE7A44" w:rsidRPr="00FE7A44" w:rsidRDefault="00FE7A44" w:rsidP="003B31FE">
            <w:pPr>
              <w:pStyle w:val="Ttulo2"/>
              <w:contextualSpacing/>
              <w:rPr>
                <w:rFonts w:asciiTheme="minorHAnsi" w:hAnsiTheme="minorHAnsi" w:cs="Arial"/>
                <w:bCs/>
                <w:spacing w:val="0"/>
                <w:sz w:val="22"/>
                <w:szCs w:val="22"/>
                <w:lang w:val="es-ES"/>
              </w:rPr>
            </w:pPr>
          </w:p>
        </w:tc>
        <w:tc>
          <w:tcPr>
            <w:tcW w:w="1707" w:type="dxa"/>
            <w:shd w:val="clear" w:color="auto" w:fill="auto"/>
          </w:tcPr>
          <w:p w:rsidR="00FE7A44" w:rsidRPr="00FE7A44" w:rsidRDefault="00FE7A44" w:rsidP="003B31FE">
            <w:pPr>
              <w:pStyle w:val="Ttulo2"/>
              <w:contextualSpacing/>
              <w:rPr>
                <w:rFonts w:asciiTheme="minorHAnsi" w:hAnsiTheme="minorHAnsi" w:cs="Arial"/>
                <w:bCs/>
                <w:spacing w:val="0"/>
                <w:sz w:val="22"/>
                <w:szCs w:val="22"/>
                <w:lang w:val="es-ES"/>
              </w:rPr>
            </w:pPr>
          </w:p>
        </w:tc>
      </w:tr>
      <w:tr w:rsidR="00FE7A44" w:rsidRPr="00FE7A44" w:rsidTr="00FE7A44">
        <w:trPr>
          <w:trHeight w:hRule="exact" w:val="255"/>
        </w:trPr>
        <w:tc>
          <w:tcPr>
            <w:tcW w:w="6166" w:type="dxa"/>
            <w:shd w:val="clear" w:color="auto" w:fill="auto"/>
            <w:vAlign w:val="bottom"/>
            <w:hideMark/>
          </w:tcPr>
          <w:p w:rsidR="00FE7A44" w:rsidRPr="00FE7A44" w:rsidRDefault="00FE7A44" w:rsidP="003B31FE">
            <w:pPr>
              <w:pStyle w:val="Ttulo2"/>
              <w:contextualSpacing/>
              <w:rPr>
                <w:rFonts w:asciiTheme="minorHAnsi" w:hAnsiTheme="minorHAnsi" w:cs="Arial"/>
                <w:bCs/>
                <w:spacing w:val="0"/>
                <w:sz w:val="22"/>
                <w:szCs w:val="22"/>
                <w:lang w:val="es-ES"/>
              </w:rPr>
            </w:pPr>
          </w:p>
        </w:tc>
        <w:tc>
          <w:tcPr>
            <w:tcW w:w="1707" w:type="dxa"/>
            <w:shd w:val="clear" w:color="auto" w:fill="auto"/>
          </w:tcPr>
          <w:p w:rsidR="00FE7A44" w:rsidRPr="00FE7A44" w:rsidRDefault="00FE7A44" w:rsidP="003B31FE">
            <w:pPr>
              <w:pStyle w:val="Ttulo2"/>
              <w:contextualSpacing/>
              <w:rPr>
                <w:rFonts w:asciiTheme="minorHAnsi" w:hAnsiTheme="minorHAnsi" w:cs="Arial"/>
                <w:bCs/>
                <w:spacing w:val="0"/>
                <w:sz w:val="22"/>
                <w:szCs w:val="22"/>
                <w:lang w:val="es-ES"/>
              </w:rPr>
            </w:pPr>
          </w:p>
        </w:tc>
      </w:tr>
      <w:tr w:rsidR="00FE7A44" w:rsidRPr="00FE7A44" w:rsidTr="00FE7A44">
        <w:trPr>
          <w:trHeight w:hRule="exact" w:val="255"/>
        </w:trPr>
        <w:tc>
          <w:tcPr>
            <w:tcW w:w="6166" w:type="dxa"/>
            <w:shd w:val="clear" w:color="auto" w:fill="auto"/>
            <w:vAlign w:val="bottom"/>
            <w:hideMark/>
          </w:tcPr>
          <w:p w:rsidR="00FE7A44" w:rsidRPr="00FE7A44" w:rsidRDefault="00FE7A44" w:rsidP="003B31FE">
            <w:pPr>
              <w:pStyle w:val="Ttulo2"/>
              <w:contextualSpacing/>
              <w:rPr>
                <w:rFonts w:asciiTheme="minorHAnsi" w:hAnsiTheme="minorHAnsi" w:cs="Arial"/>
                <w:bCs/>
                <w:spacing w:val="0"/>
                <w:sz w:val="22"/>
                <w:szCs w:val="22"/>
                <w:lang w:val="es-ES"/>
              </w:rPr>
            </w:pPr>
            <w:r w:rsidRPr="00FE7A44">
              <w:rPr>
                <w:rFonts w:asciiTheme="minorHAnsi" w:hAnsiTheme="minorHAnsi" w:cs="Arial"/>
                <w:bCs/>
                <w:spacing w:val="0"/>
                <w:sz w:val="22"/>
                <w:szCs w:val="22"/>
                <w:lang w:val="es-ES"/>
              </w:rPr>
              <w:t>Muebles de oficina y estantería</w:t>
            </w:r>
          </w:p>
        </w:tc>
        <w:tc>
          <w:tcPr>
            <w:tcW w:w="1707" w:type="dxa"/>
            <w:shd w:val="clear" w:color="auto" w:fill="auto"/>
            <w:vAlign w:val="bottom"/>
          </w:tcPr>
          <w:p w:rsidR="00FE7A44" w:rsidRDefault="00FE7A44" w:rsidP="00FE7A44">
            <w:pPr>
              <w:jc w:val="right"/>
              <w:rPr>
                <w:rFonts w:ascii="Calibri" w:hAnsi="Calibri"/>
                <w:color w:val="000000"/>
              </w:rPr>
            </w:pPr>
            <w:r>
              <w:rPr>
                <w:rFonts w:ascii="Calibri" w:hAnsi="Calibri"/>
                <w:color w:val="000000"/>
              </w:rPr>
              <w:t xml:space="preserve">           130,120 </w:t>
            </w:r>
          </w:p>
        </w:tc>
      </w:tr>
      <w:tr w:rsidR="00FE7A44" w:rsidRPr="00FE7A44" w:rsidTr="00FE7A44">
        <w:trPr>
          <w:trHeight w:hRule="exact" w:val="255"/>
        </w:trPr>
        <w:tc>
          <w:tcPr>
            <w:tcW w:w="6166" w:type="dxa"/>
            <w:shd w:val="clear" w:color="auto" w:fill="auto"/>
            <w:vAlign w:val="bottom"/>
            <w:hideMark/>
          </w:tcPr>
          <w:p w:rsidR="00FE7A44" w:rsidRPr="00FE7A44" w:rsidRDefault="00FE7A44" w:rsidP="003B31FE">
            <w:pPr>
              <w:pStyle w:val="Ttulo2"/>
              <w:contextualSpacing/>
              <w:rPr>
                <w:rFonts w:asciiTheme="minorHAnsi" w:hAnsiTheme="minorHAnsi" w:cs="Arial"/>
                <w:bCs/>
                <w:spacing w:val="0"/>
                <w:sz w:val="22"/>
                <w:szCs w:val="22"/>
                <w:lang w:val="es-ES"/>
              </w:rPr>
            </w:pPr>
            <w:r w:rsidRPr="00FE7A44">
              <w:rPr>
                <w:rFonts w:asciiTheme="minorHAnsi" w:hAnsiTheme="minorHAnsi" w:cs="Arial"/>
                <w:bCs/>
                <w:spacing w:val="0"/>
                <w:sz w:val="22"/>
                <w:szCs w:val="22"/>
                <w:lang w:val="es-ES"/>
              </w:rPr>
              <w:t>Muebles, excepto de oficina y estantería</w:t>
            </w:r>
          </w:p>
        </w:tc>
        <w:tc>
          <w:tcPr>
            <w:tcW w:w="1707" w:type="dxa"/>
            <w:shd w:val="clear" w:color="auto" w:fill="auto"/>
            <w:vAlign w:val="bottom"/>
          </w:tcPr>
          <w:p w:rsidR="00FE7A44" w:rsidRDefault="00FE7A44" w:rsidP="00FE7A44">
            <w:pPr>
              <w:jc w:val="right"/>
              <w:rPr>
                <w:rFonts w:ascii="Calibri" w:hAnsi="Calibri"/>
                <w:color w:val="000000"/>
              </w:rPr>
            </w:pPr>
            <w:r>
              <w:rPr>
                <w:rFonts w:ascii="Calibri" w:hAnsi="Calibri"/>
                <w:color w:val="000000"/>
              </w:rPr>
              <w:t xml:space="preserve">                2,042 </w:t>
            </w:r>
          </w:p>
        </w:tc>
      </w:tr>
      <w:tr w:rsidR="00FE7A44" w:rsidRPr="00FE7A44" w:rsidTr="00FE7A44">
        <w:trPr>
          <w:trHeight w:hRule="exact" w:val="255"/>
        </w:trPr>
        <w:tc>
          <w:tcPr>
            <w:tcW w:w="6166" w:type="dxa"/>
            <w:shd w:val="clear" w:color="auto" w:fill="auto"/>
            <w:vAlign w:val="bottom"/>
            <w:hideMark/>
          </w:tcPr>
          <w:p w:rsidR="00FE7A44" w:rsidRPr="00FE7A44" w:rsidRDefault="00FE7A44" w:rsidP="003B31FE">
            <w:pPr>
              <w:pStyle w:val="Ttulo2"/>
              <w:contextualSpacing/>
              <w:rPr>
                <w:rFonts w:asciiTheme="minorHAnsi" w:hAnsiTheme="minorHAnsi" w:cs="Arial"/>
                <w:bCs/>
                <w:spacing w:val="0"/>
                <w:sz w:val="22"/>
                <w:szCs w:val="22"/>
                <w:lang w:val="es-ES"/>
              </w:rPr>
            </w:pPr>
            <w:r w:rsidRPr="00FE7A44">
              <w:rPr>
                <w:rFonts w:asciiTheme="minorHAnsi" w:hAnsiTheme="minorHAnsi" w:cs="Arial"/>
                <w:bCs/>
                <w:spacing w:val="0"/>
                <w:sz w:val="22"/>
                <w:szCs w:val="22"/>
                <w:lang w:val="es-ES"/>
              </w:rPr>
              <w:t>Equipo de cómputo y de tecnologías de la información</w:t>
            </w:r>
          </w:p>
        </w:tc>
        <w:tc>
          <w:tcPr>
            <w:tcW w:w="1707" w:type="dxa"/>
            <w:shd w:val="clear" w:color="auto" w:fill="auto"/>
            <w:vAlign w:val="bottom"/>
          </w:tcPr>
          <w:p w:rsidR="00FE7A44" w:rsidRDefault="00FE7A44" w:rsidP="00FE7A44">
            <w:pPr>
              <w:jc w:val="right"/>
              <w:rPr>
                <w:rFonts w:ascii="Calibri" w:hAnsi="Calibri"/>
                <w:color w:val="000000"/>
              </w:rPr>
            </w:pPr>
            <w:r>
              <w:rPr>
                <w:rFonts w:ascii="Calibri" w:hAnsi="Calibri"/>
                <w:color w:val="000000"/>
              </w:rPr>
              <w:t xml:space="preserve">           301,356 </w:t>
            </w:r>
          </w:p>
        </w:tc>
      </w:tr>
      <w:tr w:rsidR="00FE7A44" w:rsidRPr="00FE7A44" w:rsidTr="00FE7A44">
        <w:trPr>
          <w:trHeight w:hRule="exact" w:val="255"/>
        </w:trPr>
        <w:tc>
          <w:tcPr>
            <w:tcW w:w="6166" w:type="dxa"/>
            <w:shd w:val="clear" w:color="auto" w:fill="auto"/>
            <w:vAlign w:val="bottom"/>
            <w:hideMark/>
          </w:tcPr>
          <w:p w:rsidR="00FE7A44" w:rsidRPr="00FE7A44" w:rsidRDefault="00FE7A44" w:rsidP="003B31FE">
            <w:pPr>
              <w:pStyle w:val="Ttulo2"/>
              <w:contextualSpacing/>
              <w:rPr>
                <w:rFonts w:asciiTheme="minorHAnsi" w:hAnsiTheme="minorHAnsi" w:cs="Arial"/>
                <w:bCs/>
                <w:spacing w:val="0"/>
                <w:sz w:val="22"/>
                <w:szCs w:val="22"/>
                <w:lang w:val="es-ES"/>
              </w:rPr>
            </w:pPr>
            <w:r w:rsidRPr="00FE7A44">
              <w:rPr>
                <w:rFonts w:asciiTheme="minorHAnsi" w:hAnsiTheme="minorHAnsi" w:cs="Arial"/>
                <w:bCs/>
                <w:spacing w:val="0"/>
                <w:sz w:val="22"/>
                <w:szCs w:val="22"/>
                <w:lang w:val="es-ES"/>
              </w:rPr>
              <w:t>Otros mobiliarios y equipos de administración</w:t>
            </w:r>
          </w:p>
        </w:tc>
        <w:tc>
          <w:tcPr>
            <w:tcW w:w="1707" w:type="dxa"/>
            <w:shd w:val="clear" w:color="auto" w:fill="auto"/>
            <w:vAlign w:val="bottom"/>
          </w:tcPr>
          <w:p w:rsidR="00FE7A44" w:rsidRDefault="00FE7A44" w:rsidP="00FE7A44">
            <w:pPr>
              <w:jc w:val="right"/>
              <w:rPr>
                <w:rFonts w:ascii="Calibri" w:hAnsi="Calibri"/>
                <w:color w:val="000000"/>
              </w:rPr>
            </w:pPr>
            <w:r>
              <w:rPr>
                <w:rFonts w:ascii="Calibri" w:hAnsi="Calibri"/>
                <w:color w:val="000000"/>
              </w:rPr>
              <w:t xml:space="preserve">                3,791 </w:t>
            </w:r>
          </w:p>
        </w:tc>
      </w:tr>
      <w:tr w:rsidR="00FE7A44" w:rsidRPr="00FE7A44" w:rsidTr="00FE7A44">
        <w:trPr>
          <w:trHeight w:hRule="exact" w:val="255"/>
        </w:trPr>
        <w:tc>
          <w:tcPr>
            <w:tcW w:w="6166" w:type="dxa"/>
            <w:shd w:val="clear" w:color="auto" w:fill="auto"/>
            <w:vAlign w:val="bottom"/>
            <w:hideMark/>
          </w:tcPr>
          <w:p w:rsidR="00FE7A44" w:rsidRPr="00FE7A44" w:rsidRDefault="00FE7A44" w:rsidP="003B31FE">
            <w:pPr>
              <w:pStyle w:val="Ttulo2"/>
              <w:contextualSpacing/>
              <w:rPr>
                <w:rFonts w:asciiTheme="minorHAnsi" w:hAnsiTheme="minorHAnsi" w:cs="Arial"/>
                <w:bCs/>
                <w:spacing w:val="0"/>
                <w:sz w:val="22"/>
                <w:szCs w:val="22"/>
                <w:lang w:val="es-ES"/>
              </w:rPr>
            </w:pPr>
            <w:r w:rsidRPr="00FE7A44">
              <w:rPr>
                <w:rFonts w:asciiTheme="minorHAnsi" w:hAnsiTheme="minorHAnsi" w:cs="Arial"/>
                <w:bCs/>
                <w:spacing w:val="0"/>
                <w:sz w:val="22"/>
                <w:szCs w:val="22"/>
                <w:lang w:val="es-ES"/>
              </w:rPr>
              <w:t>Equipos y aparatos audiovisuales</w:t>
            </w:r>
          </w:p>
        </w:tc>
        <w:tc>
          <w:tcPr>
            <w:tcW w:w="1707" w:type="dxa"/>
            <w:shd w:val="clear" w:color="auto" w:fill="auto"/>
            <w:vAlign w:val="bottom"/>
          </w:tcPr>
          <w:p w:rsidR="00FE7A44" w:rsidRDefault="00FE7A44" w:rsidP="00FE7A44">
            <w:pPr>
              <w:jc w:val="right"/>
              <w:rPr>
                <w:rFonts w:ascii="Calibri" w:hAnsi="Calibri"/>
                <w:color w:val="000000"/>
              </w:rPr>
            </w:pPr>
            <w:r>
              <w:rPr>
                <w:rFonts w:ascii="Calibri" w:hAnsi="Calibri"/>
                <w:color w:val="000000"/>
              </w:rPr>
              <w:t xml:space="preserve">             37,921 </w:t>
            </w:r>
          </w:p>
        </w:tc>
      </w:tr>
      <w:tr w:rsidR="00FE7A44" w:rsidRPr="00FE7A44" w:rsidTr="00FE7A44">
        <w:trPr>
          <w:trHeight w:hRule="exact" w:val="255"/>
        </w:trPr>
        <w:tc>
          <w:tcPr>
            <w:tcW w:w="6166" w:type="dxa"/>
            <w:shd w:val="clear" w:color="auto" w:fill="auto"/>
            <w:vAlign w:val="bottom"/>
            <w:hideMark/>
          </w:tcPr>
          <w:p w:rsidR="00FE7A44" w:rsidRPr="00FE7A44" w:rsidRDefault="00FE7A44" w:rsidP="003B31FE">
            <w:pPr>
              <w:pStyle w:val="Ttulo2"/>
              <w:contextualSpacing/>
              <w:rPr>
                <w:rFonts w:asciiTheme="minorHAnsi" w:hAnsiTheme="minorHAnsi" w:cs="Arial"/>
                <w:bCs/>
                <w:spacing w:val="0"/>
                <w:sz w:val="22"/>
                <w:szCs w:val="22"/>
                <w:lang w:val="es-ES"/>
              </w:rPr>
            </w:pPr>
            <w:r w:rsidRPr="00FE7A44">
              <w:rPr>
                <w:rFonts w:asciiTheme="minorHAnsi" w:hAnsiTheme="minorHAnsi" w:cs="Arial"/>
                <w:bCs/>
                <w:spacing w:val="0"/>
                <w:sz w:val="22"/>
                <w:szCs w:val="22"/>
                <w:lang w:val="es-ES"/>
              </w:rPr>
              <w:t>Aparatos deportivos</w:t>
            </w:r>
          </w:p>
          <w:p w:rsidR="00FE7A44" w:rsidRPr="00FE7A44" w:rsidRDefault="00FE7A44" w:rsidP="003B31FE"/>
        </w:tc>
        <w:tc>
          <w:tcPr>
            <w:tcW w:w="1707" w:type="dxa"/>
            <w:shd w:val="clear" w:color="auto" w:fill="auto"/>
            <w:vAlign w:val="bottom"/>
          </w:tcPr>
          <w:p w:rsidR="00FE7A44" w:rsidRDefault="00FE7A44" w:rsidP="00FE7A44">
            <w:pPr>
              <w:jc w:val="right"/>
              <w:rPr>
                <w:rFonts w:ascii="Calibri" w:hAnsi="Calibri"/>
                <w:color w:val="000000"/>
              </w:rPr>
            </w:pPr>
            <w:r>
              <w:rPr>
                <w:rFonts w:ascii="Calibri" w:hAnsi="Calibri"/>
                <w:color w:val="000000"/>
              </w:rPr>
              <w:t xml:space="preserve">                7,633 </w:t>
            </w:r>
          </w:p>
        </w:tc>
      </w:tr>
      <w:tr w:rsidR="00FE7A44" w:rsidRPr="00FE7A44" w:rsidTr="00FE7A44">
        <w:trPr>
          <w:trHeight w:hRule="exact" w:val="255"/>
        </w:trPr>
        <w:tc>
          <w:tcPr>
            <w:tcW w:w="6166" w:type="dxa"/>
            <w:shd w:val="clear" w:color="auto" w:fill="auto"/>
            <w:vAlign w:val="bottom"/>
            <w:hideMark/>
          </w:tcPr>
          <w:p w:rsidR="00FE7A44" w:rsidRPr="00FE7A44" w:rsidRDefault="00FE7A44" w:rsidP="003B31FE">
            <w:pPr>
              <w:pStyle w:val="Ttulo2"/>
              <w:contextualSpacing/>
              <w:rPr>
                <w:rFonts w:asciiTheme="minorHAnsi" w:hAnsiTheme="minorHAnsi" w:cs="Arial"/>
                <w:bCs/>
                <w:spacing w:val="0"/>
                <w:sz w:val="22"/>
                <w:szCs w:val="22"/>
                <w:lang w:val="es-ES"/>
              </w:rPr>
            </w:pPr>
            <w:r w:rsidRPr="00FE7A44">
              <w:rPr>
                <w:rFonts w:asciiTheme="minorHAnsi" w:hAnsiTheme="minorHAnsi" w:cs="Arial"/>
                <w:bCs/>
                <w:spacing w:val="0"/>
                <w:sz w:val="22"/>
                <w:szCs w:val="22"/>
                <w:lang w:val="es-ES"/>
              </w:rPr>
              <w:t>Cámaras fotográficas y de video</w:t>
            </w:r>
          </w:p>
        </w:tc>
        <w:tc>
          <w:tcPr>
            <w:tcW w:w="1707" w:type="dxa"/>
            <w:shd w:val="clear" w:color="auto" w:fill="auto"/>
            <w:vAlign w:val="bottom"/>
          </w:tcPr>
          <w:p w:rsidR="00FE7A44" w:rsidRDefault="00FE7A44" w:rsidP="00FE7A44">
            <w:pPr>
              <w:jc w:val="right"/>
              <w:rPr>
                <w:rFonts w:ascii="Calibri" w:hAnsi="Calibri"/>
                <w:color w:val="000000"/>
              </w:rPr>
            </w:pPr>
            <w:r>
              <w:rPr>
                <w:rFonts w:ascii="Calibri" w:hAnsi="Calibri"/>
                <w:color w:val="000000"/>
              </w:rPr>
              <w:t xml:space="preserve">                6,497 </w:t>
            </w:r>
          </w:p>
        </w:tc>
      </w:tr>
      <w:tr w:rsidR="00FE7A44" w:rsidRPr="00FE7A44" w:rsidTr="00FE7A44">
        <w:trPr>
          <w:trHeight w:hRule="exact" w:val="255"/>
        </w:trPr>
        <w:tc>
          <w:tcPr>
            <w:tcW w:w="6166" w:type="dxa"/>
            <w:shd w:val="clear" w:color="auto" w:fill="auto"/>
            <w:vAlign w:val="bottom"/>
            <w:hideMark/>
          </w:tcPr>
          <w:p w:rsidR="00FE7A44" w:rsidRPr="00FE7A44" w:rsidRDefault="00FE7A44" w:rsidP="003B31FE">
            <w:pPr>
              <w:pStyle w:val="Ttulo2"/>
              <w:contextualSpacing/>
              <w:rPr>
                <w:rFonts w:asciiTheme="minorHAnsi" w:hAnsiTheme="minorHAnsi" w:cs="Arial"/>
                <w:bCs/>
                <w:spacing w:val="0"/>
                <w:sz w:val="22"/>
                <w:szCs w:val="22"/>
                <w:lang w:val="es-ES"/>
              </w:rPr>
            </w:pPr>
            <w:r w:rsidRPr="00FE7A44">
              <w:rPr>
                <w:rFonts w:asciiTheme="minorHAnsi" w:hAnsiTheme="minorHAnsi" w:cs="Arial"/>
                <w:bCs/>
                <w:spacing w:val="0"/>
                <w:sz w:val="22"/>
                <w:szCs w:val="22"/>
                <w:lang w:val="es-ES"/>
              </w:rPr>
              <w:t>Otro mobiliario y equipo educacional y recreativo</w:t>
            </w:r>
          </w:p>
        </w:tc>
        <w:tc>
          <w:tcPr>
            <w:tcW w:w="1707" w:type="dxa"/>
            <w:shd w:val="clear" w:color="auto" w:fill="auto"/>
            <w:vAlign w:val="bottom"/>
          </w:tcPr>
          <w:p w:rsidR="00FE7A44" w:rsidRDefault="00FE7A44" w:rsidP="00FE7A44">
            <w:pPr>
              <w:jc w:val="right"/>
              <w:rPr>
                <w:rFonts w:ascii="Calibri" w:hAnsi="Calibri"/>
                <w:color w:val="000000"/>
              </w:rPr>
            </w:pPr>
            <w:r>
              <w:rPr>
                <w:rFonts w:ascii="Calibri" w:hAnsi="Calibri"/>
                <w:color w:val="000000"/>
              </w:rPr>
              <w:t xml:space="preserve">                5,454 </w:t>
            </w:r>
          </w:p>
        </w:tc>
      </w:tr>
      <w:tr w:rsidR="00FE7A44" w:rsidRPr="00FE7A44" w:rsidTr="00FE7A44">
        <w:trPr>
          <w:trHeight w:hRule="exact" w:val="255"/>
        </w:trPr>
        <w:tc>
          <w:tcPr>
            <w:tcW w:w="6166" w:type="dxa"/>
            <w:shd w:val="clear" w:color="auto" w:fill="auto"/>
            <w:vAlign w:val="bottom"/>
            <w:hideMark/>
          </w:tcPr>
          <w:p w:rsidR="00FE7A44" w:rsidRPr="00FE7A44" w:rsidRDefault="00FE7A44" w:rsidP="003B31FE">
            <w:pPr>
              <w:pStyle w:val="Ttulo2"/>
              <w:contextualSpacing/>
              <w:rPr>
                <w:rFonts w:asciiTheme="minorHAnsi" w:hAnsiTheme="minorHAnsi" w:cs="Arial"/>
                <w:bCs/>
                <w:spacing w:val="0"/>
                <w:sz w:val="22"/>
                <w:szCs w:val="22"/>
                <w:lang w:val="es-ES"/>
              </w:rPr>
            </w:pPr>
            <w:r w:rsidRPr="00FE7A44">
              <w:rPr>
                <w:rFonts w:asciiTheme="minorHAnsi" w:hAnsiTheme="minorHAnsi" w:cs="Arial"/>
                <w:bCs/>
                <w:spacing w:val="0"/>
                <w:sz w:val="22"/>
                <w:szCs w:val="22"/>
                <w:lang w:val="es-ES"/>
              </w:rPr>
              <w:t>Equipo médico y de laboratorio</w:t>
            </w:r>
          </w:p>
        </w:tc>
        <w:tc>
          <w:tcPr>
            <w:tcW w:w="1707" w:type="dxa"/>
            <w:shd w:val="clear" w:color="auto" w:fill="auto"/>
            <w:vAlign w:val="bottom"/>
          </w:tcPr>
          <w:p w:rsidR="00FE7A44" w:rsidRDefault="00FE7A44" w:rsidP="00FE7A44">
            <w:pPr>
              <w:jc w:val="right"/>
              <w:rPr>
                <w:rFonts w:ascii="Calibri" w:hAnsi="Calibri"/>
                <w:color w:val="000000"/>
              </w:rPr>
            </w:pPr>
            <w:r>
              <w:rPr>
                <w:rFonts w:ascii="Calibri" w:hAnsi="Calibri"/>
                <w:color w:val="000000"/>
              </w:rPr>
              <w:t xml:space="preserve">             23,139 </w:t>
            </w:r>
          </w:p>
        </w:tc>
      </w:tr>
      <w:tr w:rsidR="00FE7A44" w:rsidRPr="00FE7A44" w:rsidTr="00FE7A44">
        <w:trPr>
          <w:trHeight w:hRule="exact" w:val="255"/>
        </w:trPr>
        <w:tc>
          <w:tcPr>
            <w:tcW w:w="6166" w:type="dxa"/>
            <w:shd w:val="clear" w:color="auto" w:fill="auto"/>
            <w:vAlign w:val="bottom"/>
            <w:hideMark/>
          </w:tcPr>
          <w:p w:rsidR="00FE7A44" w:rsidRPr="00FE7A44" w:rsidRDefault="00FE7A44" w:rsidP="003B31FE">
            <w:pPr>
              <w:pStyle w:val="Ttulo2"/>
              <w:contextualSpacing/>
              <w:rPr>
                <w:rFonts w:asciiTheme="minorHAnsi" w:hAnsiTheme="minorHAnsi" w:cs="Arial"/>
                <w:bCs/>
                <w:spacing w:val="0"/>
                <w:sz w:val="22"/>
                <w:szCs w:val="22"/>
                <w:lang w:val="es-ES"/>
              </w:rPr>
            </w:pPr>
            <w:r w:rsidRPr="00FE7A44">
              <w:rPr>
                <w:rFonts w:asciiTheme="minorHAnsi" w:hAnsiTheme="minorHAnsi" w:cs="Arial"/>
                <w:bCs/>
                <w:spacing w:val="0"/>
                <w:sz w:val="22"/>
                <w:szCs w:val="22"/>
                <w:lang w:val="es-ES"/>
              </w:rPr>
              <w:t>Instrumental médico y de laboratorio</w:t>
            </w:r>
          </w:p>
        </w:tc>
        <w:tc>
          <w:tcPr>
            <w:tcW w:w="1707" w:type="dxa"/>
            <w:shd w:val="clear" w:color="auto" w:fill="auto"/>
            <w:vAlign w:val="bottom"/>
          </w:tcPr>
          <w:p w:rsidR="00FE7A44" w:rsidRDefault="00FE7A44" w:rsidP="00FE7A44">
            <w:pPr>
              <w:jc w:val="right"/>
              <w:rPr>
                <w:rFonts w:ascii="Calibri" w:hAnsi="Calibri"/>
                <w:color w:val="000000"/>
              </w:rPr>
            </w:pPr>
            <w:r>
              <w:rPr>
                <w:rFonts w:ascii="Calibri" w:hAnsi="Calibri"/>
                <w:color w:val="000000"/>
              </w:rPr>
              <w:t xml:space="preserve">             15,414 </w:t>
            </w:r>
          </w:p>
        </w:tc>
      </w:tr>
      <w:tr w:rsidR="00FE7A44" w:rsidRPr="00FE7A44" w:rsidTr="00FE7A44">
        <w:trPr>
          <w:trHeight w:hRule="exact" w:val="255"/>
        </w:trPr>
        <w:tc>
          <w:tcPr>
            <w:tcW w:w="6166" w:type="dxa"/>
            <w:shd w:val="clear" w:color="auto" w:fill="auto"/>
            <w:vAlign w:val="bottom"/>
            <w:hideMark/>
          </w:tcPr>
          <w:p w:rsidR="00FE7A44" w:rsidRPr="00FE7A44" w:rsidRDefault="00FE7A44" w:rsidP="003B31FE">
            <w:pPr>
              <w:pStyle w:val="Ttulo2"/>
              <w:contextualSpacing/>
              <w:rPr>
                <w:rFonts w:asciiTheme="minorHAnsi" w:hAnsiTheme="minorHAnsi" w:cs="Arial"/>
                <w:bCs/>
                <w:spacing w:val="0"/>
                <w:sz w:val="22"/>
                <w:szCs w:val="22"/>
                <w:lang w:val="es-ES"/>
              </w:rPr>
            </w:pPr>
            <w:r w:rsidRPr="00FE7A44">
              <w:rPr>
                <w:rFonts w:asciiTheme="minorHAnsi" w:hAnsiTheme="minorHAnsi" w:cs="Arial"/>
                <w:bCs/>
                <w:spacing w:val="0"/>
                <w:sz w:val="22"/>
                <w:szCs w:val="22"/>
                <w:lang w:val="es-ES"/>
              </w:rPr>
              <w:t>Automóviles y camiones</w:t>
            </w:r>
          </w:p>
        </w:tc>
        <w:tc>
          <w:tcPr>
            <w:tcW w:w="1707" w:type="dxa"/>
            <w:shd w:val="clear" w:color="auto" w:fill="auto"/>
            <w:vAlign w:val="bottom"/>
          </w:tcPr>
          <w:p w:rsidR="00FE7A44" w:rsidRDefault="00FE7A44" w:rsidP="00FE7A44">
            <w:pPr>
              <w:jc w:val="right"/>
              <w:rPr>
                <w:rFonts w:ascii="Calibri" w:hAnsi="Calibri"/>
                <w:color w:val="000000"/>
              </w:rPr>
            </w:pPr>
            <w:r>
              <w:rPr>
                <w:rFonts w:ascii="Calibri" w:hAnsi="Calibri"/>
                <w:color w:val="000000"/>
              </w:rPr>
              <w:t xml:space="preserve">           888,340 </w:t>
            </w:r>
          </w:p>
        </w:tc>
      </w:tr>
      <w:tr w:rsidR="00FE7A44" w:rsidRPr="00FE7A44" w:rsidTr="00FE7A44">
        <w:trPr>
          <w:trHeight w:hRule="exact" w:val="255"/>
        </w:trPr>
        <w:tc>
          <w:tcPr>
            <w:tcW w:w="6166" w:type="dxa"/>
            <w:shd w:val="clear" w:color="auto" w:fill="auto"/>
            <w:vAlign w:val="bottom"/>
            <w:hideMark/>
          </w:tcPr>
          <w:p w:rsidR="00FE7A44" w:rsidRPr="00FE7A44" w:rsidRDefault="00FE7A44" w:rsidP="003B31FE">
            <w:pPr>
              <w:pStyle w:val="Ttulo2"/>
              <w:contextualSpacing/>
              <w:rPr>
                <w:rFonts w:asciiTheme="minorHAnsi" w:hAnsiTheme="minorHAnsi" w:cs="Arial"/>
                <w:bCs/>
                <w:spacing w:val="0"/>
                <w:sz w:val="22"/>
                <w:szCs w:val="22"/>
                <w:lang w:val="es-ES"/>
              </w:rPr>
            </w:pPr>
            <w:r w:rsidRPr="00FE7A44">
              <w:rPr>
                <w:rFonts w:asciiTheme="minorHAnsi" w:hAnsiTheme="minorHAnsi" w:cs="Arial"/>
                <w:bCs/>
                <w:spacing w:val="0"/>
                <w:sz w:val="22"/>
                <w:szCs w:val="22"/>
                <w:lang w:val="es-ES"/>
              </w:rPr>
              <w:t xml:space="preserve">Equipo </w:t>
            </w:r>
            <w:proofErr w:type="spellStart"/>
            <w:r w:rsidRPr="00FE7A44">
              <w:rPr>
                <w:rFonts w:asciiTheme="minorHAnsi" w:hAnsiTheme="minorHAnsi" w:cs="Arial"/>
                <w:bCs/>
                <w:spacing w:val="0"/>
                <w:sz w:val="22"/>
                <w:szCs w:val="22"/>
                <w:lang w:val="es-ES"/>
              </w:rPr>
              <w:t>aereoespacial</w:t>
            </w:r>
            <w:proofErr w:type="spellEnd"/>
          </w:p>
        </w:tc>
        <w:tc>
          <w:tcPr>
            <w:tcW w:w="1707" w:type="dxa"/>
            <w:shd w:val="clear" w:color="auto" w:fill="auto"/>
            <w:vAlign w:val="bottom"/>
          </w:tcPr>
          <w:p w:rsidR="00FE7A44" w:rsidRDefault="00FE7A44" w:rsidP="00FE7A44">
            <w:pPr>
              <w:jc w:val="right"/>
              <w:rPr>
                <w:rFonts w:ascii="Calibri" w:hAnsi="Calibri"/>
                <w:color w:val="000000"/>
              </w:rPr>
            </w:pPr>
            <w:r>
              <w:rPr>
                <w:rFonts w:ascii="Calibri" w:hAnsi="Calibri"/>
                <w:color w:val="000000"/>
              </w:rPr>
              <w:t xml:space="preserve">           100,689 </w:t>
            </w:r>
          </w:p>
        </w:tc>
      </w:tr>
      <w:tr w:rsidR="00FE7A44" w:rsidRPr="00FE7A44" w:rsidTr="00FE7A44">
        <w:trPr>
          <w:trHeight w:hRule="exact" w:val="255"/>
        </w:trPr>
        <w:tc>
          <w:tcPr>
            <w:tcW w:w="6166" w:type="dxa"/>
            <w:shd w:val="clear" w:color="auto" w:fill="auto"/>
            <w:vAlign w:val="bottom"/>
            <w:hideMark/>
          </w:tcPr>
          <w:p w:rsidR="00FE7A44" w:rsidRPr="00FE7A44" w:rsidRDefault="00FE7A44" w:rsidP="003B31FE">
            <w:pPr>
              <w:pStyle w:val="Ttulo2"/>
              <w:contextualSpacing/>
              <w:rPr>
                <w:rFonts w:asciiTheme="minorHAnsi" w:hAnsiTheme="minorHAnsi" w:cs="Arial"/>
                <w:bCs/>
                <w:spacing w:val="0"/>
                <w:sz w:val="22"/>
                <w:szCs w:val="22"/>
                <w:lang w:val="es-ES"/>
              </w:rPr>
            </w:pPr>
            <w:r w:rsidRPr="00FE7A44">
              <w:rPr>
                <w:rFonts w:asciiTheme="minorHAnsi" w:hAnsiTheme="minorHAnsi" w:cs="Arial"/>
                <w:bCs/>
                <w:spacing w:val="0"/>
                <w:sz w:val="22"/>
                <w:szCs w:val="22"/>
                <w:lang w:val="es-ES"/>
              </w:rPr>
              <w:t>Embarcaciones</w:t>
            </w:r>
          </w:p>
        </w:tc>
        <w:tc>
          <w:tcPr>
            <w:tcW w:w="1707" w:type="dxa"/>
            <w:shd w:val="clear" w:color="auto" w:fill="auto"/>
            <w:vAlign w:val="bottom"/>
          </w:tcPr>
          <w:p w:rsidR="00FE7A44" w:rsidRDefault="00FE7A44" w:rsidP="00FE7A44">
            <w:pPr>
              <w:jc w:val="right"/>
              <w:rPr>
                <w:rFonts w:ascii="Calibri" w:hAnsi="Calibri"/>
                <w:color w:val="000000"/>
              </w:rPr>
            </w:pPr>
            <w:r>
              <w:rPr>
                <w:rFonts w:ascii="Calibri" w:hAnsi="Calibri"/>
                <w:color w:val="000000"/>
              </w:rPr>
              <w:t xml:space="preserve">                2,544 </w:t>
            </w:r>
          </w:p>
        </w:tc>
      </w:tr>
      <w:tr w:rsidR="00FE7A44" w:rsidRPr="00FE7A44" w:rsidTr="00FE7A44">
        <w:trPr>
          <w:trHeight w:hRule="exact" w:val="255"/>
        </w:trPr>
        <w:tc>
          <w:tcPr>
            <w:tcW w:w="6166" w:type="dxa"/>
            <w:shd w:val="clear" w:color="auto" w:fill="auto"/>
            <w:vAlign w:val="bottom"/>
            <w:hideMark/>
          </w:tcPr>
          <w:p w:rsidR="00FE7A44" w:rsidRPr="00FE7A44" w:rsidRDefault="00FE7A44" w:rsidP="003B31FE">
            <w:pPr>
              <w:pStyle w:val="Ttulo2"/>
              <w:contextualSpacing/>
              <w:rPr>
                <w:rFonts w:asciiTheme="minorHAnsi" w:hAnsiTheme="minorHAnsi" w:cs="Arial"/>
                <w:bCs/>
                <w:spacing w:val="0"/>
                <w:sz w:val="22"/>
                <w:szCs w:val="22"/>
                <w:lang w:val="es-ES"/>
              </w:rPr>
            </w:pPr>
            <w:r w:rsidRPr="00FE7A44">
              <w:rPr>
                <w:rFonts w:asciiTheme="minorHAnsi" w:hAnsiTheme="minorHAnsi" w:cs="Arial"/>
                <w:bCs/>
                <w:spacing w:val="0"/>
                <w:sz w:val="22"/>
                <w:szCs w:val="22"/>
                <w:lang w:val="es-ES"/>
              </w:rPr>
              <w:t>Otros equipos de transporte</w:t>
            </w:r>
          </w:p>
        </w:tc>
        <w:tc>
          <w:tcPr>
            <w:tcW w:w="1707" w:type="dxa"/>
            <w:shd w:val="clear" w:color="auto" w:fill="auto"/>
            <w:vAlign w:val="bottom"/>
          </w:tcPr>
          <w:p w:rsidR="00FE7A44" w:rsidRDefault="00FE7A44" w:rsidP="00FE7A44">
            <w:pPr>
              <w:jc w:val="right"/>
              <w:rPr>
                <w:rFonts w:ascii="Calibri" w:hAnsi="Calibri"/>
                <w:color w:val="000000"/>
              </w:rPr>
            </w:pPr>
            <w:r>
              <w:rPr>
                <w:rFonts w:ascii="Calibri" w:hAnsi="Calibri"/>
                <w:color w:val="000000"/>
              </w:rPr>
              <w:t xml:space="preserve">                2,186 </w:t>
            </w:r>
          </w:p>
        </w:tc>
      </w:tr>
      <w:tr w:rsidR="00FE7A44" w:rsidRPr="00FE7A44" w:rsidTr="00FE7A44">
        <w:trPr>
          <w:trHeight w:hRule="exact" w:val="255"/>
        </w:trPr>
        <w:tc>
          <w:tcPr>
            <w:tcW w:w="6166" w:type="dxa"/>
            <w:shd w:val="clear" w:color="auto" w:fill="auto"/>
            <w:vAlign w:val="bottom"/>
            <w:hideMark/>
          </w:tcPr>
          <w:p w:rsidR="00FE7A44" w:rsidRPr="00FE7A44" w:rsidRDefault="00FE7A44" w:rsidP="003B31FE">
            <w:pPr>
              <w:pStyle w:val="Ttulo2"/>
              <w:contextualSpacing/>
              <w:rPr>
                <w:rFonts w:asciiTheme="minorHAnsi" w:hAnsiTheme="minorHAnsi" w:cs="Arial"/>
                <w:bCs/>
                <w:spacing w:val="0"/>
                <w:sz w:val="22"/>
                <w:szCs w:val="22"/>
                <w:lang w:val="es-ES"/>
              </w:rPr>
            </w:pPr>
            <w:r w:rsidRPr="00FE7A44">
              <w:rPr>
                <w:rFonts w:asciiTheme="minorHAnsi" w:hAnsiTheme="minorHAnsi" w:cs="Arial"/>
                <w:bCs/>
                <w:spacing w:val="0"/>
                <w:sz w:val="22"/>
                <w:szCs w:val="22"/>
                <w:lang w:val="es-ES"/>
              </w:rPr>
              <w:t>Equipo de defensa y seguridad</w:t>
            </w:r>
          </w:p>
        </w:tc>
        <w:tc>
          <w:tcPr>
            <w:tcW w:w="1707" w:type="dxa"/>
            <w:shd w:val="clear" w:color="auto" w:fill="auto"/>
            <w:vAlign w:val="bottom"/>
          </w:tcPr>
          <w:p w:rsidR="00FE7A44" w:rsidRDefault="00FE7A44" w:rsidP="00FE7A44">
            <w:pPr>
              <w:jc w:val="right"/>
              <w:rPr>
                <w:rFonts w:ascii="Calibri" w:hAnsi="Calibri"/>
                <w:color w:val="000000"/>
              </w:rPr>
            </w:pPr>
            <w:r>
              <w:rPr>
                <w:rFonts w:ascii="Calibri" w:hAnsi="Calibri"/>
                <w:color w:val="000000"/>
              </w:rPr>
              <w:t xml:space="preserve">             86,621 </w:t>
            </w:r>
          </w:p>
        </w:tc>
      </w:tr>
      <w:tr w:rsidR="00FE7A44" w:rsidRPr="00FE7A44" w:rsidTr="00FE7A44">
        <w:trPr>
          <w:trHeight w:hRule="exact" w:val="255"/>
        </w:trPr>
        <w:tc>
          <w:tcPr>
            <w:tcW w:w="6166" w:type="dxa"/>
            <w:shd w:val="clear" w:color="auto" w:fill="auto"/>
            <w:vAlign w:val="bottom"/>
            <w:hideMark/>
          </w:tcPr>
          <w:p w:rsidR="00FE7A44" w:rsidRPr="00FE7A44" w:rsidRDefault="00FE7A44" w:rsidP="003B31FE">
            <w:pPr>
              <w:pStyle w:val="Ttulo2"/>
              <w:contextualSpacing/>
              <w:rPr>
                <w:rFonts w:asciiTheme="minorHAnsi" w:hAnsiTheme="minorHAnsi" w:cs="Arial"/>
                <w:bCs/>
                <w:spacing w:val="0"/>
                <w:sz w:val="22"/>
                <w:szCs w:val="22"/>
                <w:lang w:val="es-ES"/>
              </w:rPr>
            </w:pPr>
            <w:r w:rsidRPr="00FE7A44">
              <w:rPr>
                <w:rFonts w:asciiTheme="minorHAnsi" w:hAnsiTheme="minorHAnsi" w:cs="Arial"/>
                <w:bCs/>
                <w:spacing w:val="0"/>
                <w:sz w:val="22"/>
                <w:szCs w:val="22"/>
                <w:lang w:val="es-ES"/>
              </w:rPr>
              <w:t>Maquinaria y equipo agropecuario</w:t>
            </w:r>
          </w:p>
        </w:tc>
        <w:tc>
          <w:tcPr>
            <w:tcW w:w="1707" w:type="dxa"/>
            <w:shd w:val="clear" w:color="auto" w:fill="auto"/>
            <w:vAlign w:val="bottom"/>
          </w:tcPr>
          <w:p w:rsidR="00FE7A44" w:rsidRDefault="00FE7A44" w:rsidP="00FE7A44">
            <w:pPr>
              <w:jc w:val="right"/>
              <w:rPr>
                <w:rFonts w:ascii="Calibri" w:hAnsi="Calibri"/>
                <w:color w:val="000000"/>
              </w:rPr>
            </w:pPr>
            <w:r>
              <w:rPr>
                <w:rFonts w:ascii="Calibri" w:hAnsi="Calibri"/>
                <w:color w:val="000000"/>
              </w:rPr>
              <w:t xml:space="preserve">                4,350</w:t>
            </w:r>
          </w:p>
        </w:tc>
      </w:tr>
      <w:tr w:rsidR="00FE7A44" w:rsidRPr="00FE7A44" w:rsidTr="00FE7A44">
        <w:trPr>
          <w:trHeight w:hRule="exact" w:val="255"/>
        </w:trPr>
        <w:tc>
          <w:tcPr>
            <w:tcW w:w="6166" w:type="dxa"/>
            <w:shd w:val="clear" w:color="auto" w:fill="auto"/>
            <w:vAlign w:val="bottom"/>
            <w:hideMark/>
          </w:tcPr>
          <w:p w:rsidR="00FE7A44" w:rsidRPr="00FE7A44" w:rsidRDefault="00FE7A44" w:rsidP="003B31FE">
            <w:pPr>
              <w:pStyle w:val="Ttulo2"/>
              <w:contextualSpacing/>
              <w:rPr>
                <w:rFonts w:asciiTheme="minorHAnsi" w:hAnsiTheme="minorHAnsi" w:cs="Arial"/>
                <w:bCs/>
                <w:spacing w:val="0"/>
                <w:sz w:val="22"/>
                <w:szCs w:val="22"/>
                <w:lang w:val="es-ES"/>
              </w:rPr>
            </w:pPr>
            <w:r w:rsidRPr="00FE7A44">
              <w:rPr>
                <w:rFonts w:asciiTheme="minorHAnsi" w:hAnsiTheme="minorHAnsi" w:cs="Arial"/>
                <w:bCs/>
                <w:spacing w:val="0"/>
                <w:sz w:val="22"/>
                <w:szCs w:val="22"/>
                <w:lang w:val="es-ES"/>
              </w:rPr>
              <w:t>Maquinaria y equipo industrial</w:t>
            </w:r>
          </w:p>
        </w:tc>
        <w:tc>
          <w:tcPr>
            <w:tcW w:w="1707" w:type="dxa"/>
            <w:shd w:val="clear" w:color="auto" w:fill="auto"/>
            <w:vAlign w:val="bottom"/>
          </w:tcPr>
          <w:p w:rsidR="00FE7A44" w:rsidRDefault="00FE7A44" w:rsidP="00FE7A44">
            <w:pPr>
              <w:jc w:val="right"/>
              <w:rPr>
                <w:rFonts w:ascii="Calibri" w:hAnsi="Calibri"/>
                <w:color w:val="000000"/>
              </w:rPr>
            </w:pPr>
            <w:r>
              <w:rPr>
                <w:rFonts w:ascii="Calibri" w:hAnsi="Calibri"/>
                <w:color w:val="000000"/>
              </w:rPr>
              <w:t xml:space="preserve">                8,890 </w:t>
            </w:r>
          </w:p>
        </w:tc>
      </w:tr>
      <w:tr w:rsidR="00FE7A44" w:rsidRPr="00FE7A44" w:rsidTr="00FE7A44">
        <w:trPr>
          <w:trHeight w:hRule="exact" w:val="255"/>
        </w:trPr>
        <w:tc>
          <w:tcPr>
            <w:tcW w:w="6166" w:type="dxa"/>
            <w:shd w:val="clear" w:color="auto" w:fill="auto"/>
            <w:vAlign w:val="bottom"/>
            <w:hideMark/>
          </w:tcPr>
          <w:p w:rsidR="00FE7A44" w:rsidRPr="00FE7A44" w:rsidRDefault="00FE7A44" w:rsidP="003B31FE">
            <w:pPr>
              <w:pStyle w:val="Ttulo2"/>
              <w:contextualSpacing/>
              <w:rPr>
                <w:rFonts w:asciiTheme="minorHAnsi" w:hAnsiTheme="minorHAnsi" w:cs="Arial"/>
                <w:bCs/>
                <w:spacing w:val="0"/>
                <w:sz w:val="22"/>
                <w:szCs w:val="22"/>
                <w:lang w:val="es-ES"/>
              </w:rPr>
            </w:pPr>
            <w:r w:rsidRPr="00FE7A44">
              <w:rPr>
                <w:rFonts w:asciiTheme="minorHAnsi" w:hAnsiTheme="minorHAnsi" w:cs="Arial"/>
                <w:bCs/>
                <w:spacing w:val="0"/>
                <w:sz w:val="22"/>
                <w:szCs w:val="22"/>
                <w:lang w:val="es-ES"/>
              </w:rPr>
              <w:t>Maquinaria y equipo de construcción</w:t>
            </w:r>
          </w:p>
        </w:tc>
        <w:tc>
          <w:tcPr>
            <w:tcW w:w="1707" w:type="dxa"/>
            <w:shd w:val="clear" w:color="auto" w:fill="auto"/>
            <w:vAlign w:val="bottom"/>
          </w:tcPr>
          <w:p w:rsidR="00FE7A44" w:rsidRDefault="00FE7A44" w:rsidP="00FE7A44">
            <w:pPr>
              <w:jc w:val="right"/>
              <w:rPr>
                <w:rFonts w:ascii="Calibri" w:hAnsi="Calibri"/>
                <w:color w:val="000000"/>
              </w:rPr>
            </w:pPr>
            <w:r>
              <w:rPr>
                <w:rFonts w:ascii="Calibri" w:hAnsi="Calibri"/>
                <w:color w:val="000000"/>
              </w:rPr>
              <w:t xml:space="preserve">             88,816 </w:t>
            </w:r>
          </w:p>
        </w:tc>
      </w:tr>
      <w:tr w:rsidR="00FE7A44" w:rsidRPr="00FE7A44" w:rsidTr="00FE7A44">
        <w:trPr>
          <w:trHeight w:hRule="exact" w:val="255"/>
        </w:trPr>
        <w:tc>
          <w:tcPr>
            <w:tcW w:w="6166" w:type="dxa"/>
            <w:shd w:val="clear" w:color="auto" w:fill="auto"/>
            <w:vAlign w:val="bottom"/>
            <w:hideMark/>
          </w:tcPr>
          <w:p w:rsidR="00FE7A44" w:rsidRPr="00FE7A44" w:rsidRDefault="00FE7A44" w:rsidP="003B31FE">
            <w:pPr>
              <w:pStyle w:val="Ttulo2"/>
              <w:contextualSpacing/>
              <w:rPr>
                <w:rFonts w:asciiTheme="minorHAnsi" w:hAnsiTheme="minorHAnsi" w:cs="Arial"/>
                <w:bCs/>
                <w:spacing w:val="0"/>
                <w:sz w:val="22"/>
                <w:szCs w:val="22"/>
                <w:lang w:val="es-ES"/>
              </w:rPr>
            </w:pPr>
            <w:r w:rsidRPr="00FE7A44">
              <w:rPr>
                <w:rFonts w:asciiTheme="minorHAnsi" w:hAnsiTheme="minorHAnsi" w:cs="Arial"/>
                <w:bCs/>
                <w:spacing w:val="0"/>
                <w:sz w:val="22"/>
                <w:szCs w:val="22"/>
                <w:lang w:val="es-ES"/>
              </w:rPr>
              <w:t xml:space="preserve">Sistemas de aire acondicionado, calefacción y de refrigeración </w:t>
            </w:r>
          </w:p>
        </w:tc>
        <w:tc>
          <w:tcPr>
            <w:tcW w:w="1707" w:type="dxa"/>
            <w:shd w:val="clear" w:color="auto" w:fill="auto"/>
            <w:vAlign w:val="bottom"/>
          </w:tcPr>
          <w:p w:rsidR="00FE7A44" w:rsidRDefault="00FE7A44" w:rsidP="00FE7A44">
            <w:pPr>
              <w:jc w:val="right"/>
              <w:rPr>
                <w:rFonts w:ascii="Calibri" w:hAnsi="Calibri"/>
                <w:color w:val="000000"/>
              </w:rPr>
            </w:pPr>
            <w:r>
              <w:rPr>
                <w:rFonts w:ascii="Calibri" w:hAnsi="Calibri"/>
                <w:color w:val="000000"/>
              </w:rPr>
              <w:t xml:space="preserve">                3,460 </w:t>
            </w:r>
          </w:p>
        </w:tc>
      </w:tr>
      <w:tr w:rsidR="00FE7A44" w:rsidRPr="00FE7A44" w:rsidTr="00FE7A44">
        <w:trPr>
          <w:trHeight w:hRule="exact" w:val="255"/>
        </w:trPr>
        <w:tc>
          <w:tcPr>
            <w:tcW w:w="6166" w:type="dxa"/>
            <w:shd w:val="clear" w:color="auto" w:fill="auto"/>
            <w:vAlign w:val="bottom"/>
            <w:hideMark/>
          </w:tcPr>
          <w:p w:rsidR="00FE7A44" w:rsidRPr="00FE7A44" w:rsidRDefault="00FE7A44" w:rsidP="003B31FE">
            <w:pPr>
              <w:pStyle w:val="Ttulo2"/>
              <w:contextualSpacing/>
              <w:rPr>
                <w:rFonts w:asciiTheme="minorHAnsi" w:hAnsiTheme="minorHAnsi" w:cs="Arial"/>
                <w:bCs/>
                <w:spacing w:val="0"/>
                <w:sz w:val="22"/>
                <w:szCs w:val="22"/>
                <w:lang w:val="es-ES"/>
              </w:rPr>
            </w:pPr>
            <w:r w:rsidRPr="00FE7A44">
              <w:rPr>
                <w:rFonts w:asciiTheme="minorHAnsi" w:hAnsiTheme="minorHAnsi" w:cs="Arial"/>
                <w:bCs/>
                <w:spacing w:val="0"/>
                <w:sz w:val="22"/>
                <w:szCs w:val="22"/>
                <w:lang w:val="es-ES"/>
              </w:rPr>
              <w:t>Equipo de comunicación y telecomunicación</w:t>
            </w:r>
          </w:p>
        </w:tc>
        <w:tc>
          <w:tcPr>
            <w:tcW w:w="1707" w:type="dxa"/>
            <w:shd w:val="clear" w:color="auto" w:fill="auto"/>
            <w:vAlign w:val="bottom"/>
          </w:tcPr>
          <w:p w:rsidR="00FE7A44" w:rsidRDefault="00FE7A44" w:rsidP="00FE7A44">
            <w:pPr>
              <w:jc w:val="right"/>
              <w:rPr>
                <w:rFonts w:ascii="Calibri" w:hAnsi="Calibri"/>
                <w:color w:val="000000"/>
              </w:rPr>
            </w:pPr>
            <w:r>
              <w:rPr>
                <w:rFonts w:ascii="Calibri" w:hAnsi="Calibri"/>
                <w:color w:val="000000"/>
              </w:rPr>
              <w:t xml:space="preserve">           198,351 </w:t>
            </w:r>
          </w:p>
        </w:tc>
      </w:tr>
      <w:tr w:rsidR="00FE7A44" w:rsidRPr="00FE7A44" w:rsidTr="00FE7A44">
        <w:trPr>
          <w:trHeight w:hRule="exact" w:val="255"/>
        </w:trPr>
        <w:tc>
          <w:tcPr>
            <w:tcW w:w="6166" w:type="dxa"/>
            <w:shd w:val="clear" w:color="auto" w:fill="auto"/>
            <w:vAlign w:val="bottom"/>
            <w:hideMark/>
          </w:tcPr>
          <w:p w:rsidR="00FE7A44" w:rsidRPr="00FE7A44" w:rsidRDefault="00FE7A44" w:rsidP="003B31FE">
            <w:pPr>
              <w:pStyle w:val="Ttulo2"/>
              <w:contextualSpacing/>
              <w:rPr>
                <w:rFonts w:asciiTheme="minorHAnsi" w:hAnsiTheme="minorHAnsi" w:cs="Arial"/>
                <w:bCs/>
                <w:spacing w:val="0"/>
                <w:sz w:val="22"/>
                <w:szCs w:val="22"/>
                <w:lang w:val="es-ES"/>
              </w:rPr>
            </w:pPr>
            <w:r w:rsidRPr="00FE7A44">
              <w:rPr>
                <w:rFonts w:asciiTheme="minorHAnsi" w:hAnsiTheme="minorHAnsi" w:cs="Arial"/>
                <w:bCs/>
                <w:spacing w:val="0"/>
                <w:sz w:val="22"/>
                <w:szCs w:val="22"/>
                <w:lang w:val="es-ES"/>
              </w:rPr>
              <w:t>Equipos de generación eléctrica, aparatos y accesorios eléctricos</w:t>
            </w:r>
          </w:p>
        </w:tc>
        <w:tc>
          <w:tcPr>
            <w:tcW w:w="1707" w:type="dxa"/>
            <w:shd w:val="clear" w:color="auto" w:fill="auto"/>
            <w:vAlign w:val="bottom"/>
          </w:tcPr>
          <w:p w:rsidR="00FE7A44" w:rsidRDefault="00FE7A44" w:rsidP="00FE7A44">
            <w:pPr>
              <w:jc w:val="right"/>
              <w:rPr>
                <w:rFonts w:ascii="Calibri" w:hAnsi="Calibri"/>
                <w:color w:val="000000"/>
              </w:rPr>
            </w:pPr>
            <w:r>
              <w:rPr>
                <w:rFonts w:ascii="Calibri" w:hAnsi="Calibri"/>
                <w:color w:val="000000"/>
              </w:rPr>
              <w:t xml:space="preserve">                8,474 </w:t>
            </w:r>
          </w:p>
        </w:tc>
      </w:tr>
      <w:tr w:rsidR="00FE7A44" w:rsidRPr="00FE7A44" w:rsidTr="00FE7A44">
        <w:trPr>
          <w:trHeight w:hRule="exact" w:val="255"/>
        </w:trPr>
        <w:tc>
          <w:tcPr>
            <w:tcW w:w="6166" w:type="dxa"/>
            <w:shd w:val="clear" w:color="auto" w:fill="auto"/>
            <w:vAlign w:val="bottom"/>
            <w:hideMark/>
          </w:tcPr>
          <w:p w:rsidR="00FE7A44" w:rsidRPr="00FE7A44" w:rsidRDefault="00FE7A44" w:rsidP="003B31FE">
            <w:pPr>
              <w:pStyle w:val="Ttulo2"/>
              <w:contextualSpacing/>
              <w:rPr>
                <w:rFonts w:asciiTheme="minorHAnsi" w:hAnsiTheme="minorHAnsi" w:cs="Arial"/>
                <w:bCs/>
                <w:spacing w:val="0"/>
                <w:sz w:val="22"/>
                <w:szCs w:val="22"/>
                <w:lang w:val="es-ES"/>
              </w:rPr>
            </w:pPr>
            <w:r w:rsidRPr="00FE7A44">
              <w:rPr>
                <w:rFonts w:asciiTheme="minorHAnsi" w:hAnsiTheme="minorHAnsi" w:cs="Arial"/>
                <w:bCs/>
                <w:spacing w:val="0"/>
                <w:sz w:val="22"/>
                <w:szCs w:val="22"/>
                <w:lang w:val="es-ES"/>
              </w:rPr>
              <w:t>Herramientas y máquinas-herramienta</w:t>
            </w:r>
          </w:p>
        </w:tc>
        <w:tc>
          <w:tcPr>
            <w:tcW w:w="1707" w:type="dxa"/>
            <w:shd w:val="clear" w:color="auto" w:fill="auto"/>
            <w:vAlign w:val="bottom"/>
          </w:tcPr>
          <w:p w:rsidR="00FE7A44" w:rsidRDefault="00FE7A44" w:rsidP="00FE7A44">
            <w:pPr>
              <w:jc w:val="right"/>
              <w:rPr>
                <w:rFonts w:ascii="Calibri" w:hAnsi="Calibri"/>
                <w:color w:val="000000"/>
              </w:rPr>
            </w:pPr>
            <w:r>
              <w:rPr>
                <w:rFonts w:ascii="Calibri" w:hAnsi="Calibri"/>
                <w:color w:val="000000"/>
              </w:rPr>
              <w:t xml:space="preserve">             14,647 </w:t>
            </w:r>
          </w:p>
        </w:tc>
      </w:tr>
      <w:tr w:rsidR="00FE7A44" w:rsidRPr="00FE7A44" w:rsidTr="00FE7A44">
        <w:trPr>
          <w:trHeight w:hRule="exact" w:val="255"/>
        </w:trPr>
        <w:tc>
          <w:tcPr>
            <w:tcW w:w="6166" w:type="dxa"/>
            <w:shd w:val="clear" w:color="auto" w:fill="auto"/>
            <w:vAlign w:val="bottom"/>
            <w:hideMark/>
          </w:tcPr>
          <w:p w:rsidR="00FE7A44" w:rsidRPr="00FE7A44" w:rsidRDefault="00FE7A44" w:rsidP="003B31FE">
            <w:pPr>
              <w:pStyle w:val="Ttulo2"/>
              <w:contextualSpacing/>
              <w:rPr>
                <w:rFonts w:asciiTheme="minorHAnsi" w:hAnsiTheme="minorHAnsi" w:cs="Arial"/>
                <w:bCs/>
                <w:spacing w:val="0"/>
                <w:sz w:val="22"/>
                <w:szCs w:val="22"/>
                <w:lang w:val="es-ES"/>
              </w:rPr>
            </w:pPr>
            <w:r w:rsidRPr="00FE7A44">
              <w:rPr>
                <w:rFonts w:asciiTheme="minorHAnsi" w:hAnsiTheme="minorHAnsi" w:cs="Arial"/>
                <w:bCs/>
                <w:spacing w:val="0"/>
                <w:sz w:val="22"/>
                <w:szCs w:val="22"/>
                <w:lang w:val="es-ES"/>
              </w:rPr>
              <w:t>Otros equipos</w:t>
            </w:r>
          </w:p>
        </w:tc>
        <w:tc>
          <w:tcPr>
            <w:tcW w:w="1707" w:type="dxa"/>
            <w:shd w:val="clear" w:color="auto" w:fill="auto"/>
            <w:vAlign w:val="bottom"/>
          </w:tcPr>
          <w:p w:rsidR="00FE7A44" w:rsidRDefault="00FE7A44" w:rsidP="00FE7A44">
            <w:pPr>
              <w:jc w:val="right"/>
              <w:rPr>
                <w:rFonts w:ascii="Calibri" w:hAnsi="Calibri"/>
                <w:color w:val="000000"/>
              </w:rPr>
            </w:pPr>
            <w:r>
              <w:rPr>
                <w:rFonts w:ascii="Calibri" w:hAnsi="Calibri"/>
                <w:color w:val="000000"/>
              </w:rPr>
              <w:t xml:space="preserve">             38,039 </w:t>
            </w:r>
          </w:p>
        </w:tc>
      </w:tr>
      <w:tr w:rsidR="00FE7A44" w:rsidRPr="00FE7A44" w:rsidTr="00FE7A44">
        <w:trPr>
          <w:trHeight w:hRule="exact" w:val="255"/>
        </w:trPr>
        <w:tc>
          <w:tcPr>
            <w:tcW w:w="6166" w:type="dxa"/>
            <w:shd w:val="clear" w:color="auto" w:fill="auto"/>
            <w:vAlign w:val="bottom"/>
            <w:hideMark/>
          </w:tcPr>
          <w:p w:rsidR="00FE7A44" w:rsidRPr="00FE7A44" w:rsidRDefault="00FE7A44" w:rsidP="003B31FE">
            <w:pPr>
              <w:pStyle w:val="Ttulo2"/>
              <w:contextualSpacing/>
              <w:rPr>
                <w:rFonts w:asciiTheme="minorHAnsi" w:hAnsiTheme="minorHAnsi" w:cs="Arial"/>
                <w:bCs/>
                <w:spacing w:val="0"/>
                <w:sz w:val="22"/>
                <w:szCs w:val="22"/>
                <w:lang w:val="es-ES"/>
              </w:rPr>
            </w:pPr>
            <w:r w:rsidRPr="00FE7A44">
              <w:rPr>
                <w:rFonts w:asciiTheme="minorHAnsi" w:hAnsiTheme="minorHAnsi" w:cs="Arial"/>
                <w:bCs/>
                <w:spacing w:val="0"/>
                <w:sz w:val="22"/>
                <w:szCs w:val="22"/>
                <w:lang w:val="es-ES"/>
              </w:rPr>
              <w:t>Bienes artísticos, culturales y científicos</w:t>
            </w:r>
          </w:p>
        </w:tc>
        <w:tc>
          <w:tcPr>
            <w:tcW w:w="1707" w:type="dxa"/>
            <w:shd w:val="clear" w:color="auto" w:fill="auto"/>
            <w:vAlign w:val="bottom"/>
          </w:tcPr>
          <w:p w:rsidR="00FE7A44" w:rsidRDefault="00FE7A44" w:rsidP="00FE7A44">
            <w:pPr>
              <w:jc w:val="right"/>
              <w:rPr>
                <w:rFonts w:ascii="Calibri" w:hAnsi="Calibri"/>
                <w:color w:val="000000"/>
              </w:rPr>
            </w:pPr>
            <w:r>
              <w:rPr>
                <w:rFonts w:ascii="Calibri" w:hAnsi="Calibri"/>
                <w:color w:val="000000"/>
              </w:rPr>
              <w:t xml:space="preserve">             11,569 </w:t>
            </w:r>
          </w:p>
        </w:tc>
      </w:tr>
      <w:tr w:rsidR="00FE7A44" w:rsidRPr="00FE7A44" w:rsidTr="00FE7A44">
        <w:trPr>
          <w:trHeight w:hRule="exact" w:val="255"/>
        </w:trPr>
        <w:tc>
          <w:tcPr>
            <w:tcW w:w="6166" w:type="dxa"/>
            <w:shd w:val="clear" w:color="auto" w:fill="auto"/>
            <w:vAlign w:val="bottom"/>
            <w:hideMark/>
          </w:tcPr>
          <w:p w:rsidR="00FE7A44" w:rsidRPr="00FE7A44" w:rsidRDefault="00FE7A44" w:rsidP="003B31FE">
            <w:pPr>
              <w:pStyle w:val="Ttulo2"/>
              <w:contextualSpacing/>
              <w:rPr>
                <w:rFonts w:asciiTheme="minorHAnsi" w:hAnsiTheme="minorHAnsi" w:cs="Arial"/>
                <w:bCs/>
                <w:spacing w:val="0"/>
                <w:sz w:val="22"/>
                <w:szCs w:val="22"/>
                <w:lang w:val="es-ES"/>
              </w:rPr>
            </w:pPr>
            <w:r w:rsidRPr="00FE7A44">
              <w:rPr>
                <w:rFonts w:asciiTheme="minorHAnsi" w:hAnsiTheme="minorHAnsi" w:cs="Arial"/>
                <w:bCs/>
                <w:spacing w:val="0"/>
                <w:sz w:val="22"/>
                <w:szCs w:val="22"/>
                <w:lang w:val="es-ES"/>
              </w:rPr>
              <w:t>Objetos de valor</w:t>
            </w:r>
          </w:p>
        </w:tc>
        <w:tc>
          <w:tcPr>
            <w:tcW w:w="1707" w:type="dxa"/>
            <w:shd w:val="clear" w:color="auto" w:fill="auto"/>
            <w:vAlign w:val="bottom"/>
          </w:tcPr>
          <w:p w:rsidR="00FE7A44" w:rsidRDefault="00FE7A44" w:rsidP="00FE7A44">
            <w:pPr>
              <w:jc w:val="right"/>
              <w:rPr>
                <w:rFonts w:ascii="Calibri" w:hAnsi="Calibri"/>
                <w:color w:val="000000"/>
              </w:rPr>
            </w:pPr>
            <w:r>
              <w:rPr>
                <w:rFonts w:ascii="Calibri" w:hAnsi="Calibri"/>
                <w:color w:val="000000"/>
              </w:rPr>
              <w:t xml:space="preserve">                        6 </w:t>
            </w:r>
          </w:p>
        </w:tc>
      </w:tr>
      <w:tr w:rsidR="00FE7A44" w:rsidRPr="00FE7A44" w:rsidTr="00FE7A44">
        <w:trPr>
          <w:trHeight w:hRule="exact" w:val="255"/>
        </w:trPr>
        <w:tc>
          <w:tcPr>
            <w:tcW w:w="6166" w:type="dxa"/>
            <w:shd w:val="clear" w:color="auto" w:fill="auto"/>
            <w:vAlign w:val="bottom"/>
            <w:hideMark/>
          </w:tcPr>
          <w:p w:rsidR="00FE7A44" w:rsidRPr="00FE7A44" w:rsidRDefault="00FE7A44" w:rsidP="003B31FE">
            <w:pPr>
              <w:pStyle w:val="Ttulo2"/>
              <w:contextualSpacing/>
              <w:rPr>
                <w:rFonts w:asciiTheme="minorHAnsi" w:hAnsiTheme="minorHAnsi" w:cs="Arial"/>
                <w:bCs/>
                <w:spacing w:val="0"/>
                <w:sz w:val="22"/>
                <w:szCs w:val="22"/>
                <w:lang w:val="es-ES"/>
              </w:rPr>
            </w:pPr>
            <w:r w:rsidRPr="00FE7A44">
              <w:rPr>
                <w:rFonts w:asciiTheme="minorHAnsi" w:hAnsiTheme="minorHAnsi" w:cs="Arial"/>
                <w:bCs/>
                <w:spacing w:val="0"/>
                <w:sz w:val="22"/>
                <w:szCs w:val="22"/>
                <w:lang w:val="es-ES"/>
              </w:rPr>
              <w:t>Ovinos y caprinos</w:t>
            </w:r>
          </w:p>
        </w:tc>
        <w:tc>
          <w:tcPr>
            <w:tcW w:w="1707" w:type="dxa"/>
            <w:shd w:val="clear" w:color="auto" w:fill="auto"/>
            <w:vAlign w:val="bottom"/>
          </w:tcPr>
          <w:p w:rsidR="00FE7A44" w:rsidRDefault="00FE7A44" w:rsidP="00FE7A44">
            <w:pPr>
              <w:jc w:val="right"/>
              <w:rPr>
                <w:rFonts w:ascii="Calibri" w:hAnsi="Calibri"/>
                <w:color w:val="000000"/>
              </w:rPr>
            </w:pPr>
            <w:r>
              <w:rPr>
                <w:rFonts w:ascii="Calibri" w:hAnsi="Calibri"/>
                <w:color w:val="000000"/>
              </w:rPr>
              <w:t xml:space="preserve">                   906 </w:t>
            </w:r>
          </w:p>
        </w:tc>
      </w:tr>
      <w:tr w:rsidR="00FE7A44" w:rsidRPr="00FE7A44" w:rsidTr="00FE7A44">
        <w:trPr>
          <w:trHeight w:hRule="exact" w:val="255"/>
        </w:trPr>
        <w:tc>
          <w:tcPr>
            <w:tcW w:w="6166" w:type="dxa"/>
            <w:shd w:val="clear" w:color="auto" w:fill="auto"/>
            <w:vAlign w:val="bottom"/>
            <w:hideMark/>
          </w:tcPr>
          <w:p w:rsidR="00FE7A44" w:rsidRPr="00FE7A44" w:rsidRDefault="00FE7A44" w:rsidP="003B31FE">
            <w:pPr>
              <w:pStyle w:val="Ttulo2"/>
              <w:contextualSpacing/>
              <w:rPr>
                <w:rFonts w:asciiTheme="minorHAnsi" w:hAnsiTheme="minorHAnsi" w:cs="Arial"/>
                <w:bCs/>
                <w:spacing w:val="0"/>
                <w:sz w:val="22"/>
                <w:szCs w:val="22"/>
                <w:lang w:val="es-ES"/>
              </w:rPr>
            </w:pPr>
            <w:r w:rsidRPr="00FE7A44">
              <w:rPr>
                <w:rFonts w:asciiTheme="minorHAnsi" w:hAnsiTheme="minorHAnsi" w:cs="Arial"/>
                <w:bCs/>
                <w:spacing w:val="0"/>
                <w:sz w:val="22"/>
                <w:szCs w:val="22"/>
                <w:lang w:val="es-ES"/>
              </w:rPr>
              <w:t>Equinos</w:t>
            </w:r>
          </w:p>
        </w:tc>
        <w:tc>
          <w:tcPr>
            <w:tcW w:w="1707" w:type="dxa"/>
            <w:shd w:val="clear" w:color="auto" w:fill="auto"/>
            <w:vAlign w:val="bottom"/>
          </w:tcPr>
          <w:p w:rsidR="00FE7A44" w:rsidRDefault="00FE7A44" w:rsidP="00FE7A44">
            <w:pPr>
              <w:jc w:val="right"/>
              <w:rPr>
                <w:rFonts w:ascii="Calibri" w:hAnsi="Calibri"/>
                <w:color w:val="000000"/>
              </w:rPr>
            </w:pPr>
            <w:r>
              <w:rPr>
                <w:rFonts w:ascii="Calibri" w:hAnsi="Calibri"/>
                <w:color w:val="000000"/>
              </w:rPr>
              <w:t xml:space="preserve">                   209 </w:t>
            </w:r>
          </w:p>
        </w:tc>
      </w:tr>
      <w:tr w:rsidR="00FE7A44" w:rsidRPr="00FE7A44" w:rsidTr="00FE7A44">
        <w:trPr>
          <w:trHeight w:hRule="exact" w:val="255"/>
        </w:trPr>
        <w:tc>
          <w:tcPr>
            <w:tcW w:w="6166" w:type="dxa"/>
            <w:shd w:val="clear" w:color="auto" w:fill="auto"/>
            <w:vAlign w:val="bottom"/>
            <w:hideMark/>
          </w:tcPr>
          <w:p w:rsidR="00FE7A44" w:rsidRPr="00FE7A44" w:rsidRDefault="00FE7A44" w:rsidP="003B31FE">
            <w:pPr>
              <w:pStyle w:val="Ttulo2"/>
              <w:contextualSpacing/>
              <w:rPr>
                <w:rFonts w:asciiTheme="minorHAnsi" w:hAnsiTheme="minorHAnsi" w:cs="Arial"/>
                <w:bCs/>
                <w:spacing w:val="0"/>
                <w:sz w:val="22"/>
                <w:szCs w:val="22"/>
                <w:lang w:val="es-ES"/>
              </w:rPr>
            </w:pPr>
            <w:r w:rsidRPr="00FE7A44">
              <w:rPr>
                <w:rFonts w:asciiTheme="minorHAnsi" w:hAnsiTheme="minorHAnsi" w:cs="Arial"/>
                <w:bCs/>
                <w:spacing w:val="0"/>
                <w:sz w:val="22"/>
                <w:szCs w:val="22"/>
                <w:lang w:val="es-ES"/>
              </w:rPr>
              <w:t>Otros equipos biológicos</w:t>
            </w:r>
          </w:p>
        </w:tc>
        <w:tc>
          <w:tcPr>
            <w:tcW w:w="1707" w:type="dxa"/>
            <w:shd w:val="clear" w:color="auto" w:fill="auto"/>
            <w:vAlign w:val="bottom"/>
          </w:tcPr>
          <w:p w:rsidR="00FE7A44" w:rsidRDefault="00FE7A44" w:rsidP="00FE7A44">
            <w:pPr>
              <w:jc w:val="right"/>
              <w:rPr>
                <w:rFonts w:ascii="Calibri" w:hAnsi="Calibri"/>
                <w:color w:val="000000"/>
              </w:rPr>
            </w:pPr>
            <w:r>
              <w:rPr>
                <w:rFonts w:ascii="Calibri" w:hAnsi="Calibri"/>
                <w:color w:val="000000"/>
              </w:rPr>
              <w:t xml:space="preserve">                   498 </w:t>
            </w:r>
          </w:p>
        </w:tc>
      </w:tr>
      <w:tr w:rsidR="00FE7A44" w:rsidRPr="00FE7A44" w:rsidTr="00FE7A44">
        <w:trPr>
          <w:trHeight w:hRule="exact" w:val="255"/>
        </w:trPr>
        <w:tc>
          <w:tcPr>
            <w:tcW w:w="6166" w:type="dxa"/>
            <w:shd w:val="clear" w:color="auto" w:fill="auto"/>
            <w:vAlign w:val="bottom"/>
            <w:hideMark/>
          </w:tcPr>
          <w:p w:rsidR="00FE7A44" w:rsidRPr="00FE7A44" w:rsidRDefault="00FE7A44" w:rsidP="003B31FE">
            <w:pPr>
              <w:pStyle w:val="Ttulo2"/>
              <w:contextualSpacing/>
              <w:rPr>
                <w:rFonts w:asciiTheme="minorHAnsi" w:hAnsiTheme="minorHAnsi" w:cs="Arial"/>
                <w:bCs/>
                <w:spacing w:val="0"/>
                <w:sz w:val="22"/>
                <w:szCs w:val="22"/>
                <w:lang w:val="es-ES"/>
              </w:rPr>
            </w:pPr>
            <w:r w:rsidRPr="00FE7A44">
              <w:rPr>
                <w:rFonts w:asciiTheme="minorHAnsi" w:hAnsiTheme="minorHAnsi" w:cs="Arial"/>
                <w:bCs/>
                <w:spacing w:val="0"/>
                <w:sz w:val="22"/>
                <w:szCs w:val="22"/>
                <w:lang w:val="es-ES"/>
              </w:rPr>
              <w:t xml:space="preserve">Especies menores y de zoológico </w:t>
            </w:r>
          </w:p>
        </w:tc>
        <w:tc>
          <w:tcPr>
            <w:tcW w:w="1707" w:type="dxa"/>
            <w:shd w:val="clear" w:color="auto" w:fill="auto"/>
            <w:vAlign w:val="bottom"/>
          </w:tcPr>
          <w:p w:rsidR="00FE7A44" w:rsidRDefault="00FE7A44" w:rsidP="00FE7A44">
            <w:pPr>
              <w:jc w:val="right"/>
              <w:rPr>
                <w:rFonts w:ascii="Calibri" w:hAnsi="Calibri"/>
                <w:color w:val="000000"/>
              </w:rPr>
            </w:pPr>
            <w:r>
              <w:rPr>
                <w:rFonts w:ascii="Calibri" w:hAnsi="Calibri"/>
                <w:color w:val="000000"/>
              </w:rPr>
              <w:t xml:space="preserve">                   480 </w:t>
            </w:r>
          </w:p>
        </w:tc>
      </w:tr>
      <w:tr w:rsidR="00FE7A44" w:rsidRPr="00FE7A44" w:rsidTr="00FE7A44">
        <w:trPr>
          <w:trHeight w:hRule="exact" w:val="255"/>
        </w:trPr>
        <w:tc>
          <w:tcPr>
            <w:tcW w:w="6166" w:type="dxa"/>
            <w:shd w:val="clear" w:color="auto" w:fill="auto"/>
            <w:vAlign w:val="bottom"/>
            <w:hideMark/>
          </w:tcPr>
          <w:p w:rsidR="00FE7A44" w:rsidRPr="00FE7A44" w:rsidRDefault="000B4799" w:rsidP="003B31FE">
            <w:pPr>
              <w:pStyle w:val="Ttulo2"/>
              <w:contextualSpacing/>
              <w:rPr>
                <w:rFonts w:asciiTheme="minorHAnsi" w:hAnsiTheme="minorHAnsi" w:cs="Arial"/>
                <w:bCs/>
                <w:spacing w:val="0"/>
                <w:sz w:val="22"/>
                <w:szCs w:val="22"/>
                <w:lang w:val="es-ES"/>
              </w:rPr>
            </w:pPr>
            <w:r w:rsidRPr="00FE7A44">
              <w:rPr>
                <w:rFonts w:asciiTheme="minorHAnsi" w:hAnsiTheme="minorHAnsi" w:cs="Arial"/>
                <w:bCs/>
                <w:spacing w:val="0"/>
                <w:sz w:val="22"/>
                <w:szCs w:val="22"/>
                <w:lang w:val="es-ES"/>
              </w:rPr>
              <w:t>Árboles</w:t>
            </w:r>
            <w:r w:rsidR="00FE7A44" w:rsidRPr="00FE7A44">
              <w:rPr>
                <w:rFonts w:asciiTheme="minorHAnsi" w:hAnsiTheme="minorHAnsi" w:cs="Arial"/>
                <w:bCs/>
                <w:spacing w:val="0"/>
                <w:sz w:val="22"/>
                <w:szCs w:val="22"/>
                <w:lang w:val="es-ES"/>
              </w:rPr>
              <w:t xml:space="preserve"> y plantas</w:t>
            </w:r>
          </w:p>
        </w:tc>
        <w:tc>
          <w:tcPr>
            <w:tcW w:w="1707" w:type="dxa"/>
            <w:shd w:val="clear" w:color="auto" w:fill="auto"/>
            <w:vAlign w:val="bottom"/>
          </w:tcPr>
          <w:p w:rsidR="00FE7A44" w:rsidRDefault="00FE7A44" w:rsidP="00FE7A44">
            <w:pPr>
              <w:jc w:val="right"/>
              <w:rPr>
                <w:rFonts w:ascii="Calibri" w:hAnsi="Calibri"/>
                <w:color w:val="000000"/>
              </w:rPr>
            </w:pPr>
            <w:r>
              <w:rPr>
                <w:rFonts w:ascii="Calibri" w:hAnsi="Calibri"/>
                <w:color w:val="000000"/>
              </w:rPr>
              <w:t xml:space="preserve">                      40 </w:t>
            </w:r>
          </w:p>
        </w:tc>
      </w:tr>
      <w:tr w:rsidR="00FE7A44" w:rsidRPr="00FE7A44" w:rsidTr="00FE7A44">
        <w:trPr>
          <w:trHeight w:hRule="exact" w:val="255"/>
        </w:trPr>
        <w:tc>
          <w:tcPr>
            <w:tcW w:w="6166" w:type="dxa"/>
            <w:shd w:val="clear" w:color="auto" w:fill="auto"/>
            <w:vAlign w:val="bottom"/>
            <w:hideMark/>
          </w:tcPr>
          <w:p w:rsidR="00FE7A44" w:rsidRPr="00FE7A44" w:rsidRDefault="00FE7A44" w:rsidP="003B31FE">
            <w:pPr>
              <w:pStyle w:val="Ttulo2"/>
              <w:contextualSpacing/>
              <w:rPr>
                <w:rFonts w:asciiTheme="minorHAnsi" w:hAnsiTheme="minorHAnsi" w:cs="Arial"/>
                <w:bCs/>
                <w:spacing w:val="0"/>
                <w:sz w:val="22"/>
                <w:szCs w:val="22"/>
                <w:lang w:val="es-ES"/>
              </w:rPr>
            </w:pPr>
            <w:r w:rsidRPr="00FE7A44">
              <w:rPr>
                <w:rFonts w:asciiTheme="minorHAnsi" w:hAnsiTheme="minorHAnsi" w:cs="Arial"/>
                <w:bCs/>
                <w:spacing w:val="0"/>
                <w:sz w:val="22"/>
                <w:szCs w:val="22"/>
                <w:lang w:val="es-ES"/>
              </w:rPr>
              <w:t>Aves</w:t>
            </w:r>
          </w:p>
        </w:tc>
        <w:tc>
          <w:tcPr>
            <w:tcW w:w="1707" w:type="dxa"/>
            <w:tcBorders>
              <w:bottom w:val="single" w:sz="4" w:space="0" w:color="auto"/>
            </w:tcBorders>
            <w:shd w:val="clear" w:color="auto" w:fill="auto"/>
            <w:vAlign w:val="bottom"/>
          </w:tcPr>
          <w:p w:rsidR="00FE7A44" w:rsidRDefault="00FE7A44" w:rsidP="00FE7A44">
            <w:pPr>
              <w:jc w:val="right"/>
              <w:rPr>
                <w:rFonts w:ascii="Calibri" w:hAnsi="Calibri"/>
                <w:color w:val="000000"/>
              </w:rPr>
            </w:pPr>
            <w:r>
              <w:rPr>
                <w:rFonts w:ascii="Calibri" w:hAnsi="Calibri"/>
                <w:color w:val="000000"/>
              </w:rPr>
              <w:t xml:space="preserve">                      49 </w:t>
            </w:r>
          </w:p>
        </w:tc>
      </w:tr>
      <w:tr w:rsidR="00FE7A44" w:rsidRPr="00FE7A44" w:rsidTr="00FE7A44">
        <w:trPr>
          <w:trHeight w:hRule="exact" w:val="255"/>
        </w:trPr>
        <w:tc>
          <w:tcPr>
            <w:tcW w:w="6166" w:type="dxa"/>
            <w:shd w:val="clear" w:color="auto" w:fill="auto"/>
            <w:vAlign w:val="bottom"/>
            <w:hideMark/>
          </w:tcPr>
          <w:p w:rsidR="00FE7A44" w:rsidRPr="00FE7A44" w:rsidRDefault="00FE7A44" w:rsidP="003B31FE">
            <w:pPr>
              <w:pStyle w:val="Ttulo2"/>
              <w:contextualSpacing/>
              <w:jc w:val="right"/>
              <w:rPr>
                <w:rFonts w:asciiTheme="minorHAnsi" w:hAnsiTheme="minorHAnsi" w:cs="Arial"/>
                <w:b/>
                <w:bCs/>
                <w:spacing w:val="0"/>
                <w:sz w:val="22"/>
                <w:szCs w:val="22"/>
                <w:lang w:val="es-ES"/>
              </w:rPr>
            </w:pPr>
            <w:r w:rsidRPr="00FE7A44">
              <w:rPr>
                <w:rFonts w:asciiTheme="minorHAnsi" w:hAnsiTheme="minorHAnsi" w:cs="Arial"/>
                <w:b/>
                <w:bCs/>
                <w:spacing w:val="0"/>
                <w:sz w:val="22"/>
                <w:szCs w:val="22"/>
                <w:lang w:val="es-ES"/>
              </w:rPr>
              <w:t>SUMAS</w:t>
            </w:r>
          </w:p>
        </w:tc>
        <w:tc>
          <w:tcPr>
            <w:tcW w:w="1707" w:type="dxa"/>
            <w:tcBorders>
              <w:top w:val="single" w:sz="4" w:space="0" w:color="auto"/>
            </w:tcBorders>
            <w:shd w:val="clear" w:color="auto" w:fill="auto"/>
          </w:tcPr>
          <w:p w:rsidR="00FE7A44" w:rsidRPr="00FE7A44" w:rsidRDefault="006A4AE0" w:rsidP="00FE7A44">
            <w:pPr>
              <w:pStyle w:val="Ttulo2"/>
              <w:contextualSpacing/>
              <w:jc w:val="right"/>
              <w:rPr>
                <w:rFonts w:asciiTheme="minorHAnsi" w:hAnsiTheme="minorHAnsi" w:cs="Arial"/>
                <w:b/>
                <w:bCs/>
                <w:spacing w:val="0"/>
                <w:sz w:val="22"/>
                <w:szCs w:val="22"/>
                <w:lang w:val="es-ES"/>
              </w:rPr>
            </w:pPr>
            <w:r w:rsidRPr="00FE7A44">
              <w:rPr>
                <w:rFonts w:asciiTheme="minorHAnsi" w:hAnsiTheme="minorHAnsi" w:cs="Arial"/>
                <w:b/>
                <w:bCs/>
                <w:spacing w:val="0"/>
                <w:sz w:val="22"/>
                <w:szCs w:val="22"/>
                <w:lang w:val="es-ES"/>
              </w:rPr>
              <w:fldChar w:fldCharType="begin"/>
            </w:r>
            <w:r w:rsidR="00FE7A44" w:rsidRPr="00FE7A44">
              <w:rPr>
                <w:rFonts w:asciiTheme="minorHAnsi" w:hAnsiTheme="minorHAnsi" w:cs="Arial"/>
                <w:b/>
                <w:bCs/>
                <w:spacing w:val="0"/>
                <w:sz w:val="22"/>
                <w:szCs w:val="22"/>
                <w:lang w:val="es-ES"/>
              </w:rPr>
              <w:instrText xml:space="preserve"> =SUM(ABOVE) </w:instrText>
            </w:r>
            <w:r w:rsidRPr="00FE7A44">
              <w:rPr>
                <w:rFonts w:asciiTheme="minorHAnsi" w:hAnsiTheme="minorHAnsi" w:cs="Arial"/>
                <w:b/>
                <w:bCs/>
                <w:spacing w:val="0"/>
                <w:sz w:val="22"/>
                <w:szCs w:val="22"/>
                <w:lang w:val="es-ES"/>
              </w:rPr>
              <w:fldChar w:fldCharType="end"/>
            </w:r>
            <w:r>
              <w:rPr>
                <w:rFonts w:asciiTheme="minorHAnsi" w:hAnsiTheme="minorHAnsi" w:cs="Arial"/>
                <w:b/>
                <w:bCs/>
                <w:spacing w:val="0"/>
                <w:sz w:val="22"/>
                <w:szCs w:val="22"/>
                <w:lang w:val="es-ES"/>
              </w:rPr>
              <w:fldChar w:fldCharType="begin"/>
            </w:r>
            <w:r w:rsidR="00FE7A44">
              <w:rPr>
                <w:rFonts w:asciiTheme="minorHAnsi" w:hAnsiTheme="minorHAnsi" w:cs="Arial"/>
                <w:b/>
                <w:bCs/>
                <w:spacing w:val="0"/>
                <w:sz w:val="22"/>
                <w:szCs w:val="22"/>
                <w:lang w:val="es-ES"/>
              </w:rPr>
              <w:instrText xml:space="preserve"> =SUM(ABOVE) </w:instrText>
            </w:r>
            <w:r>
              <w:rPr>
                <w:rFonts w:asciiTheme="minorHAnsi" w:hAnsiTheme="minorHAnsi" w:cs="Arial"/>
                <w:b/>
                <w:bCs/>
                <w:spacing w:val="0"/>
                <w:sz w:val="22"/>
                <w:szCs w:val="22"/>
                <w:lang w:val="es-ES"/>
              </w:rPr>
              <w:fldChar w:fldCharType="separate"/>
            </w:r>
            <w:r w:rsidR="00FE7A44">
              <w:rPr>
                <w:rFonts w:asciiTheme="minorHAnsi" w:hAnsiTheme="minorHAnsi" w:cs="Arial"/>
                <w:b/>
                <w:bCs/>
                <w:noProof/>
                <w:spacing w:val="0"/>
                <w:sz w:val="22"/>
                <w:szCs w:val="22"/>
                <w:lang w:val="es-ES"/>
              </w:rPr>
              <w:t>1,992,531</w:t>
            </w:r>
            <w:r>
              <w:rPr>
                <w:rFonts w:asciiTheme="minorHAnsi" w:hAnsiTheme="minorHAnsi" w:cs="Arial"/>
                <w:b/>
                <w:bCs/>
                <w:spacing w:val="0"/>
                <w:sz w:val="22"/>
                <w:szCs w:val="22"/>
                <w:lang w:val="es-ES"/>
              </w:rPr>
              <w:fldChar w:fldCharType="end"/>
            </w:r>
          </w:p>
        </w:tc>
      </w:tr>
      <w:tr w:rsidR="00FE7A44" w:rsidRPr="00FE7A44" w:rsidTr="00FE7A44">
        <w:trPr>
          <w:trHeight w:hRule="exact" w:val="255"/>
        </w:trPr>
        <w:tc>
          <w:tcPr>
            <w:tcW w:w="6166" w:type="dxa"/>
            <w:shd w:val="clear" w:color="auto" w:fill="auto"/>
            <w:vAlign w:val="bottom"/>
            <w:hideMark/>
          </w:tcPr>
          <w:p w:rsidR="00FE7A44" w:rsidRPr="00FE7A44" w:rsidRDefault="00FE7A44" w:rsidP="003B31FE">
            <w:pPr>
              <w:pStyle w:val="Ttulo2"/>
              <w:contextualSpacing/>
              <w:rPr>
                <w:rFonts w:asciiTheme="minorHAnsi" w:hAnsiTheme="minorHAnsi" w:cs="Arial"/>
                <w:bCs/>
                <w:spacing w:val="0"/>
                <w:sz w:val="22"/>
                <w:szCs w:val="22"/>
                <w:lang w:val="es-ES"/>
              </w:rPr>
            </w:pPr>
          </w:p>
        </w:tc>
        <w:tc>
          <w:tcPr>
            <w:tcW w:w="1707" w:type="dxa"/>
            <w:shd w:val="clear" w:color="auto" w:fill="auto"/>
          </w:tcPr>
          <w:p w:rsidR="00FE7A44" w:rsidRPr="00FE7A44" w:rsidRDefault="00FE7A44" w:rsidP="003B31FE">
            <w:pPr>
              <w:pStyle w:val="Ttulo2"/>
              <w:contextualSpacing/>
              <w:rPr>
                <w:rFonts w:asciiTheme="minorHAnsi" w:hAnsiTheme="minorHAnsi" w:cs="Arial"/>
                <w:bCs/>
                <w:spacing w:val="0"/>
                <w:sz w:val="22"/>
                <w:szCs w:val="22"/>
                <w:lang w:val="es-ES"/>
              </w:rPr>
            </w:pPr>
          </w:p>
        </w:tc>
      </w:tr>
    </w:tbl>
    <w:p w:rsidR="00FE7A44" w:rsidRDefault="00FE7A44" w:rsidP="00114A08">
      <w:pPr>
        <w:pStyle w:val="Sinespaciado"/>
        <w:jc w:val="both"/>
        <w:rPr>
          <w:sz w:val="23"/>
          <w:szCs w:val="23"/>
        </w:rPr>
      </w:pPr>
    </w:p>
    <w:p w:rsidR="00FE7A44" w:rsidRDefault="00FE7A44" w:rsidP="00114A08">
      <w:pPr>
        <w:pStyle w:val="Sinespaciado"/>
        <w:jc w:val="both"/>
        <w:rPr>
          <w:sz w:val="23"/>
          <w:szCs w:val="23"/>
        </w:rPr>
      </w:pPr>
    </w:p>
    <w:p w:rsidR="00FE7A44" w:rsidRDefault="00FE7A44" w:rsidP="00114A08">
      <w:pPr>
        <w:pStyle w:val="Sinespaciado"/>
        <w:jc w:val="both"/>
        <w:rPr>
          <w:sz w:val="23"/>
          <w:szCs w:val="23"/>
        </w:rPr>
      </w:pPr>
    </w:p>
    <w:p w:rsidR="00FE7A44" w:rsidRDefault="00FE7A44" w:rsidP="00114A08">
      <w:pPr>
        <w:pStyle w:val="Sinespaciado"/>
        <w:jc w:val="both"/>
        <w:rPr>
          <w:sz w:val="23"/>
          <w:szCs w:val="23"/>
        </w:rPr>
      </w:pPr>
    </w:p>
    <w:p w:rsidR="00114A08" w:rsidRPr="005411E0" w:rsidRDefault="00114A08" w:rsidP="00114A08">
      <w:pPr>
        <w:pStyle w:val="Sinespaciado"/>
        <w:jc w:val="both"/>
        <w:rPr>
          <w:b/>
          <w:sz w:val="23"/>
          <w:szCs w:val="23"/>
        </w:rPr>
      </w:pPr>
      <w:r w:rsidRPr="005411E0">
        <w:rPr>
          <w:b/>
          <w:sz w:val="23"/>
          <w:szCs w:val="23"/>
        </w:rPr>
        <w:t xml:space="preserve">Nota </w:t>
      </w:r>
      <w:r w:rsidR="00EF7F78" w:rsidRPr="005411E0">
        <w:rPr>
          <w:b/>
          <w:sz w:val="23"/>
          <w:szCs w:val="23"/>
        </w:rPr>
        <w:t>6</w:t>
      </w:r>
      <w:r w:rsidRPr="005411E0">
        <w:rPr>
          <w:b/>
          <w:sz w:val="23"/>
          <w:szCs w:val="23"/>
        </w:rPr>
        <w:t>.- Cuentas Por Pagar a Corto Plazo.</w:t>
      </w:r>
    </w:p>
    <w:p w:rsidR="00114A08" w:rsidRPr="005411E0" w:rsidRDefault="00114A08" w:rsidP="00114A08">
      <w:pPr>
        <w:pStyle w:val="Sinespaciado"/>
        <w:jc w:val="both"/>
        <w:rPr>
          <w:sz w:val="23"/>
          <w:szCs w:val="23"/>
        </w:rPr>
      </w:pPr>
    </w:p>
    <w:p w:rsidR="00114A08" w:rsidRPr="005411E0" w:rsidRDefault="00114A08" w:rsidP="00114A08">
      <w:pPr>
        <w:pStyle w:val="Sinespaciado"/>
        <w:jc w:val="both"/>
        <w:rPr>
          <w:sz w:val="23"/>
          <w:szCs w:val="23"/>
        </w:rPr>
      </w:pPr>
      <w:r w:rsidRPr="005411E0">
        <w:rPr>
          <w:sz w:val="23"/>
          <w:szCs w:val="23"/>
        </w:rPr>
        <w:t>Los saldos de estas cuentas representan el monto de los adeudos del Estado, que deberá pagar en un plazo menor o igual a doce meses.</w:t>
      </w:r>
    </w:p>
    <w:p w:rsidR="002243A4" w:rsidRPr="005411E0" w:rsidRDefault="002243A4" w:rsidP="00114A08">
      <w:pPr>
        <w:pStyle w:val="Sinespaciado"/>
        <w:jc w:val="both"/>
        <w:rPr>
          <w:sz w:val="23"/>
          <w:szCs w:val="23"/>
        </w:rPr>
      </w:pPr>
    </w:p>
    <w:p w:rsidR="00114A08" w:rsidRDefault="00114A08" w:rsidP="00114A08">
      <w:pPr>
        <w:pStyle w:val="Sinespaciado"/>
        <w:jc w:val="both"/>
        <w:rPr>
          <w:sz w:val="23"/>
          <w:szCs w:val="23"/>
        </w:rPr>
      </w:pPr>
    </w:p>
    <w:p w:rsidR="007F028A" w:rsidRPr="00045916" w:rsidRDefault="007F028A" w:rsidP="007F028A">
      <w:pPr>
        <w:pStyle w:val="Ttulo2"/>
        <w:contextualSpacing/>
        <w:rPr>
          <w:rFonts w:cs="Arial"/>
          <w:bCs/>
          <w:spacing w:val="0"/>
          <w:szCs w:val="24"/>
          <w:lang w:val="es-ES"/>
        </w:rPr>
      </w:pPr>
    </w:p>
    <w:tbl>
      <w:tblPr>
        <w:tblW w:w="0" w:type="auto"/>
        <w:jc w:val="center"/>
        <w:tblInd w:w="-297" w:type="dxa"/>
        <w:tblCellMar>
          <w:left w:w="70" w:type="dxa"/>
          <w:right w:w="70" w:type="dxa"/>
        </w:tblCellMar>
        <w:tblLook w:val="04A0"/>
      </w:tblPr>
      <w:tblGrid>
        <w:gridCol w:w="5638"/>
        <w:gridCol w:w="1969"/>
      </w:tblGrid>
      <w:tr w:rsidR="007F028A" w:rsidRPr="007F028A" w:rsidTr="003B31FE">
        <w:trPr>
          <w:trHeight w:hRule="exact" w:val="255"/>
          <w:jc w:val="center"/>
        </w:trPr>
        <w:tc>
          <w:tcPr>
            <w:tcW w:w="0" w:type="auto"/>
            <w:shd w:val="clear" w:color="auto" w:fill="auto"/>
            <w:vAlign w:val="bottom"/>
            <w:hideMark/>
          </w:tcPr>
          <w:p w:rsidR="007F028A" w:rsidRPr="00046A6D" w:rsidRDefault="007F028A" w:rsidP="003B31FE">
            <w:pPr>
              <w:pStyle w:val="Ttulo2"/>
              <w:contextualSpacing/>
              <w:jc w:val="center"/>
              <w:rPr>
                <w:rFonts w:asciiTheme="minorHAnsi" w:hAnsiTheme="minorHAnsi" w:cs="Arial"/>
                <w:bCs/>
                <w:spacing w:val="0"/>
                <w:sz w:val="22"/>
                <w:szCs w:val="22"/>
                <w:lang w:val="es-ES"/>
              </w:rPr>
            </w:pPr>
            <w:r w:rsidRPr="00046A6D">
              <w:rPr>
                <w:rFonts w:asciiTheme="minorHAnsi" w:hAnsiTheme="minorHAnsi" w:cs="Arial"/>
                <w:bCs/>
                <w:spacing w:val="0"/>
                <w:sz w:val="22"/>
                <w:szCs w:val="22"/>
                <w:lang w:val="es-ES"/>
              </w:rPr>
              <w:t>CONCEPTO</w:t>
            </w:r>
          </w:p>
        </w:tc>
        <w:tc>
          <w:tcPr>
            <w:tcW w:w="1969" w:type="dxa"/>
            <w:shd w:val="clear" w:color="auto" w:fill="auto"/>
            <w:noWrap/>
            <w:vAlign w:val="center"/>
            <w:hideMark/>
          </w:tcPr>
          <w:p w:rsidR="007F028A" w:rsidRPr="00046A6D" w:rsidRDefault="007F028A" w:rsidP="003B31FE">
            <w:pPr>
              <w:pStyle w:val="Ttulo2"/>
              <w:contextualSpacing/>
              <w:rPr>
                <w:rFonts w:asciiTheme="minorHAnsi" w:hAnsiTheme="minorHAnsi" w:cs="Arial"/>
                <w:bCs/>
                <w:spacing w:val="0"/>
                <w:sz w:val="22"/>
                <w:szCs w:val="22"/>
                <w:lang w:val="es-ES"/>
              </w:rPr>
            </w:pPr>
            <w:r w:rsidRPr="00046A6D">
              <w:rPr>
                <w:rFonts w:asciiTheme="minorHAnsi" w:hAnsiTheme="minorHAnsi" w:cs="Arial"/>
                <w:bCs/>
                <w:spacing w:val="0"/>
                <w:sz w:val="22"/>
                <w:szCs w:val="22"/>
                <w:lang w:val="es-ES"/>
              </w:rPr>
              <w:t xml:space="preserve">  </w:t>
            </w:r>
          </w:p>
        </w:tc>
      </w:tr>
      <w:tr w:rsidR="007F028A" w:rsidRPr="007F028A" w:rsidTr="003B31FE">
        <w:trPr>
          <w:trHeight w:hRule="exact" w:val="255"/>
          <w:jc w:val="center"/>
        </w:trPr>
        <w:tc>
          <w:tcPr>
            <w:tcW w:w="0" w:type="auto"/>
            <w:shd w:val="clear" w:color="auto" w:fill="auto"/>
            <w:vAlign w:val="bottom"/>
            <w:hideMark/>
          </w:tcPr>
          <w:p w:rsidR="007F028A" w:rsidRPr="00046A6D" w:rsidRDefault="007F028A" w:rsidP="003B31FE">
            <w:pPr>
              <w:pStyle w:val="Ttulo2"/>
              <w:contextualSpacing/>
              <w:rPr>
                <w:rFonts w:asciiTheme="minorHAnsi" w:hAnsiTheme="minorHAnsi" w:cs="Arial"/>
                <w:bCs/>
                <w:spacing w:val="0"/>
                <w:sz w:val="22"/>
                <w:szCs w:val="22"/>
                <w:lang w:val="es-ES"/>
              </w:rPr>
            </w:pPr>
          </w:p>
        </w:tc>
        <w:tc>
          <w:tcPr>
            <w:tcW w:w="1969" w:type="dxa"/>
            <w:shd w:val="clear" w:color="auto" w:fill="auto"/>
            <w:noWrap/>
            <w:vAlign w:val="bottom"/>
            <w:hideMark/>
          </w:tcPr>
          <w:p w:rsidR="007F028A" w:rsidRPr="00046A6D" w:rsidRDefault="007F028A" w:rsidP="003B31FE">
            <w:pPr>
              <w:pStyle w:val="Ttulo2"/>
              <w:contextualSpacing/>
              <w:rPr>
                <w:rFonts w:asciiTheme="minorHAnsi" w:hAnsiTheme="minorHAnsi" w:cs="Arial"/>
                <w:bCs/>
                <w:spacing w:val="0"/>
                <w:sz w:val="22"/>
                <w:szCs w:val="22"/>
                <w:lang w:val="es-ES"/>
              </w:rPr>
            </w:pPr>
          </w:p>
        </w:tc>
      </w:tr>
      <w:tr w:rsidR="007F028A" w:rsidRPr="007F028A" w:rsidTr="003B31FE">
        <w:trPr>
          <w:trHeight w:hRule="exact" w:val="255"/>
          <w:jc w:val="center"/>
        </w:trPr>
        <w:tc>
          <w:tcPr>
            <w:tcW w:w="0" w:type="auto"/>
            <w:shd w:val="clear" w:color="auto" w:fill="auto"/>
            <w:vAlign w:val="bottom"/>
            <w:hideMark/>
          </w:tcPr>
          <w:p w:rsidR="007F028A" w:rsidRPr="00046A6D" w:rsidRDefault="007F028A" w:rsidP="003B31FE">
            <w:pPr>
              <w:pStyle w:val="Ttulo2"/>
              <w:contextualSpacing/>
              <w:rPr>
                <w:rFonts w:asciiTheme="minorHAnsi" w:hAnsiTheme="minorHAnsi" w:cs="Arial"/>
                <w:bCs/>
                <w:spacing w:val="0"/>
                <w:sz w:val="22"/>
                <w:szCs w:val="22"/>
                <w:lang w:val="es-ES"/>
              </w:rPr>
            </w:pPr>
            <w:r w:rsidRPr="00046A6D">
              <w:rPr>
                <w:rFonts w:asciiTheme="minorHAnsi" w:hAnsiTheme="minorHAnsi" w:cs="Arial"/>
                <w:bCs/>
                <w:spacing w:val="0"/>
                <w:sz w:val="22"/>
                <w:szCs w:val="22"/>
                <w:lang w:val="es-ES"/>
              </w:rPr>
              <w:t xml:space="preserve">Cuentas por pagar por préstamos otorgados </w:t>
            </w:r>
          </w:p>
        </w:tc>
        <w:tc>
          <w:tcPr>
            <w:tcW w:w="1969" w:type="dxa"/>
            <w:shd w:val="clear" w:color="auto" w:fill="auto"/>
            <w:noWrap/>
            <w:vAlign w:val="bottom"/>
            <w:hideMark/>
          </w:tcPr>
          <w:p w:rsidR="007F028A" w:rsidRPr="00046A6D" w:rsidRDefault="007F028A" w:rsidP="007F028A">
            <w:pPr>
              <w:jc w:val="right"/>
              <w:rPr>
                <w:rFonts w:ascii="Calibri" w:hAnsi="Calibri"/>
                <w:color w:val="000000"/>
              </w:rPr>
            </w:pPr>
            <w:r w:rsidRPr="00046A6D">
              <w:rPr>
                <w:rFonts w:ascii="Calibri" w:hAnsi="Calibri"/>
                <w:color w:val="000000"/>
              </w:rPr>
              <w:t xml:space="preserve">            302,096 </w:t>
            </w:r>
          </w:p>
        </w:tc>
      </w:tr>
      <w:tr w:rsidR="007F028A" w:rsidRPr="007F028A" w:rsidTr="003B31FE">
        <w:trPr>
          <w:trHeight w:hRule="exact" w:val="255"/>
          <w:jc w:val="center"/>
        </w:trPr>
        <w:tc>
          <w:tcPr>
            <w:tcW w:w="0" w:type="auto"/>
            <w:shd w:val="clear" w:color="auto" w:fill="auto"/>
            <w:vAlign w:val="bottom"/>
            <w:hideMark/>
          </w:tcPr>
          <w:p w:rsidR="007F028A" w:rsidRPr="00046A6D" w:rsidRDefault="007F028A" w:rsidP="003B31FE">
            <w:pPr>
              <w:pStyle w:val="Ttulo2"/>
              <w:contextualSpacing/>
              <w:rPr>
                <w:rFonts w:asciiTheme="minorHAnsi" w:hAnsiTheme="minorHAnsi" w:cs="Arial"/>
                <w:bCs/>
                <w:spacing w:val="0"/>
                <w:sz w:val="22"/>
                <w:szCs w:val="22"/>
                <w:lang w:val="es-ES"/>
              </w:rPr>
            </w:pPr>
            <w:r w:rsidRPr="00046A6D">
              <w:rPr>
                <w:rFonts w:asciiTheme="minorHAnsi" w:hAnsiTheme="minorHAnsi" w:cs="Arial"/>
                <w:bCs/>
                <w:spacing w:val="0"/>
                <w:sz w:val="22"/>
                <w:szCs w:val="22"/>
                <w:lang w:val="es-ES"/>
              </w:rPr>
              <w:t>Contratista por obras en bienes de dominio público por pagar</w:t>
            </w:r>
          </w:p>
        </w:tc>
        <w:tc>
          <w:tcPr>
            <w:tcW w:w="1969" w:type="dxa"/>
            <w:shd w:val="clear" w:color="auto" w:fill="auto"/>
            <w:noWrap/>
            <w:vAlign w:val="bottom"/>
            <w:hideMark/>
          </w:tcPr>
          <w:p w:rsidR="007F028A" w:rsidRPr="00046A6D" w:rsidRDefault="007F028A" w:rsidP="007F028A">
            <w:pPr>
              <w:jc w:val="right"/>
              <w:rPr>
                <w:rFonts w:ascii="Calibri" w:hAnsi="Calibri"/>
                <w:color w:val="000000"/>
              </w:rPr>
            </w:pPr>
            <w:r w:rsidRPr="00046A6D">
              <w:rPr>
                <w:rFonts w:ascii="Calibri" w:hAnsi="Calibri"/>
                <w:color w:val="000000"/>
              </w:rPr>
              <w:t xml:space="preserve">            976,240 </w:t>
            </w:r>
          </w:p>
        </w:tc>
      </w:tr>
      <w:tr w:rsidR="007F028A" w:rsidRPr="007F028A" w:rsidTr="003B31FE">
        <w:trPr>
          <w:trHeight w:hRule="exact" w:val="255"/>
          <w:jc w:val="center"/>
        </w:trPr>
        <w:tc>
          <w:tcPr>
            <w:tcW w:w="0" w:type="auto"/>
            <w:shd w:val="clear" w:color="auto" w:fill="auto"/>
            <w:vAlign w:val="bottom"/>
            <w:hideMark/>
          </w:tcPr>
          <w:p w:rsidR="007F028A" w:rsidRPr="00046A6D" w:rsidRDefault="007F028A" w:rsidP="003B31FE">
            <w:pPr>
              <w:pStyle w:val="Ttulo2"/>
              <w:contextualSpacing/>
              <w:rPr>
                <w:rFonts w:asciiTheme="minorHAnsi" w:hAnsiTheme="minorHAnsi" w:cs="Arial"/>
                <w:bCs/>
                <w:spacing w:val="0"/>
                <w:sz w:val="22"/>
                <w:szCs w:val="22"/>
                <w:lang w:val="es-ES"/>
              </w:rPr>
            </w:pPr>
            <w:r w:rsidRPr="00046A6D">
              <w:rPr>
                <w:rFonts w:asciiTheme="minorHAnsi" w:hAnsiTheme="minorHAnsi" w:cs="Arial"/>
                <w:bCs/>
                <w:spacing w:val="0"/>
                <w:sz w:val="22"/>
                <w:szCs w:val="22"/>
                <w:lang w:val="es-ES"/>
              </w:rPr>
              <w:t>Transferencias internas y asignaciones al sector público</w:t>
            </w:r>
          </w:p>
        </w:tc>
        <w:tc>
          <w:tcPr>
            <w:tcW w:w="1969" w:type="dxa"/>
            <w:shd w:val="clear" w:color="auto" w:fill="auto"/>
            <w:noWrap/>
            <w:vAlign w:val="bottom"/>
            <w:hideMark/>
          </w:tcPr>
          <w:p w:rsidR="007F028A" w:rsidRPr="00046A6D" w:rsidRDefault="007F028A" w:rsidP="007F028A">
            <w:pPr>
              <w:jc w:val="right"/>
              <w:rPr>
                <w:rFonts w:ascii="Calibri" w:hAnsi="Calibri"/>
                <w:color w:val="000000"/>
              </w:rPr>
            </w:pPr>
            <w:r w:rsidRPr="00046A6D">
              <w:rPr>
                <w:rFonts w:ascii="Calibri" w:hAnsi="Calibri"/>
                <w:color w:val="000000"/>
              </w:rPr>
              <w:t xml:space="preserve">638,413 </w:t>
            </w:r>
          </w:p>
        </w:tc>
      </w:tr>
      <w:tr w:rsidR="007F028A" w:rsidRPr="007F028A" w:rsidTr="003B31FE">
        <w:trPr>
          <w:trHeight w:hRule="exact" w:val="255"/>
          <w:jc w:val="center"/>
        </w:trPr>
        <w:tc>
          <w:tcPr>
            <w:tcW w:w="0" w:type="auto"/>
            <w:shd w:val="clear" w:color="auto" w:fill="auto"/>
            <w:vAlign w:val="bottom"/>
            <w:hideMark/>
          </w:tcPr>
          <w:p w:rsidR="007F028A" w:rsidRPr="00046A6D" w:rsidRDefault="007F028A" w:rsidP="003B31FE">
            <w:pPr>
              <w:pStyle w:val="Ttulo2"/>
              <w:contextualSpacing/>
              <w:rPr>
                <w:rFonts w:asciiTheme="minorHAnsi" w:hAnsiTheme="minorHAnsi" w:cs="Arial"/>
                <w:bCs/>
                <w:spacing w:val="0"/>
                <w:sz w:val="22"/>
                <w:szCs w:val="22"/>
                <w:lang w:val="es-ES"/>
              </w:rPr>
            </w:pPr>
            <w:r w:rsidRPr="00046A6D">
              <w:rPr>
                <w:rFonts w:asciiTheme="minorHAnsi" w:hAnsiTheme="minorHAnsi" w:cs="Arial"/>
                <w:bCs/>
                <w:spacing w:val="0"/>
                <w:sz w:val="22"/>
                <w:szCs w:val="22"/>
                <w:lang w:val="es-ES"/>
              </w:rPr>
              <w:t xml:space="preserve">Retenciones de impuestos por pagar </w:t>
            </w:r>
          </w:p>
        </w:tc>
        <w:tc>
          <w:tcPr>
            <w:tcW w:w="1969" w:type="dxa"/>
            <w:shd w:val="clear" w:color="auto" w:fill="auto"/>
            <w:noWrap/>
            <w:vAlign w:val="bottom"/>
            <w:hideMark/>
          </w:tcPr>
          <w:p w:rsidR="007F028A" w:rsidRPr="00046A6D" w:rsidRDefault="007F028A" w:rsidP="007F028A">
            <w:pPr>
              <w:jc w:val="right"/>
              <w:rPr>
                <w:rFonts w:ascii="Calibri" w:hAnsi="Calibri"/>
                <w:color w:val="000000"/>
              </w:rPr>
            </w:pPr>
            <w:r w:rsidRPr="00046A6D">
              <w:rPr>
                <w:rFonts w:ascii="Calibri" w:hAnsi="Calibri"/>
                <w:color w:val="000000"/>
              </w:rPr>
              <w:t xml:space="preserve">            183,093 </w:t>
            </w:r>
          </w:p>
        </w:tc>
      </w:tr>
      <w:tr w:rsidR="007F028A" w:rsidRPr="007F028A" w:rsidTr="003B31FE">
        <w:trPr>
          <w:trHeight w:hRule="exact" w:val="255"/>
          <w:jc w:val="center"/>
        </w:trPr>
        <w:tc>
          <w:tcPr>
            <w:tcW w:w="0" w:type="auto"/>
            <w:shd w:val="clear" w:color="auto" w:fill="auto"/>
            <w:vAlign w:val="bottom"/>
            <w:hideMark/>
          </w:tcPr>
          <w:p w:rsidR="007F028A" w:rsidRPr="00046A6D" w:rsidRDefault="007F028A" w:rsidP="003B31FE">
            <w:pPr>
              <w:pStyle w:val="Ttulo2"/>
              <w:contextualSpacing/>
              <w:rPr>
                <w:rFonts w:asciiTheme="minorHAnsi" w:hAnsiTheme="minorHAnsi" w:cs="Arial"/>
                <w:bCs/>
                <w:spacing w:val="0"/>
                <w:sz w:val="22"/>
                <w:szCs w:val="22"/>
                <w:lang w:val="es-ES"/>
              </w:rPr>
            </w:pPr>
            <w:r w:rsidRPr="00046A6D">
              <w:rPr>
                <w:rFonts w:asciiTheme="minorHAnsi" w:hAnsiTheme="minorHAnsi" w:cs="Arial"/>
                <w:bCs/>
                <w:spacing w:val="0"/>
                <w:sz w:val="22"/>
                <w:szCs w:val="22"/>
                <w:lang w:val="es-ES"/>
              </w:rPr>
              <w:t xml:space="preserve">Retenciones del sistema de seguridad social por pagar </w:t>
            </w:r>
          </w:p>
        </w:tc>
        <w:tc>
          <w:tcPr>
            <w:tcW w:w="1969" w:type="dxa"/>
            <w:shd w:val="clear" w:color="auto" w:fill="auto"/>
            <w:noWrap/>
            <w:vAlign w:val="bottom"/>
            <w:hideMark/>
          </w:tcPr>
          <w:p w:rsidR="007F028A" w:rsidRPr="00046A6D" w:rsidRDefault="007F028A" w:rsidP="007F028A">
            <w:pPr>
              <w:jc w:val="right"/>
              <w:rPr>
                <w:rFonts w:ascii="Calibri" w:hAnsi="Calibri"/>
                <w:color w:val="000000"/>
              </w:rPr>
            </w:pPr>
            <w:r w:rsidRPr="00046A6D">
              <w:rPr>
                <w:rFonts w:ascii="Calibri" w:hAnsi="Calibri"/>
                <w:color w:val="000000"/>
              </w:rPr>
              <w:t xml:space="preserve">            186,372 </w:t>
            </w:r>
          </w:p>
        </w:tc>
      </w:tr>
      <w:tr w:rsidR="007F028A" w:rsidRPr="007F028A" w:rsidTr="003B31FE">
        <w:trPr>
          <w:trHeight w:hRule="exact" w:val="255"/>
          <w:jc w:val="center"/>
        </w:trPr>
        <w:tc>
          <w:tcPr>
            <w:tcW w:w="0" w:type="auto"/>
            <w:shd w:val="clear" w:color="auto" w:fill="auto"/>
            <w:vAlign w:val="bottom"/>
            <w:hideMark/>
          </w:tcPr>
          <w:p w:rsidR="007F028A" w:rsidRPr="00046A6D" w:rsidRDefault="007F028A" w:rsidP="003B31FE">
            <w:pPr>
              <w:pStyle w:val="Ttulo2"/>
              <w:contextualSpacing/>
              <w:rPr>
                <w:rFonts w:asciiTheme="minorHAnsi" w:hAnsiTheme="minorHAnsi" w:cs="Arial"/>
                <w:bCs/>
                <w:spacing w:val="0"/>
                <w:sz w:val="22"/>
                <w:szCs w:val="22"/>
                <w:lang w:val="es-ES"/>
              </w:rPr>
            </w:pPr>
            <w:r w:rsidRPr="00046A6D">
              <w:rPr>
                <w:rFonts w:asciiTheme="minorHAnsi" w:hAnsiTheme="minorHAnsi" w:cs="Arial"/>
                <w:bCs/>
                <w:spacing w:val="0"/>
                <w:sz w:val="22"/>
                <w:szCs w:val="22"/>
                <w:lang w:val="es-ES"/>
              </w:rPr>
              <w:t xml:space="preserve">Otras retenciones y contribuciones por pagar </w:t>
            </w:r>
          </w:p>
        </w:tc>
        <w:tc>
          <w:tcPr>
            <w:tcW w:w="1969" w:type="dxa"/>
            <w:shd w:val="clear" w:color="auto" w:fill="auto"/>
            <w:noWrap/>
            <w:vAlign w:val="bottom"/>
            <w:hideMark/>
          </w:tcPr>
          <w:p w:rsidR="007F028A" w:rsidRPr="00046A6D" w:rsidRDefault="007F028A" w:rsidP="007F028A">
            <w:pPr>
              <w:jc w:val="right"/>
              <w:rPr>
                <w:rFonts w:ascii="Calibri" w:hAnsi="Calibri"/>
                <w:color w:val="000000"/>
              </w:rPr>
            </w:pPr>
            <w:r w:rsidRPr="00046A6D">
              <w:rPr>
                <w:rFonts w:ascii="Calibri" w:hAnsi="Calibri"/>
                <w:color w:val="000000"/>
              </w:rPr>
              <w:t xml:space="preserve">            712,544 </w:t>
            </w:r>
          </w:p>
        </w:tc>
      </w:tr>
      <w:tr w:rsidR="007F028A" w:rsidRPr="007F028A" w:rsidTr="003B31FE">
        <w:trPr>
          <w:trHeight w:hRule="exact" w:val="255"/>
          <w:jc w:val="center"/>
        </w:trPr>
        <w:tc>
          <w:tcPr>
            <w:tcW w:w="0" w:type="auto"/>
            <w:shd w:val="clear" w:color="auto" w:fill="auto"/>
            <w:vAlign w:val="bottom"/>
            <w:hideMark/>
          </w:tcPr>
          <w:p w:rsidR="007F028A" w:rsidRPr="00046A6D" w:rsidRDefault="007F028A" w:rsidP="003B31FE">
            <w:pPr>
              <w:pStyle w:val="Ttulo2"/>
              <w:contextualSpacing/>
              <w:rPr>
                <w:rFonts w:asciiTheme="minorHAnsi" w:hAnsiTheme="minorHAnsi" w:cs="Arial"/>
                <w:bCs/>
                <w:spacing w:val="0"/>
                <w:sz w:val="22"/>
                <w:szCs w:val="22"/>
                <w:lang w:val="es-ES"/>
              </w:rPr>
            </w:pPr>
            <w:r w:rsidRPr="00046A6D">
              <w:rPr>
                <w:rFonts w:asciiTheme="minorHAnsi" w:hAnsiTheme="minorHAnsi" w:cs="Arial"/>
                <w:bCs/>
                <w:spacing w:val="0"/>
                <w:sz w:val="22"/>
                <w:szCs w:val="22"/>
                <w:lang w:val="es-ES"/>
              </w:rPr>
              <w:t xml:space="preserve">Deudas por adquisición de bienes y contratación de servicios  </w:t>
            </w:r>
          </w:p>
        </w:tc>
        <w:tc>
          <w:tcPr>
            <w:tcW w:w="1969" w:type="dxa"/>
            <w:shd w:val="clear" w:color="auto" w:fill="auto"/>
            <w:noWrap/>
            <w:vAlign w:val="bottom"/>
            <w:hideMark/>
          </w:tcPr>
          <w:p w:rsidR="007F028A" w:rsidRPr="00046A6D" w:rsidRDefault="007F028A" w:rsidP="007F028A">
            <w:pPr>
              <w:jc w:val="right"/>
              <w:rPr>
                <w:rFonts w:ascii="Calibri" w:hAnsi="Calibri"/>
                <w:color w:val="000000"/>
              </w:rPr>
            </w:pPr>
            <w:r w:rsidRPr="00046A6D">
              <w:rPr>
                <w:rFonts w:ascii="Calibri" w:hAnsi="Calibri"/>
                <w:color w:val="000000"/>
              </w:rPr>
              <w:t xml:space="preserve">            854,837 </w:t>
            </w:r>
          </w:p>
        </w:tc>
      </w:tr>
      <w:tr w:rsidR="007F028A" w:rsidRPr="007F028A" w:rsidTr="003B31FE">
        <w:trPr>
          <w:trHeight w:hRule="exact" w:val="255"/>
          <w:jc w:val="center"/>
        </w:trPr>
        <w:tc>
          <w:tcPr>
            <w:tcW w:w="0" w:type="auto"/>
            <w:shd w:val="clear" w:color="auto" w:fill="auto"/>
            <w:vAlign w:val="bottom"/>
            <w:hideMark/>
          </w:tcPr>
          <w:p w:rsidR="007F028A" w:rsidRPr="00046A6D" w:rsidRDefault="007F028A" w:rsidP="003B31FE">
            <w:pPr>
              <w:pStyle w:val="Ttulo2"/>
              <w:contextualSpacing/>
              <w:rPr>
                <w:rFonts w:asciiTheme="minorHAnsi" w:hAnsiTheme="minorHAnsi" w:cs="Arial"/>
                <w:bCs/>
                <w:spacing w:val="0"/>
                <w:sz w:val="22"/>
                <w:szCs w:val="22"/>
                <w:lang w:val="es-ES"/>
              </w:rPr>
            </w:pPr>
            <w:r w:rsidRPr="00046A6D">
              <w:rPr>
                <w:rFonts w:asciiTheme="minorHAnsi" w:hAnsiTheme="minorHAnsi" w:cs="Arial"/>
                <w:bCs/>
                <w:spacing w:val="0"/>
                <w:sz w:val="22"/>
                <w:szCs w:val="22"/>
                <w:lang w:val="es-ES"/>
              </w:rPr>
              <w:t>Otras cuentas por pagar a corto plazo</w:t>
            </w:r>
          </w:p>
        </w:tc>
        <w:tc>
          <w:tcPr>
            <w:tcW w:w="1969" w:type="dxa"/>
            <w:shd w:val="clear" w:color="auto" w:fill="auto"/>
            <w:noWrap/>
            <w:vAlign w:val="bottom"/>
            <w:hideMark/>
          </w:tcPr>
          <w:p w:rsidR="007F028A" w:rsidRPr="00046A6D" w:rsidRDefault="007F028A" w:rsidP="00046A6D">
            <w:pPr>
              <w:jc w:val="right"/>
              <w:rPr>
                <w:rFonts w:ascii="Calibri" w:hAnsi="Calibri"/>
                <w:color w:val="000000"/>
              </w:rPr>
            </w:pPr>
            <w:r w:rsidRPr="00046A6D">
              <w:rPr>
                <w:rFonts w:ascii="Calibri" w:hAnsi="Calibri"/>
                <w:color w:val="000000"/>
              </w:rPr>
              <w:t xml:space="preserve">         </w:t>
            </w:r>
            <w:r w:rsidR="00046A6D" w:rsidRPr="00046A6D">
              <w:rPr>
                <w:rFonts w:ascii="Calibri" w:hAnsi="Calibri"/>
                <w:color w:val="000000"/>
              </w:rPr>
              <w:t>3</w:t>
            </w:r>
            <w:r w:rsidRPr="00046A6D">
              <w:rPr>
                <w:rFonts w:ascii="Calibri" w:hAnsi="Calibri"/>
                <w:color w:val="000000"/>
              </w:rPr>
              <w:t xml:space="preserve">,147,779 </w:t>
            </w:r>
          </w:p>
        </w:tc>
      </w:tr>
      <w:tr w:rsidR="007F028A" w:rsidRPr="007F028A" w:rsidTr="003B31FE">
        <w:trPr>
          <w:trHeight w:hRule="exact" w:val="255"/>
          <w:jc w:val="center"/>
        </w:trPr>
        <w:tc>
          <w:tcPr>
            <w:tcW w:w="0" w:type="auto"/>
            <w:shd w:val="clear" w:color="auto" w:fill="auto"/>
            <w:vAlign w:val="bottom"/>
            <w:hideMark/>
          </w:tcPr>
          <w:p w:rsidR="007F028A" w:rsidRPr="00046A6D" w:rsidRDefault="007F028A" w:rsidP="003B31FE">
            <w:pPr>
              <w:pStyle w:val="Ttulo2"/>
              <w:contextualSpacing/>
              <w:rPr>
                <w:rFonts w:asciiTheme="minorHAnsi" w:hAnsiTheme="minorHAnsi" w:cs="Arial"/>
                <w:bCs/>
                <w:spacing w:val="0"/>
                <w:sz w:val="22"/>
                <w:szCs w:val="22"/>
                <w:lang w:val="es-ES"/>
              </w:rPr>
            </w:pPr>
            <w:r w:rsidRPr="00046A6D">
              <w:rPr>
                <w:rFonts w:asciiTheme="minorHAnsi" w:hAnsiTheme="minorHAnsi" w:cs="Arial"/>
                <w:bCs/>
                <w:spacing w:val="0"/>
                <w:sz w:val="22"/>
                <w:szCs w:val="22"/>
                <w:lang w:val="es-ES"/>
              </w:rPr>
              <w:t>Participaciones por pagar a corto plazo</w:t>
            </w:r>
          </w:p>
        </w:tc>
        <w:tc>
          <w:tcPr>
            <w:tcW w:w="1969" w:type="dxa"/>
            <w:shd w:val="clear" w:color="auto" w:fill="auto"/>
            <w:noWrap/>
            <w:vAlign w:val="bottom"/>
            <w:hideMark/>
          </w:tcPr>
          <w:p w:rsidR="007F028A" w:rsidRPr="00046A6D" w:rsidRDefault="007F028A" w:rsidP="007F028A">
            <w:pPr>
              <w:jc w:val="right"/>
              <w:rPr>
                <w:rFonts w:ascii="Calibri" w:hAnsi="Calibri"/>
                <w:color w:val="000000"/>
              </w:rPr>
            </w:pPr>
            <w:r w:rsidRPr="00046A6D">
              <w:rPr>
                <w:rFonts w:ascii="Calibri" w:hAnsi="Calibri"/>
                <w:color w:val="000000"/>
              </w:rPr>
              <w:t xml:space="preserve">            365,906 </w:t>
            </w:r>
          </w:p>
        </w:tc>
      </w:tr>
      <w:tr w:rsidR="007F028A" w:rsidRPr="007F028A" w:rsidTr="003B31FE">
        <w:trPr>
          <w:trHeight w:hRule="exact" w:val="255"/>
          <w:jc w:val="center"/>
        </w:trPr>
        <w:tc>
          <w:tcPr>
            <w:tcW w:w="0" w:type="auto"/>
            <w:shd w:val="clear" w:color="auto" w:fill="auto"/>
            <w:vAlign w:val="bottom"/>
            <w:hideMark/>
          </w:tcPr>
          <w:p w:rsidR="007F028A" w:rsidRPr="00046A6D" w:rsidRDefault="007F028A" w:rsidP="003B31FE">
            <w:pPr>
              <w:pStyle w:val="Ttulo2"/>
              <w:contextualSpacing/>
              <w:rPr>
                <w:rFonts w:asciiTheme="minorHAnsi" w:hAnsiTheme="minorHAnsi" w:cs="Arial"/>
                <w:bCs/>
                <w:spacing w:val="0"/>
                <w:sz w:val="22"/>
                <w:szCs w:val="22"/>
                <w:lang w:val="es-ES"/>
              </w:rPr>
            </w:pPr>
            <w:r w:rsidRPr="00046A6D">
              <w:rPr>
                <w:rFonts w:asciiTheme="minorHAnsi" w:hAnsiTheme="minorHAnsi" w:cs="Arial"/>
                <w:bCs/>
                <w:spacing w:val="0"/>
                <w:sz w:val="22"/>
                <w:szCs w:val="22"/>
                <w:lang w:val="es-ES"/>
              </w:rPr>
              <w:t>Contratistas por obras en bienes propios a corto plazo</w:t>
            </w:r>
          </w:p>
        </w:tc>
        <w:tc>
          <w:tcPr>
            <w:tcW w:w="1969" w:type="dxa"/>
            <w:shd w:val="clear" w:color="auto" w:fill="auto"/>
            <w:noWrap/>
            <w:vAlign w:val="bottom"/>
            <w:hideMark/>
          </w:tcPr>
          <w:p w:rsidR="007F028A" w:rsidRPr="00046A6D" w:rsidRDefault="007F028A" w:rsidP="007F028A">
            <w:pPr>
              <w:jc w:val="right"/>
              <w:rPr>
                <w:rFonts w:ascii="Calibri" w:hAnsi="Calibri"/>
                <w:color w:val="000000"/>
              </w:rPr>
            </w:pPr>
            <w:r w:rsidRPr="00046A6D">
              <w:rPr>
                <w:rFonts w:ascii="Calibri" w:hAnsi="Calibri"/>
                <w:color w:val="000000"/>
              </w:rPr>
              <w:t xml:space="preserve">               31,780 </w:t>
            </w:r>
          </w:p>
        </w:tc>
      </w:tr>
      <w:tr w:rsidR="007F028A" w:rsidRPr="007F028A" w:rsidTr="003B31FE">
        <w:trPr>
          <w:trHeight w:hRule="exact" w:val="255"/>
          <w:jc w:val="center"/>
        </w:trPr>
        <w:tc>
          <w:tcPr>
            <w:tcW w:w="0" w:type="auto"/>
            <w:shd w:val="clear" w:color="auto" w:fill="auto"/>
            <w:vAlign w:val="bottom"/>
            <w:hideMark/>
          </w:tcPr>
          <w:p w:rsidR="007F028A" w:rsidRPr="00046A6D" w:rsidRDefault="007F028A" w:rsidP="003B31FE">
            <w:pPr>
              <w:pStyle w:val="Ttulo2"/>
              <w:contextualSpacing/>
              <w:rPr>
                <w:rFonts w:asciiTheme="minorHAnsi" w:hAnsiTheme="minorHAnsi" w:cs="Arial"/>
                <w:bCs/>
                <w:spacing w:val="0"/>
                <w:sz w:val="22"/>
                <w:szCs w:val="22"/>
                <w:lang w:val="es-ES"/>
              </w:rPr>
            </w:pPr>
            <w:r w:rsidRPr="00046A6D">
              <w:rPr>
                <w:rFonts w:asciiTheme="minorHAnsi" w:hAnsiTheme="minorHAnsi" w:cs="Arial"/>
                <w:bCs/>
                <w:spacing w:val="0"/>
                <w:sz w:val="22"/>
                <w:szCs w:val="22"/>
                <w:lang w:val="es-ES"/>
              </w:rPr>
              <w:t>Otras prestaciones sociales y económicas</w:t>
            </w:r>
          </w:p>
        </w:tc>
        <w:tc>
          <w:tcPr>
            <w:tcW w:w="1969" w:type="dxa"/>
            <w:shd w:val="clear" w:color="auto" w:fill="auto"/>
            <w:noWrap/>
            <w:vAlign w:val="bottom"/>
            <w:hideMark/>
          </w:tcPr>
          <w:p w:rsidR="007F028A" w:rsidRPr="00046A6D" w:rsidRDefault="007F028A" w:rsidP="007F028A">
            <w:pPr>
              <w:jc w:val="right"/>
              <w:rPr>
                <w:rFonts w:ascii="Calibri" w:hAnsi="Calibri"/>
                <w:color w:val="000000"/>
              </w:rPr>
            </w:pPr>
            <w:r w:rsidRPr="00046A6D">
              <w:rPr>
                <w:rFonts w:ascii="Calibri" w:hAnsi="Calibri"/>
                <w:color w:val="000000"/>
              </w:rPr>
              <w:t xml:space="preserve">            190,074 </w:t>
            </w:r>
          </w:p>
        </w:tc>
      </w:tr>
      <w:tr w:rsidR="007F028A" w:rsidRPr="007F028A" w:rsidTr="003B31FE">
        <w:trPr>
          <w:trHeight w:hRule="exact" w:val="255"/>
          <w:jc w:val="center"/>
        </w:trPr>
        <w:tc>
          <w:tcPr>
            <w:tcW w:w="0" w:type="auto"/>
            <w:shd w:val="clear" w:color="auto" w:fill="auto"/>
            <w:vAlign w:val="bottom"/>
            <w:hideMark/>
          </w:tcPr>
          <w:p w:rsidR="007F028A" w:rsidRPr="00046A6D" w:rsidRDefault="007F028A" w:rsidP="003B31FE">
            <w:pPr>
              <w:pStyle w:val="Ttulo2"/>
              <w:contextualSpacing/>
              <w:rPr>
                <w:rFonts w:asciiTheme="minorHAnsi" w:hAnsiTheme="minorHAnsi" w:cs="Arial"/>
                <w:bCs/>
                <w:spacing w:val="0"/>
                <w:sz w:val="22"/>
                <w:szCs w:val="22"/>
                <w:lang w:val="es-ES"/>
              </w:rPr>
            </w:pPr>
            <w:r w:rsidRPr="00046A6D">
              <w:rPr>
                <w:rFonts w:asciiTheme="minorHAnsi" w:hAnsiTheme="minorHAnsi" w:cs="Arial"/>
                <w:bCs/>
                <w:spacing w:val="0"/>
                <w:sz w:val="22"/>
                <w:szCs w:val="22"/>
                <w:lang w:val="es-ES"/>
              </w:rPr>
              <w:t>Fondos rotatorios por pagar a corto plazo</w:t>
            </w:r>
          </w:p>
        </w:tc>
        <w:tc>
          <w:tcPr>
            <w:tcW w:w="1969" w:type="dxa"/>
            <w:shd w:val="clear" w:color="auto" w:fill="auto"/>
            <w:noWrap/>
            <w:vAlign w:val="bottom"/>
            <w:hideMark/>
          </w:tcPr>
          <w:p w:rsidR="007F028A" w:rsidRPr="00046A6D" w:rsidRDefault="007F028A" w:rsidP="007F028A">
            <w:pPr>
              <w:jc w:val="right"/>
              <w:rPr>
                <w:rFonts w:ascii="Calibri" w:hAnsi="Calibri"/>
                <w:color w:val="000000"/>
              </w:rPr>
            </w:pPr>
            <w:r w:rsidRPr="00046A6D">
              <w:rPr>
                <w:rFonts w:ascii="Calibri" w:hAnsi="Calibri"/>
                <w:color w:val="000000"/>
              </w:rPr>
              <w:t xml:space="preserve">               16,312 </w:t>
            </w:r>
          </w:p>
        </w:tc>
      </w:tr>
      <w:tr w:rsidR="007F028A" w:rsidRPr="007F028A" w:rsidTr="003B31FE">
        <w:trPr>
          <w:trHeight w:hRule="exact" w:val="255"/>
          <w:jc w:val="center"/>
        </w:trPr>
        <w:tc>
          <w:tcPr>
            <w:tcW w:w="0" w:type="auto"/>
            <w:shd w:val="clear" w:color="auto" w:fill="auto"/>
            <w:vAlign w:val="bottom"/>
            <w:hideMark/>
          </w:tcPr>
          <w:p w:rsidR="007F028A" w:rsidRPr="00046A6D" w:rsidRDefault="007F028A" w:rsidP="003B31FE">
            <w:pPr>
              <w:pStyle w:val="Ttulo2"/>
              <w:contextualSpacing/>
              <w:rPr>
                <w:rFonts w:asciiTheme="minorHAnsi" w:hAnsiTheme="minorHAnsi" w:cs="Arial"/>
                <w:bCs/>
                <w:spacing w:val="0"/>
                <w:sz w:val="22"/>
                <w:szCs w:val="22"/>
                <w:lang w:val="es-ES"/>
              </w:rPr>
            </w:pPr>
            <w:r w:rsidRPr="00046A6D">
              <w:rPr>
                <w:rFonts w:asciiTheme="minorHAnsi" w:hAnsiTheme="minorHAnsi" w:cs="Arial"/>
                <w:bCs/>
                <w:spacing w:val="0"/>
                <w:sz w:val="22"/>
                <w:szCs w:val="22"/>
                <w:lang w:val="es-ES"/>
              </w:rPr>
              <w:t>Ministraciones de fondos por pagar a corto plazo</w:t>
            </w:r>
          </w:p>
        </w:tc>
        <w:tc>
          <w:tcPr>
            <w:tcW w:w="1969" w:type="dxa"/>
            <w:tcBorders>
              <w:bottom w:val="double" w:sz="4" w:space="0" w:color="auto"/>
            </w:tcBorders>
            <w:shd w:val="clear" w:color="auto" w:fill="auto"/>
            <w:noWrap/>
            <w:vAlign w:val="bottom"/>
            <w:hideMark/>
          </w:tcPr>
          <w:p w:rsidR="007F028A" w:rsidRPr="00046A6D" w:rsidRDefault="00046A6D" w:rsidP="007F028A">
            <w:pPr>
              <w:jc w:val="right"/>
              <w:rPr>
                <w:rFonts w:ascii="Calibri" w:hAnsi="Calibri"/>
                <w:color w:val="000000"/>
              </w:rPr>
            </w:pPr>
            <w:r w:rsidRPr="00046A6D">
              <w:rPr>
                <w:rFonts w:ascii="Calibri" w:hAnsi="Calibri"/>
                <w:color w:val="000000"/>
              </w:rPr>
              <w:t xml:space="preserve">         </w:t>
            </w:r>
            <w:r w:rsidR="007F028A" w:rsidRPr="00046A6D">
              <w:rPr>
                <w:rFonts w:ascii="Calibri" w:hAnsi="Calibri"/>
                <w:color w:val="000000"/>
              </w:rPr>
              <w:t xml:space="preserve">562,307 </w:t>
            </w:r>
          </w:p>
        </w:tc>
      </w:tr>
      <w:tr w:rsidR="007F028A" w:rsidRPr="007F028A" w:rsidTr="007F028A">
        <w:trPr>
          <w:trHeight w:hRule="exact" w:val="384"/>
          <w:jc w:val="center"/>
        </w:trPr>
        <w:tc>
          <w:tcPr>
            <w:tcW w:w="0" w:type="auto"/>
            <w:shd w:val="clear" w:color="auto" w:fill="auto"/>
            <w:vAlign w:val="bottom"/>
            <w:hideMark/>
          </w:tcPr>
          <w:p w:rsidR="007F028A" w:rsidRPr="00046A6D" w:rsidRDefault="007F028A" w:rsidP="003B31FE">
            <w:pPr>
              <w:pStyle w:val="Ttulo2"/>
              <w:contextualSpacing/>
              <w:jc w:val="right"/>
              <w:rPr>
                <w:rFonts w:asciiTheme="minorHAnsi" w:hAnsiTheme="minorHAnsi" w:cs="Arial"/>
                <w:b/>
                <w:bCs/>
                <w:spacing w:val="0"/>
                <w:sz w:val="22"/>
                <w:szCs w:val="22"/>
                <w:lang w:val="es-ES"/>
              </w:rPr>
            </w:pPr>
            <w:r w:rsidRPr="00046A6D">
              <w:rPr>
                <w:rFonts w:asciiTheme="minorHAnsi" w:hAnsiTheme="minorHAnsi" w:cs="Arial"/>
                <w:b/>
                <w:bCs/>
                <w:spacing w:val="0"/>
                <w:sz w:val="22"/>
                <w:szCs w:val="22"/>
                <w:lang w:val="es-ES"/>
              </w:rPr>
              <w:t>SUMAS</w:t>
            </w:r>
          </w:p>
        </w:tc>
        <w:tc>
          <w:tcPr>
            <w:tcW w:w="1969" w:type="dxa"/>
            <w:tcBorders>
              <w:top w:val="double" w:sz="4" w:space="0" w:color="auto"/>
            </w:tcBorders>
            <w:shd w:val="clear" w:color="auto" w:fill="auto"/>
            <w:noWrap/>
            <w:vAlign w:val="bottom"/>
            <w:hideMark/>
          </w:tcPr>
          <w:p w:rsidR="007F028A" w:rsidRPr="00046A6D" w:rsidRDefault="006A4AE0" w:rsidP="00046A6D">
            <w:pPr>
              <w:pStyle w:val="Ttulo2"/>
              <w:contextualSpacing/>
              <w:jc w:val="right"/>
              <w:rPr>
                <w:rFonts w:asciiTheme="minorHAnsi" w:hAnsiTheme="minorHAnsi" w:cs="Arial"/>
                <w:b/>
                <w:bCs/>
                <w:spacing w:val="0"/>
                <w:sz w:val="22"/>
                <w:szCs w:val="22"/>
                <w:lang w:val="es-ES"/>
              </w:rPr>
            </w:pPr>
            <w:r w:rsidRPr="00046A6D">
              <w:rPr>
                <w:rFonts w:asciiTheme="minorHAnsi" w:hAnsiTheme="minorHAnsi" w:cs="Arial"/>
                <w:b/>
                <w:bCs/>
                <w:spacing w:val="0"/>
                <w:sz w:val="22"/>
                <w:szCs w:val="22"/>
                <w:lang w:val="es-ES"/>
              </w:rPr>
              <w:fldChar w:fldCharType="begin"/>
            </w:r>
            <w:r w:rsidR="00046A6D" w:rsidRPr="00046A6D">
              <w:rPr>
                <w:rFonts w:asciiTheme="minorHAnsi" w:hAnsiTheme="minorHAnsi" w:cs="Arial"/>
                <w:b/>
                <w:bCs/>
                <w:spacing w:val="0"/>
                <w:sz w:val="22"/>
                <w:szCs w:val="22"/>
                <w:lang w:val="es-ES"/>
              </w:rPr>
              <w:instrText xml:space="preserve"> =SUM(ABOVE) </w:instrText>
            </w:r>
            <w:r w:rsidRPr="00046A6D">
              <w:rPr>
                <w:rFonts w:asciiTheme="minorHAnsi" w:hAnsiTheme="minorHAnsi" w:cs="Arial"/>
                <w:b/>
                <w:bCs/>
                <w:spacing w:val="0"/>
                <w:sz w:val="22"/>
                <w:szCs w:val="22"/>
                <w:lang w:val="es-ES"/>
              </w:rPr>
              <w:fldChar w:fldCharType="separate"/>
            </w:r>
            <w:r w:rsidR="00046A6D" w:rsidRPr="00046A6D">
              <w:rPr>
                <w:rFonts w:asciiTheme="minorHAnsi" w:hAnsiTheme="minorHAnsi" w:cs="Arial"/>
                <w:b/>
                <w:bCs/>
                <w:noProof/>
                <w:spacing w:val="0"/>
                <w:sz w:val="22"/>
                <w:szCs w:val="22"/>
                <w:lang w:val="es-ES"/>
              </w:rPr>
              <w:t>8,167,753</w:t>
            </w:r>
            <w:r w:rsidRPr="00046A6D">
              <w:rPr>
                <w:rFonts w:asciiTheme="minorHAnsi" w:hAnsiTheme="minorHAnsi" w:cs="Arial"/>
                <w:b/>
                <w:bCs/>
                <w:spacing w:val="0"/>
                <w:sz w:val="22"/>
                <w:szCs w:val="22"/>
                <w:lang w:val="es-ES"/>
              </w:rPr>
              <w:fldChar w:fldCharType="end"/>
            </w:r>
          </w:p>
        </w:tc>
      </w:tr>
    </w:tbl>
    <w:p w:rsidR="007F028A" w:rsidRPr="00045916" w:rsidRDefault="007F028A" w:rsidP="007F028A">
      <w:pPr>
        <w:pStyle w:val="Ttulo2"/>
        <w:contextualSpacing/>
        <w:rPr>
          <w:rFonts w:cs="Arial"/>
          <w:bCs/>
          <w:spacing w:val="0"/>
          <w:szCs w:val="24"/>
          <w:lang w:val="es-ES"/>
        </w:rPr>
      </w:pPr>
    </w:p>
    <w:p w:rsidR="0000326B" w:rsidRDefault="0000326B">
      <w:pPr>
        <w:rPr>
          <w:rFonts w:cs="Times New Roman"/>
          <w:b/>
          <w:sz w:val="28"/>
          <w:szCs w:val="28"/>
        </w:rPr>
      </w:pPr>
      <w:r>
        <w:rPr>
          <w:rFonts w:cs="Times New Roman"/>
          <w:b/>
          <w:sz w:val="28"/>
          <w:szCs w:val="28"/>
        </w:rPr>
        <w:br w:type="page"/>
      </w:r>
    </w:p>
    <w:p w:rsidR="00AC5EB1" w:rsidRPr="00AC5EB1" w:rsidRDefault="00B12720" w:rsidP="00AC5EB1">
      <w:pPr>
        <w:rPr>
          <w:rFonts w:cs="Times New Roman"/>
          <w:b/>
          <w:sz w:val="28"/>
          <w:szCs w:val="28"/>
        </w:rPr>
      </w:pPr>
      <w:r>
        <w:rPr>
          <w:rFonts w:cs="Times New Roman"/>
          <w:b/>
          <w:sz w:val="28"/>
          <w:szCs w:val="28"/>
        </w:rPr>
        <w:lastRenderedPageBreak/>
        <w:t>4</w:t>
      </w:r>
      <w:r w:rsidR="00AC5EB1" w:rsidRPr="00AC5EB1">
        <w:rPr>
          <w:rFonts w:cs="Times New Roman"/>
          <w:b/>
          <w:sz w:val="28"/>
          <w:szCs w:val="28"/>
        </w:rPr>
        <w:t xml:space="preserve">.- </w:t>
      </w:r>
      <w:r w:rsidR="00AC5EB1">
        <w:rPr>
          <w:rFonts w:cs="Times New Roman"/>
          <w:b/>
          <w:sz w:val="28"/>
          <w:szCs w:val="28"/>
        </w:rPr>
        <w:t>N</w:t>
      </w:r>
      <w:r w:rsidR="00AC5EB1" w:rsidRPr="00AC5EB1">
        <w:rPr>
          <w:rFonts w:cs="Times New Roman"/>
          <w:b/>
          <w:sz w:val="28"/>
          <w:szCs w:val="28"/>
        </w:rPr>
        <w:t xml:space="preserve">OTAS DE </w:t>
      </w:r>
      <w:r w:rsidR="00AC5EB1">
        <w:rPr>
          <w:rFonts w:cs="Times New Roman"/>
          <w:b/>
          <w:sz w:val="28"/>
          <w:szCs w:val="28"/>
        </w:rPr>
        <w:t>MEMORIA</w:t>
      </w:r>
    </w:p>
    <w:p w:rsidR="00946AD5" w:rsidRDefault="00946AD5" w:rsidP="00A55425">
      <w:pPr>
        <w:pStyle w:val="Sinespaciado"/>
        <w:jc w:val="both"/>
        <w:rPr>
          <w:rFonts w:ascii="Times New Roman" w:hAnsi="Times New Roman" w:cs="Times New Roman"/>
          <w:b/>
        </w:rPr>
      </w:pPr>
    </w:p>
    <w:p w:rsidR="00946AD5" w:rsidRDefault="00946AD5" w:rsidP="00946AD5">
      <w:pPr>
        <w:spacing w:line="30" w:lineRule="atLeast"/>
        <w:jc w:val="both"/>
        <w:rPr>
          <w:b/>
          <w:bCs/>
          <w:sz w:val="23"/>
          <w:szCs w:val="23"/>
        </w:rPr>
      </w:pPr>
      <w:r w:rsidRPr="003E29EA">
        <w:rPr>
          <w:b/>
          <w:bCs/>
          <w:sz w:val="23"/>
          <w:szCs w:val="23"/>
        </w:rPr>
        <w:t>IMPUESTOS</w:t>
      </w:r>
    </w:p>
    <w:p w:rsidR="00946AD5" w:rsidRPr="00D113A6" w:rsidRDefault="00946AD5" w:rsidP="00946AD5">
      <w:pPr>
        <w:spacing w:line="30" w:lineRule="atLeast"/>
        <w:jc w:val="both"/>
        <w:rPr>
          <w:sz w:val="23"/>
          <w:szCs w:val="23"/>
        </w:rPr>
      </w:pPr>
      <w:r w:rsidRPr="003E29EA">
        <w:rPr>
          <w:sz w:val="23"/>
          <w:szCs w:val="23"/>
        </w:rPr>
        <w:t xml:space="preserve">El Impuesto sobre Nóminas, incluido en este rubro, recaudado a partir del día 01 de enero al </w:t>
      </w:r>
      <w:r w:rsidR="00093626">
        <w:rPr>
          <w:sz w:val="23"/>
          <w:szCs w:val="23"/>
        </w:rPr>
        <w:t>31 de Diciembre</w:t>
      </w:r>
      <w:r w:rsidR="00E87407">
        <w:rPr>
          <w:sz w:val="23"/>
          <w:szCs w:val="23"/>
        </w:rPr>
        <w:t xml:space="preserve"> de 2014</w:t>
      </w:r>
      <w:r w:rsidRPr="003E29EA">
        <w:rPr>
          <w:sz w:val="23"/>
          <w:szCs w:val="23"/>
        </w:rPr>
        <w:t>, es un ingreso restringido ya que está destinado exclusivamente a cubrir las obligaciones mencionadas en el contrato de fideicomiso emisor, es decir a cubrir todos los gastos derivados de la bursatilización y pago de principal e interés de la misma, por lo que el Estado, de acuerdo al contrato de fideicomiso y demás actos jurídicos que se deriven del mismo, no puede por ningún motivo disponer de los recursos anteriormente citados</w:t>
      </w:r>
      <w:r w:rsidRPr="00D113A6">
        <w:rPr>
          <w:sz w:val="23"/>
          <w:szCs w:val="23"/>
        </w:rPr>
        <w:t xml:space="preserve">. </w:t>
      </w:r>
    </w:p>
    <w:p w:rsidR="00946AD5" w:rsidRPr="003E29EA" w:rsidRDefault="00946AD5" w:rsidP="00946AD5">
      <w:pPr>
        <w:spacing w:line="30" w:lineRule="atLeast"/>
        <w:jc w:val="both"/>
        <w:rPr>
          <w:b/>
          <w:bCs/>
          <w:sz w:val="23"/>
          <w:szCs w:val="23"/>
        </w:rPr>
      </w:pPr>
      <w:r w:rsidRPr="003E29EA">
        <w:rPr>
          <w:b/>
          <w:bCs/>
          <w:sz w:val="23"/>
          <w:szCs w:val="23"/>
        </w:rPr>
        <w:t>DERECHOS</w:t>
      </w:r>
    </w:p>
    <w:p w:rsidR="00946AD5" w:rsidRPr="00D113A6" w:rsidRDefault="00946AD5" w:rsidP="00946AD5">
      <w:pPr>
        <w:spacing w:line="30" w:lineRule="atLeast"/>
        <w:jc w:val="both"/>
        <w:rPr>
          <w:sz w:val="23"/>
          <w:szCs w:val="23"/>
        </w:rPr>
      </w:pPr>
      <w:r w:rsidRPr="003E29EA">
        <w:rPr>
          <w:sz w:val="23"/>
          <w:szCs w:val="23"/>
        </w:rPr>
        <w:t xml:space="preserve">Algunos conceptos del rubro de Derechos de Control Vehicular, recaudado a partir del 01 de enero al </w:t>
      </w:r>
      <w:r w:rsidR="00093626">
        <w:rPr>
          <w:sz w:val="23"/>
          <w:szCs w:val="23"/>
        </w:rPr>
        <w:t>31 de Diciembre</w:t>
      </w:r>
      <w:r w:rsidR="00E87407">
        <w:rPr>
          <w:sz w:val="23"/>
          <w:szCs w:val="23"/>
        </w:rPr>
        <w:t xml:space="preserve"> de 2014</w:t>
      </w:r>
      <w:r w:rsidRPr="003E29EA">
        <w:rPr>
          <w:sz w:val="23"/>
          <w:szCs w:val="23"/>
        </w:rPr>
        <w:t>, constituyen un ingreso restringido ya que está destinado exclusivamente a cubrir las obligaciones mencionadas en el contrato de fideicomiso emisor, es decir a cubrir todos los gastos derivados de la bursatilización y pago de principal e interés de la misma, por lo que el Estado, de acuerdo al contrato de fideicomiso y demás actos jurídicos que se deriven del mismo, no puede por ningún motivo disponer de los recursos anteriormente cita</w:t>
      </w:r>
      <w:r>
        <w:rPr>
          <w:sz w:val="23"/>
          <w:szCs w:val="23"/>
        </w:rPr>
        <w:t>dos</w:t>
      </w:r>
      <w:r w:rsidRPr="00D113A6">
        <w:rPr>
          <w:rFonts w:ascii="Calibri" w:eastAsia="Arial Unicode MS" w:hAnsi="Calibri" w:cs="Arial"/>
          <w:sz w:val="23"/>
          <w:szCs w:val="23"/>
        </w:rPr>
        <w:t>.</w:t>
      </w:r>
      <w:r w:rsidRPr="00D113A6">
        <w:rPr>
          <w:sz w:val="23"/>
          <w:szCs w:val="23"/>
        </w:rPr>
        <w:t xml:space="preserve"> </w:t>
      </w:r>
    </w:p>
    <w:p w:rsidR="00946AD5" w:rsidRPr="004E5AB0" w:rsidRDefault="00946AD5" w:rsidP="00946AD5">
      <w:pPr>
        <w:spacing w:line="30" w:lineRule="atLeast"/>
        <w:jc w:val="both"/>
        <w:rPr>
          <w:b/>
          <w:bCs/>
          <w:sz w:val="23"/>
          <w:szCs w:val="23"/>
        </w:rPr>
      </w:pPr>
      <w:r w:rsidRPr="004E5AB0">
        <w:rPr>
          <w:b/>
          <w:bCs/>
          <w:sz w:val="23"/>
          <w:szCs w:val="23"/>
        </w:rPr>
        <w:t>ANÁLISIS SOBRE LOS INGRESOS Y EGRESOS</w:t>
      </w:r>
    </w:p>
    <w:p w:rsidR="00946AD5" w:rsidRDefault="00946AD5" w:rsidP="00946AD5">
      <w:pPr>
        <w:spacing w:line="30" w:lineRule="atLeast"/>
        <w:jc w:val="both"/>
        <w:rPr>
          <w:sz w:val="23"/>
          <w:szCs w:val="23"/>
        </w:rPr>
      </w:pPr>
      <w:r w:rsidRPr="00DC1537">
        <w:rPr>
          <w:sz w:val="23"/>
          <w:szCs w:val="23"/>
        </w:rPr>
        <w:t xml:space="preserve">Determinar el resultado del ejercicio presupuestal y contar con la identificación de los conceptos que la integran al </w:t>
      </w:r>
      <w:r w:rsidR="00093626">
        <w:rPr>
          <w:sz w:val="23"/>
          <w:szCs w:val="23"/>
        </w:rPr>
        <w:t>31 de Diciembre</w:t>
      </w:r>
      <w:r w:rsidRPr="00DC1537">
        <w:rPr>
          <w:sz w:val="23"/>
          <w:szCs w:val="23"/>
        </w:rPr>
        <w:t xml:space="preserve"> del ejercicio fiscal 201</w:t>
      </w:r>
      <w:r w:rsidR="00DC1537">
        <w:rPr>
          <w:sz w:val="23"/>
          <w:szCs w:val="23"/>
        </w:rPr>
        <w:t>4</w:t>
      </w:r>
      <w:r w:rsidRPr="00DC1537">
        <w:rPr>
          <w:sz w:val="23"/>
          <w:szCs w:val="23"/>
        </w:rPr>
        <w:t xml:space="preserve">, efectuar un comparativo del mismo periodo del ejercicio anterior, </w:t>
      </w:r>
      <w:r w:rsidRPr="004E5AB0">
        <w:rPr>
          <w:sz w:val="23"/>
          <w:szCs w:val="23"/>
        </w:rPr>
        <w:t xml:space="preserve">permite evaluar el comportamiento en cuanto a eficiencia y eficacia de los recursos ejercidos, para la toma de decisiones del Gobierno del Estado de Oaxaca. El informe con cifras al </w:t>
      </w:r>
      <w:r w:rsidR="00093626">
        <w:rPr>
          <w:sz w:val="23"/>
          <w:szCs w:val="23"/>
        </w:rPr>
        <w:t>31 de Diciembre</w:t>
      </w:r>
      <w:r w:rsidR="00E87407">
        <w:rPr>
          <w:sz w:val="23"/>
          <w:szCs w:val="23"/>
        </w:rPr>
        <w:t xml:space="preserve"> de 2014</w:t>
      </w:r>
      <w:r w:rsidRPr="004E5AB0">
        <w:rPr>
          <w:sz w:val="23"/>
          <w:szCs w:val="23"/>
        </w:rPr>
        <w:t xml:space="preserve">, con respecto a los ingresos son de </w:t>
      </w:r>
      <w:r w:rsidR="007F028A">
        <w:rPr>
          <w:sz w:val="23"/>
          <w:szCs w:val="23"/>
        </w:rPr>
        <w:t>67</w:t>
      </w:r>
      <w:r w:rsidR="009866AB">
        <w:rPr>
          <w:sz w:val="23"/>
          <w:szCs w:val="23"/>
        </w:rPr>
        <w:t xml:space="preserve"> </w:t>
      </w:r>
      <w:r w:rsidRPr="004E5AB0">
        <w:rPr>
          <w:sz w:val="23"/>
          <w:szCs w:val="23"/>
        </w:rPr>
        <w:t xml:space="preserve">mil </w:t>
      </w:r>
      <w:r w:rsidR="007F028A">
        <w:rPr>
          <w:sz w:val="23"/>
          <w:szCs w:val="23"/>
        </w:rPr>
        <w:t>940</w:t>
      </w:r>
      <w:r w:rsidRPr="004E5AB0">
        <w:rPr>
          <w:sz w:val="23"/>
          <w:szCs w:val="23"/>
        </w:rPr>
        <w:t xml:space="preserve"> millones </w:t>
      </w:r>
      <w:r w:rsidR="007F028A">
        <w:rPr>
          <w:sz w:val="23"/>
          <w:szCs w:val="23"/>
        </w:rPr>
        <w:t>493</w:t>
      </w:r>
      <w:r>
        <w:rPr>
          <w:sz w:val="23"/>
          <w:szCs w:val="23"/>
        </w:rPr>
        <w:t xml:space="preserve"> </w:t>
      </w:r>
      <w:r w:rsidRPr="004E5AB0">
        <w:rPr>
          <w:sz w:val="23"/>
          <w:szCs w:val="23"/>
        </w:rPr>
        <w:t xml:space="preserve">mil pesos y egresos por </w:t>
      </w:r>
      <w:r w:rsidR="007F028A">
        <w:rPr>
          <w:sz w:val="23"/>
          <w:szCs w:val="23"/>
        </w:rPr>
        <w:t>66</w:t>
      </w:r>
      <w:r w:rsidRPr="004E5AB0">
        <w:rPr>
          <w:sz w:val="23"/>
          <w:szCs w:val="23"/>
        </w:rPr>
        <w:t xml:space="preserve"> mil </w:t>
      </w:r>
      <w:r w:rsidR="007F028A">
        <w:rPr>
          <w:sz w:val="23"/>
          <w:szCs w:val="23"/>
        </w:rPr>
        <w:t>772</w:t>
      </w:r>
      <w:r w:rsidR="00093626">
        <w:rPr>
          <w:sz w:val="23"/>
          <w:szCs w:val="23"/>
        </w:rPr>
        <w:t xml:space="preserve"> </w:t>
      </w:r>
      <w:r w:rsidRPr="004E5AB0">
        <w:rPr>
          <w:sz w:val="23"/>
          <w:szCs w:val="23"/>
        </w:rPr>
        <w:t>m</w:t>
      </w:r>
      <w:r w:rsidR="009866AB">
        <w:rPr>
          <w:sz w:val="23"/>
          <w:szCs w:val="23"/>
        </w:rPr>
        <w:t>i</w:t>
      </w:r>
      <w:r w:rsidRPr="004E5AB0">
        <w:rPr>
          <w:sz w:val="23"/>
          <w:szCs w:val="23"/>
        </w:rPr>
        <w:t xml:space="preserve">llones </w:t>
      </w:r>
      <w:r w:rsidR="007F028A">
        <w:rPr>
          <w:sz w:val="23"/>
          <w:szCs w:val="23"/>
        </w:rPr>
        <w:t>565</w:t>
      </w:r>
      <w:r>
        <w:rPr>
          <w:sz w:val="23"/>
          <w:szCs w:val="23"/>
        </w:rPr>
        <w:t xml:space="preserve"> </w:t>
      </w:r>
      <w:r w:rsidRPr="004E5AB0">
        <w:rPr>
          <w:sz w:val="23"/>
          <w:szCs w:val="23"/>
        </w:rPr>
        <w:t>mil pesos.</w:t>
      </w:r>
      <w:r>
        <w:rPr>
          <w:sz w:val="23"/>
          <w:szCs w:val="23"/>
        </w:rPr>
        <w:t xml:space="preserve"> </w:t>
      </w:r>
    </w:p>
    <w:p w:rsidR="00946AD5" w:rsidRDefault="00946AD5" w:rsidP="00946AD5">
      <w:pPr>
        <w:rPr>
          <w:b/>
        </w:rPr>
      </w:pPr>
      <w:r w:rsidRPr="008400DF">
        <w:rPr>
          <w:b/>
        </w:rPr>
        <w:t>ACTIVO</w:t>
      </w:r>
      <w:r>
        <w:rPr>
          <w:b/>
        </w:rPr>
        <w:t>:</w:t>
      </w:r>
    </w:p>
    <w:p w:rsidR="00946AD5" w:rsidRPr="00CD34B5" w:rsidRDefault="00946AD5" w:rsidP="00946AD5">
      <w:pPr>
        <w:spacing w:after="0" w:line="240" w:lineRule="auto"/>
        <w:jc w:val="both"/>
      </w:pPr>
      <w:r w:rsidRPr="00CD34B5">
        <w:t>El activo está compuesto de todos los fondos, valores, derechos y bienes que están cuantificados en términos monetarios, de los cuales el Gobierno del Estado dispone para la prestación de los servicios públicos, y se integra de la siguiente manera:</w:t>
      </w:r>
    </w:p>
    <w:p w:rsidR="00946AD5" w:rsidRDefault="00946AD5" w:rsidP="00946AD5">
      <w:pPr>
        <w:spacing w:after="0" w:line="240" w:lineRule="auto"/>
        <w:jc w:val="both"/>
        <w:rPr>
          <w:b/>
        </w:rPr>
      </w:pPr>
    </w:p>
    <w:p w:rsidR="00946AD5" w:rsidRDefault="00946AD5" w:rsidP="00946AD5">
      <w:pPr>
        <w:spacing w:after="0" w:line="240" w:lineRule="auto"/>
        <w:jc w:val="both"/>
        <w:rPr>
          <w:b/>
        </w:rPr>
      </w:pPr>
      <w:r>
        <w:rPr>
          <w:b/>
        </w:rPr>
        <w:t>CIRCULANTE</w:t>
      </w:r>
    </w:p>
    <w:p w:rsidR="00946AD5" w:rsidRDefault="00946AD5" w:rsidP="00946AD5">
      <w:pPr>
        <w:spacing w:after="0" w:line="240" w:lineRule="auto"/>
        <w:jc w:val="both"/>
        <w:rPr>
          <w:b/>
        </w:rPr>
      </w:pPr>
    </w:p>
    <w:p w:rsidR="00946AD5" w:rsidRDefault="00946AD5" w:rsidP="00946AD5">
      <w:pPr>
        <w:spacing w:after="0" w:line="240" w:lineRule="auto"/>
        <w:jc w:val="both"/>
        <w:rPr>
          <w:b/>
        </w:rPr>
      </w:pPr>
      <w:r>
        <w:rPr>
          <w:b/>
        </w:rPr>
        <w:t>Efectivo y Equivalente</w:t>
      </w:r>
    </w:p>
    <w:p w:rsidR="00946AD5" w:rsidRDefault="00946AD5" w:rsidP="00946AD5">
      <w:pPr>
        <w:spacing w:after="0" w:line="240" w:lineRule="auto"/>
        <w:jc w:val="both"/>
        <w:rPr>
          <w:b/>
        </w:rPr>
      </w:pPr>
    </w:p>
    <w:p w:rsidR="00946AD5" w:rsidRPr="00B928C6" w:rsidRDefault="00946AD5" w:rsidP="00946AD5">
      <w:pPr>
        <w:spacing w:after="0" w:line="240" w:lineRule="auto"/>
        <w:jc w:val="both"/>
      </w:pPr>
      <w:r>
        <w:t xml:space="preserve">Las cuentas reflejan los recursos estatales y federales recibidos al </w:t>
      </w:r>
      <w:r w:rsidR="00093626">
        <w:t>31 de Diciembre</w:t>
      </w:r>
      <w:r w:rsidR="00E87407">
        <w:t xml:space="preserve"> de 2014</w:t>
      </w:r>
      <w:r>
        <w:t xml:space="preserve">, para dar continuidad a las transferencias así como recursos refrendados, con el objeto de que sean aplicados a obras, acciones y proyectos en la administración pública. </w:t>
      </w:r>
      <w:r w:rsidRPr="00B928C6">
        <w:t xml:space="preserve">El rubro de efectivo y </w:t>
      </w:r>
      <w:r w:rsidRPr="00B928C6">
        <w:lastRenderedPageBreak/>
        <w:t xml:space="preserve">equivalentes, asciende a la cantidad de </w:t>
      </w:r>
      <w:r w:rsidR="007F028A">
        <w:t>6</w:t>
      </w:r>
      <w:r>
        <w:t xml:space="preserve"> mil </w:t>
      </w:r>
      <w:r w:rsidR="007F028A">
        <w:t>265</w:t>
      </w:r>
      <w:r>
        <w:t xml:space="preserve"> millones </w:t>
      </w:r>
      <w:r w:rsidR="007F028A">
        <w:t>676</w:t>
      </w:r>
      <w:r>
        <w:t xml:space="preserve"> mil pesos</w:t>
      </w:r>
      <w:r w:rsidRPr="00B928C6">
        <w:t xml:space="preserve">, el cual se integra </w:t>
      </w:r>
      <w:r>
        <w:t xml:space="preserve">por recursos disponibles en caja pendientes de concentrar a la Secretaria de Finanzas; </w:t>
      </w:r>
      <w:r w:rsidRPr="00B928C6">
        <w:t>recursos colocados en inversiones</w:t>
      </w:r>
      <w:r>
        <w:t xml:space="preserve">, </w:t>
      </w:r>
      <w:r w:rsidRPr="00B928C6">
        <w:t xml:space="preserve">así como la disponibilidad </w:t>
      </w:r>
      <w:r>
        <w:t xml:space="preserve">en bancos </w:t>
      </w:r>
      <w:r w:rsidRPr="00B928C6">
        <w:t xml:space="preserve">para cubrir todos los compromisos de pagos a </w:t>
      </w:r>
      <w:r>
        <w:t>proveedores y prestadores de bienes y servicios, a contratistas por obra pública en proceso,</w:t>
      </w:r>
      <w:r w:rsidRPr="00B928C6">
        <w:t xml:space="preserve"> para el cumplimiento de la ejecución de las </w:t>
      </w:r>
      <w:r>
        <w:t>mismas</w:t>
      </w:r>
      <w:r w:rsidRPr="00B928C6">
        <w:t>; de fondos de terceros e impuestos retenidos.</w:t>
      </w:r>
    </w:p>
    <w:p w:rsidR="00946AD5" w:rsidRDefault="00946AD5" w:rsidP="00946AD5">
      <w:pPr>
        <w:spacing w:after="0" w:line="240" w:lineRule="auto"/>
        <w:jc w:val="both"/>
        <w:rPr>
          <w:b/>
        </w:rPr>
      </w:pPr>
    </w:p>
    <w:p w:rsidR="00946AD5" w:rsidRDefault="00946AD5" w:rsidP="00946AD5">
      <w:pPr>
        <w:spacing w:after="0" w:line="240" w:lineRule="auto"/>
        <w:jc w:val="both"/>
        <w:rPr>
          <w:b/>
        </w:rPr>
      </w:pPr>
      <w:r>
        <w:rPr>
          <w:b/>
        </w:rPr>
        <w:t>Derechos a Recibir Efectivo o Equivalentes</w:t>
      </w:r>
    </w:p>
    <w:p w:rsidR="00946AD5" w:rsidRDefault="00946AD5" w:rsidP="00946AD5">
      <w:pPr>
        <w:spacing w:after="0" w:line="240" w:lineRule="auto"/>
        <w:jc w:val="both"/>
        <w:rPr>
          <w:b/>
        </w:rPr>
      </w:pPr>
    </w:p>
    <w:p w:rsidR="00946AD5" w:rsidRDefault="00946AD5" w:rsidP="00946AD5">
      <w:pPr>
        <w:spacing w:after="0" w:line="240" w:lineRule="auto"/>
        <w:jc w:val="both"/>
      </w:pPr>
      <w:r w:rsidRPr="003E29EA">
        <w:t xml:space="preserve">En este rubro al </w:t>
      </w:r>
      <w:r w:rsidR="00093626">
        <w:t>31 de Diciembre</w:t>
      </w:r>
      <w:r w:rsidR="00E87407">
        <w:t xml:space="preserve"> de 2014</w:t>
      </w:r>
      <w:r w:rsidRPr="003E29EA">
        <w:t xml:space="preserve">, refleja un saldo de </w:t>
      </w:r>
      <w:r w:rsidR="007F028A">
        <w:t>4</w:t>
      </w:r>
      <w:r>
        <w:t xml:space="preserve"> mil </w:t>
      </w:r>
      <w:r w:rsidR="007F028A">
        <w:t>301</w:t>
      </w:r>
      <w:r w:rsidR="00093626">
        <w:t xml:space="preserve"> </w:t>
      </w:r>
      <w:r w:rsidRPr="003E29EA">
        <w:t xml:space="preserve">millones </w:t>
      </w:r>
      <w:r w:rsidR="007F028A">
        <w:t>615</w:t>
      </w:r>
      <w:r>
        <w:t xml:space="preserve"> </w:t>
      </w:r>
      <w:r w:rsidRPr="003E29EA">
        <w:t xml:space="preserve">mil pesos, el cual está integrado por </w:t>
      </w:r>
      <w:r>
        <w:t>los fideicomisos, mandatos y análogos, contribuciones por cobrar, cuentas por cobrar a la federación y otras contribuciones por cobrar deudores por fondos rotatorios;</w:t>
      </w:r>
      <w:r w:rsidRPr="003E29EA">
        <w:t xml:space="preserve"> se integra por los pagos realizados por cuenta y orden de los Municipios, correspondientes a créditos otorgados por el Banco Nacional de Obras y Servicios Públicos, S.N.C. (BANOBRAS), conforme al contrato de mandato firmado para tal efecto, y se amortizan al momento de ministrarles sus participaciones. Asimismo, incluye los fondos </w:t>
      </w:r>
      <w:proofErr w:type="spellStart"/>
      <w:r w:rsidRPr="003E29EA">
        <w:t>revolventes</w:t>
      </w:r>
      <w:proofErr w:type="spellEnd"/>
      <w:r w:rsidRPr="003E29EA">
        <w:t xml:space="preserve"> otorgados a las Dependencias y Entidades de la Administración Pública, otorgados al inicio del ejercicio fiscal a cuenta de su presupuesto para el cumplimiento de obras y acciones diversas, con la finalidad de cumplir en tiempo y forma las metas establecidas en el programa operativo anual. </w:t>
      </w:r>
    </w:p>
    <w:p w:rsidR="00946AD5" w:rsidRDefault="00946AD5" w:rsidP="00946AD5">
      <w:pPr>
        <w:spacing w:after="0" w:line="240" w:lineRule="auto"/>
        <w:jc w:val="both"/>
      </w:pPr>
    </w:p>
    <w:p w:rsidR="00946AD5" w:rsidRDefault="00946AD5" w:rsidP="00946AD5">
      <w:pPr>
        <w:spacing w:after="0" w:line="240" w:lineRule="auto"/>
        <w:jc w:val="both"/>
      </w:pPr>
      <w:r>
        <w:rPr>
          <w:b/>
        </w:rPr>
        <w:t>Derechos a Recibir Bienes</w:t>
      </w:r>
      <w:r w:rsidR="00FC0DDA">
        <w:rPr>
          <w:b/>
        </w:rPr>
        <w:t xml:space="preserve"> o Servicios</w:t>
      </w:r>
    </w:p>
    <w:p w:rsidR="00946AD5" w:rsidRDefault="00946AD5" w:rsidP="00946AD5">
      <w:pPr>
        <w:pStyle w:val="Default"/>
        <w:spacing w:line="30" w:lineRule="atLeast"/>
        <w:jc w:val="both"/>
        <w:rPr>
          <w:rFonts w:asciiTheme="minorHAnsi" w:hAnsiTheme="minorHAnsi"/>
          <w:sz w:val="22"/>
          <w:szCs w:val="22"/>
        </w:rPr>
      </w:pPr>
    </w:p>
    <w:p w:rsidR="00946AD5" w:rsidRPr="003E29EA" w:rsidRDefault="00946AD5" w:rsidP="00946AD5">
      <w:pPr>
        <w:pStyle w:val="Default"/>
        <w:spacing w:line="30" w:lineRule="atLeast"/>
        <w:jc w:val="both"/>
        <w:rPr>
          <w:rFonts w:asciiTheme="minorHAnsi" w:hAnsiTheme="minorHAnsi"/>
          <w:sz w:val="22"/>
          <w:szCs w:val="22"/>
        </w:rPr>
      </w:pPr>
      <w:r>
        <w:rPr>
          <w:rFonts w:asciiTheme="minorHAnsi" w:hAnsiTheme="minorHAnsi"/>
          <w:sz w:val="22"/>
          <w:szCs w:val="22"/>
        </w:rPr>
        <w:t xml:space="preserve">El saldo por </w:t>
      </w:r>
      <w:r w:rsidR="007F028A">
        <w:rPr>
          <w:rFonts w:asciiTheme="minorHAnsi" w:hAnsiTheme="minorHAnsi"/>
          <w:sz w:val="22"/>
          <w:szCs w:val="22"/>
        </w:rPr>
        <w:t>178</w:t>
      </w:r>
      <w:r>
        <w:rPr>
          <w:rFonts w:asciiTheme="minorHAnsi" w:hAnsiTheme="minorHAnsi"/>
          <w:sz w:val="22"/>
          <w:szCs w:val="22"/>
        </w:rPr>
        <w:t xml:space="preserve"> millones </w:t>
      </w:r>
      <w:r w:rsidR="007F028A">
        <w:rPr>
          <w:rFonts w:asciiTheme="minorHAnsi" w:hAnsiTheme="minorHAnsi"/>
          <w:sz w:val="22"/>
          <w:szCs w:val="22"/>
        </w:rPr>
        <w:t xml:space="preserve">814 </w:t>
      </w:r>
      <w:r>
        <w:rPr>
          <w:rFonts w:asciiTheme="minorHAnsi" w:hAnsiTheme="minorHAnsi"/>
          <w:sz w:val="22"/>
          <w:szCs w:val="22"/>
        </w:rPr>
        <w:t>mil pesos corresponden a los a</w:t>
      </w:r>
      <w:r w:rsidRPr="003E29EA">
        <w:rPr>
          <w:rFonts w:asciiTheme="minorHAnsi" w:hAnsiTheme="minorHAnsi"/>
          <w:sz w:val="22"/>
          <w:szCs w:val="22"/>
        </w:rPr>
        <w:t xml:space="preserve">nticipos otorgados para ejecución de obras a cuenta de su presupuesto por parte de las Dependencias y Entidades ejecutoras los cuales se consideraran ejercidos en el momento en que estas presentan las estimaciones respectivas para su pago correspondiente; asimismo se integra de los anticipos otorgados para la adquisición de bienes y prestación de servicios. </w:t>
      </w:r>
    </w:p>
    <w:p w:rsidR="005411E0" w:rsidRDefault="005411E0" w:rsidP="00946AD5">
      <w:pPr>
        <w:spacing w:after="0" w:line="240" w:lineRule="auto"/>
        <w:rPr>
          <w:b/>
        </w:rPr>
      </w:pPr>
    </w:p>
    <w:p w:rsidR="00946AD5" w:rsidRPr="00A540B1" w:rsidRDefault="009F7FA5" w:rsidP="00946AD5">
      <w:pPr>
        <w:spacing w:after="0" w:line="240" w:lineRule="auto"/>
        <w:rPr>
          <w:b/>
        </w:rPr>
      </w:pPr>
      <w:r>
        <w:rPr>
          <w:b/>
        </w:rPr>
        <w:t>BIENES INMUEBLES, INFRAESTRUCTURA Y CONSTRUCCIONES EN PROCESO</w:t>
      </w:r>
    </w:p>
    <w:p w:rsidR="00946AD5" w:rsidRDefault="00946AD5" w:rsidP="00946AD5">
      <w:pPr>
        <w:spacing w:after="0" w:line="240" w:lineRule="auto"/>
      </w:pPr>
    </w:p>
    <w:p w:rsidR="00946AD5" w:rsidRDefault="00946AD5" w:rsidP="00946AD5">
      <w:pPr>
        <w:pStyle w:val="Default"/>
        <w:spacing w:line="30" w:lineRule="atLeast"/>
        <w:jc w:val="both"/>
        <w:rPr>
          <w:rFonts w:asciiTheme="minorHAnsi" w:hAnsiTheme="minorHAnsi"/>
          <w:sz w:val="22"/>
          <w:szCs w:val="22"/>
        </w:rPr>
      </w:pPr>
      <w:r w:rsidRPr="003E29EA">
        <w:rPr>
          <w:rFonts w:asciiTheme="minorHAnsi" w:hAnsiTheme="minorHAnsi"/>
          <w:sz w:val="22"/>
          <w:szCs w:val="22"/>
        </w:rPr>
        <w:t>En este rubro se refleja el valor de los bienes muebles e inmuebles pr</w:t>
      </w:r>
      <w:r>
        <w:rPr>
          <w:rFonts w:asciiTheme="minorHAnsi" w:hAnsiTheme="minorHAnsi"/>
          <w:sz w:val="22"/>
          <w:szCs w:val="22"/>
        </w:rPr>
        <w:t>opiedad del Gobierno del Estado; l</w:t>
      </w:r>
      <w:r w:rsidRPr="003E29EA">
        <w:rPr>
          <w:rFonts w:asciiTheme="minorHAnsi" w:hAnsiTheme="minorHAnsi"/>
          <w:sz w:val="22"/>
          <w:szCs w:val="22"/>
        </w:rPr>
        <w:t xml:space="preserve">os bienes muebles se registran a su valor histórico y los bienes inmuebles a su valor actual </w:t>
      </w:r>
      <w:r>
        <w:rPr>
          <w:rFonts w:asciiTheme="minorHAnsi" w:hAnsiTheme="minorHAnsi"/>
          <w:sz w:val="22"/>
          <w:szCs w:val="22"/>
        </w:rPr>
        <w:t>catastral d</w:t>
      </w:r>
      <w:r w:rsidRPr="003E29EA">
        <w:rPr>
          <w:rFonts w:asciiTheme="minorHAnsi" w:hAnsiTheme="minorHAnsi"/>
          <w:sz w:val="22"/>
          <w:szCs w:val="22"/>
        </w:rPr>
        <w:t xml:space="preserve">e acuerdo al avaluó realizado por </w:t>
      </w:r>
      <w:r>
        <w:rPr>
          <w:rFonts w:asciiTheme="minorHAnsi" w:hAnsiTheme="minorHAnsi"/>
          <w:sz w:val="22"/>
          <w:szCs w:val="22"/>
        </w:rPr>
        <w:t>el Instituto Catastral del Estado</w:t>
      </w:r>
      <w:r w:rsidRPr="003E29EA">
        <w:rPr>
          <w:rFonts w:asciiTheme="minorHAnsi" w:hAnsiTheme="minorHAnsi"/>
          <w:sz w:val="22"/>
          <w:szCs w:val="22"/>
        </w:rPr>
        <w:t>.</w:t>
      </w:r>
    </w:p>
    <w:p w:rsidR="00946AD5" w:rsidRDefault="00946AD5" w:rsidP="00946AD5">
      <w:pPr>
        <w:pStyle w:val="Default"/>
        <w:spacing w:line="30" w:lineRule="atLeast"/>
        <w:jc w:val="both"/>
        <w:rPr>
          <w:rFonts w:asciiTheme="minorHAnsi" w:hAnsiTheme="minorHAnsi"/>
          <w:sz w:val="22"/>
          <w:szCs w:val="22"/>
        </w:rPr>
      </w:pPr>
    </w:p>
    <w:p w:rsidR="00946AD5" w:rsidRPr="007E45F5" w:rsidRDefault="00946AD5" w:rsidP="00946AD5">
      <w:pPr>
        <w:pStyle w:val="Default"/>
        <w:spacing w:line="30" w:lineRule="atLeast"/>
        <w:jc w:val="both"/>
        <w:rPr>
          <w:rFonts w:asciiTheme="minorHAnsi" w:hAnsiTheme="minorHAnsi" w:cstheme="minorBidi"/>
          <w:b/>
          <w:color w:val="auto"/>
          <w:sz w:val="22"/>
          <w:szCs w:val="22"/>
        </w:rPr>
      </w:pPr>
      <w:r w:rsidRPr="007E45F5">
        <w:rPr>
          <w:rFonts w:asciiTheme="minorHAnsi" w:hAnsiTheme="minorHAnsi" w:cstheme="minorBidi"/>
          <w:b/>
          <w:color w:val="auto"/>
          <w:sz w:val="22"/>
          <w:szCs w:val="22"/>
        </w:rPr>
        <w:t>Bienes Muebles</w:t>
      </w:r>
    </w:p>
    <w:p w:rsidR="00946AD5" w:rsidRDefault="00946AD5" w:rsidP="00946AD5">
      <w:pPr>
        <w:pStyle w:val="Default"/>
        <w:spacing w:line="30" w:lineRule="atLeast"/>
        <w:jc w:val="both"/>
        <w:rPr>
          <w:rFonts w:asciiTheme="minorHAnsi" w:hAnsiTheme="minorHAnsi"/>
          <w:sz w:val="22"/>
          <w:szCs w:val="22"/>
        </w:rPr>
      </w:pPr>
    </w:p>
    <w:p w:rsidR="00946AD5" w:rsidRDefault="00946AD5" w:rsidP="00946AD5">
      <w:pPr>
        <w:pStyle w:val="Default"/>
        <w:spacing w:line="30" w:lineRule="atLeast"/>
        <w:jc w:val="both"/>
        <w:rPr>
          <w:rFonts w:asciiTheme="minorHAnsi" w:hAnsiTheme="minorHAnsi"/>
          <w:sz w:val="22"/>
          <w:szCs w:val="22"/>
        </w:rPr>
      </w:pPr>
      <w:r>
        <w:rPr>
          <w:rFonts w:asciiTheme="minorHAnsi" w:hAnsiTheme="minorHAnsi"/>
          <w:sz w:val="22"/>
          <w:szCs w:val="22"/>
        </w:rPr>
        <w:t>Representa el valor de los</w:t>
      </w:r>
      <w:r w:rsidRPr="003E29EA">
        <w:rPr>
          <w:rFonts w:asciiTheme="minorHAnsi" w:hAnsiTheme="minorHAnsi"/>
          <w:sz w:val="22"/>
          <w:szCs w:val="22"/>
        </w:rPr>
        <w:t xml:space="preserve"> bienes muebles</w:t>
      </w:r>
      <w:r>
        <w:rPr>
          <w:rFonts w:asciiTheme="minorHAnsi" w:hAnsiTheme="minorHAnsi"/>
          <w:sz w:val="22"/>
          <w:szCs w:val="22"/>
        </w:rPr>
        <w:t xml:space="preserve"> que son propiedad del Estado y</w:t>
      </w:r>
      <w:r w:rsidRPr="003E29EA">
        <w:rPr>
          <w:rFonts w:asciiTheme="minorHAnsi" w:hAnsiTheme="minorHAnsi"/>
          <w:sz w:val="22"/>
          <w:szCs w:val="22"/>
        </w:rPr>
        <w:t xml:space="preserve"> lo integran: </w:t>
      </w:r>
      <w:r>
        <w:rPr>
          <w:rFonts w:asciiTheme="minorHAnsi" w:hAnsiTheme="minorHAnsi"/>
          <w:sz w:val="22"/>
          <w:szCs w:val="22"/>
        </w:rPr>
        <w:t>e</w:t>
      </w:r>
      <w:r w:rsidRPr="003E29EA">
        <w:rPr>
          <w:rFonts w:asciiTheme="minorHAnsi" w:hAnsiTheme="minorHAnsi"/>
          <w:sz w:val="22"/>
          <w:szCs w:val="22"/>
        </w:rPr>
        <w:t>l mobiliario y equipo de oficina; equipo y accesorios de cómputo; equipo de comunicación; maquinaria y herramientas; vehículos terrestres marítimos y aéreos; equipo audiovisual; colecciones científicas artísticas y literarias; equipo de laboratorio; mobiliario y equipo e instrumental médico; mobiliario y equipo de cocina; y armamento por mencionar los más relevantes.</w:t>
      </w:r>
      <w:r>
        <w:rPr>
          <w:rFonts w:asciiTheme="minorHAnsi" w:hAnsiTheme="minorHAnsi"/>
          <w:sz w:val="22"/>
          <w:szCs w:val="22"/>
        </w:rPr>
        <w:t xml:space="preserve"> Por lo que se refiere a bienes </w:t>
      </w:r>
      <w:r w:rsidRPr="003E29EA">
        <w:rPr>
          <w:rFonts w:asciiTheme="minorHAnsi" w:hAnsiTheme="minorHAnsi"/>
          <w:sz w:val="22"/>
          <w:szCs w:val="22"/>
        </w:rPr>
        <w:t>inmuebles</w:t>
      </w:r>
      <w:r>
        <w:rPr>
          <w:rFonts w:asciiTheme="minorHAnsi" w:hAnsiTheme="minorHAnsi"/>
          <w:sz w:val="22"/>
          <w:szCs w:val="22"/>
        </w:rPr>
        <w:t xml:space="preserve"> este rubro se integra por: terrenos, edificios y</w:t>
      </w:r>
      <w:r w:rsidR="00E4492E">
        <w:rPr>
          <w:rFonts w:asciiTheme="minorHAnsi" w:hAnsiTheme="minorHAnsi"/>
          <w:sz w:val="22"/>
          <w:szCs w:val="22"/>
        </w:rPr>
        <w:t xml:space="preserve"> no residenciales y construcción de obras en proceso</w:t>
      </w:r>
      <w:r>
        <w:rPr>
          <w:rFonts w:asciiTheme="minorHAnsi" w:hAnsiTheme="minorHAnsi"/>
          <w:sz w:val="22"/>
          <w:szCs w:val="22"/>
        </w:rPr>
        <w:t>.</w:t>
      </w:r>
    </w:p>
    <w:p w:rsidR="00946AD5" w:rsidRDefault="00946AD5" w:rsidP="00946AD5">
      <w:pPr>
        <w:spacing w:after="0" w:line="240" w:lineRule="auto"/>
        <w:jc w:val="both"/>
      </w:pPr>
    </w:p>
    <w:p w:rsidR="00946AD5" w:rsidRPr="003E29EA" w:rsidRDefault="00926A3E" w:rsidP="00946AD5">
      <w:pPr>
        <w:pStyle w:val="Default"/>
        <w:spacing w:line="30" w:lineRule="atLeast"/>
        <w:jc w:val="both"/>
        <w:rPr>
          <w:rFonts w:asciiTheme="minorHAnsi" w:hAnsiTheme="minorHAnsi"/>
          <w:b/>
          <w:bCs/>
          <w:sz w:val="22"/>
          <w:szCs w:val="22"/>
        </w:rPr>
      </w:pPr>
      <w:r>
        <w:rPr>
          <w:rFonts w:asciiTheme="minorHAnsi" w:hAnsiTheme="minorHAnsi" w:cstheme="minorBidi"/>
          <w:b/>
          <w:color w:val="auto"/>
          <w:sz w:val="22"/>
          <w:szCs w:val="22"/>
        </w:rPr>
        <w:lastRenderedPageBreak/>
        <w:t>Cuentas por pagar a corto plazo</w:t>
      </w:r>
      <w:r w:rsidR="00946AD5" w:rsidRPr="003E29EA">
        <w:rPr>
          <w:rFonts w:asciiTheme="minorHAnsi" w:hAnsiTheme="minorHAnsi"/>
          <w:b/>
          <w:bCs/>
          <w:sz w:val="22"/>
          <w:szCs w:val="22"/>
        </w:rPr>
        <w:t xml:space="preserve"> </w:t>
      </w:r>
    </w:p>
    <w:p w:rsidR="00946AD5" w:rsidRPr="003E29EA" w:rsidRDefault="00946AD5" w:rsidP="00946AD5">
      <w:pPr>
        <w:pStyle w:val="Default"/>
        <w:spacing w:line="30" w:lineRule="atLeast"/>
        <w:jc w:val="both"/>
        <w:rPr>
          <w:rFonts w:asciiTheme="minorHAnsi" w:hAnsiTheme="minorHAnsi"/>
          <w:b/>
          <w:bCs/>
          <w:sz w:val="22"/>
          <w:szCs w:val="22"/>
        </w:rPr>
      </w:pPr>
    </w:p>
    <w:p w:rsidR="00946AD5" w:rsidRDefault="00946AD5" w:rsidP="00946AD5">
      <w:pPr>
        <w:pStyle w:val="Default"/>
        <w:spacing w:line="30" w:lineRule="atLeast"/>
        <w:jc w:val="both"/>
        <w:rPr>
          <w:rFonts w:asciiTheme="minorHAnsi" w:hAnsiTheme="minorHAnsi"/>
          <w:sz w:val="22"/>
          <w:szCs w:val="22"/>
        </w:rPr>
      </w:pPr>
      <w:r w:rsidRPr="003E29EA">
        <w:rPr>
          <w:rFonts w:asciiTheme="minorHAnsi" w:hAnsiTheme="minorHAnsi"/>
          <w:sz w:val="22"/>
          <w:szCs w:val="22"/>
        </w:rPr>
        <w:t xml:space="preserve">Al </w:t>
      </w:r>
      <w:r w:rsidR="00093626">
        <w:rPr>
          <w:rFonts w:asciiTheme="minorHAnsi" w:hAnsiTheme="minorHAnsi"/>
          <w:sz w:val="22"/>
          <w:szCs w:val="22"/>
        </w:rPr>
        <w:t>31 de Diciembre</w:t>
      </w:r>
      <w:r w:rsidR="00E87407">
        <w:rPr>
          <w:rFonts w:asciiTheme="minorHAnsi" w:hAnsiTheme="minorHAnsi"/>
          <w:sz w:val="22"/>
          <w:szCs w:val="22"/>
        </w:rPr>
        <w:t xml:space="preserve"> de 2014</w:t>
      </w:r>
      <w:r w:rsidRPr="003E29EA">
        <w:rPr>
          <w:rFonts w:asciiTheme="minorHAnsi" w:hAnsiTheme="minorHAnsi"/>
          <w:sz w:val="22"/>
          <w:szCs w:val="22"/>
        </w:rPr>
        <w:t xml:space="preserve"> en este apartado se registran los compromisos contraídos por el Gobierno del Estado. Los pagos pendientes de realizar a corto plazo corresponden a las retenciones de ISR de sueldos y salarios, honorarios y arrendamientos; cuotas obrero patronales; compromisos devengados a contratistas, proveedores y prestadores de servicios</w:t>
      </w:r>
      <w:r>
        <w:rPr>
          <w:rFonts w:asciiTheme="minorHAnsi" w:hAnsiTheme="minorHAnsi"/>
          <w:sz w:val="22"/>
          <w:szCs w:val="22"/>
        </w:rPr>
        <w:t xml:space="preserve">, </w:t>
      </w:r>
      <w:r w:rsidR="00DC1537">
        <w:rPr>
          <w:rFonts w:asciiTheme="minorHAnsi" w:hAnsiTheme="minorHAnsi"/>
          <w:sz w:val="22"/>
          <w:szCs w:val="22"/>
        </w:rPr>
        <w:t>pensiones</w:t>
      </w:r>
      <w:r>
        <w:rPr>
          <w:rFonts w:asciiTheme="minorHAnsi" w:hAnsiTheme="minorHAnsi"/>
          <w:sz w:val="22"/>
          <w:szCs w:val="22"/>
        </w:rPr>
        <w:t xml:space="preserve"> a corto plazo a trabajadores con este derecho</w:t>
      </w:r>
      <w:r w:rsidRPr="003E29EA">
        <w:rPr>
          <w:rFonts w:asciiTheme="minorHAnsi" w:hAnsiTheme="minorHAnsi"/>
          <w:sz w:val="22"/>
          <w:szCs w:val="22"/>
        </w:rPr>
        <w:t xml:space="preserve">; </w:t>
      </w:r>
      <w:r w:rsidRPr="00832A85">
        <w:rPr>
          <w:rFonts w:asciiTheme="minorHAnsi" w:hAnsiTheme="minorHAnsi"/>
          <w:sz w:val="22"/>
          <w:szCs w:val="22"/>
        </w:rPr>
        <w:t>Asimismo incluyen el impuesto</w:t>
      </w:r>
      <w:r>
        <w:rPr>
          <w:rFonts w:asciiTheme="minorHAnsi" w:hAnsiTheme="minorHAnsi"/>
          <w:sz w:val="22"/>
          <w:szCs w:val="22"/>
        </w:rPr>
        <w:t xml:space="preserve"> de traslación de dominio a cargo </w:t>
      </w:r>
      <w:r w:rsidRPr="00832A85">
        <w:rPr>
          <w:rFonts w:asciiTheme="minorHAnsi" w:hAnsiTheme="minorHAnsi"/>
          <w:sz w:val="22"/>
          <w:szCs w:val="22"/>
        </w:rPr>
        <w:t>de</w:t>
      </w:r>
      <w:r>
        <w:rPr>
          <w:rFonts w:asciiTheme="minorHAnsi" w:hAnsiTheme="minorHAnsi"/>
          <w:sz w:val="22"/>
          <w:szCs w:val="22"/>
        </w:rPr>
        <w:t xml:space="preserve"> </w:t>
      </w:r>
      <w:r w:rsidRPr="00832A85">
        <w:rPr>
          <w:rFonts w:asciiTheme="minorHAnsi" w:hAnsiTheme="minorHAnsi"/>
          <w:sz w:val="22"/>
          <w:szCs w:val="22"/>
        </w:rPr>
        <w:t>l</w:t>
      </w:r>
      <w:r>
        <w:rPr>
          <w:rFonts w:asciiTheme="minorHAnsi" w:hAnsiTheme="minorHAnsi"/>
          <w:sz w:val="22"/>
          <w:szCs w:val="22"/>
        </w:rPr>
        <w:t>os</w:t>
      </w:r>
      <w:r w:rsidRPr="00832A85">
        <w:rPr>
          <w:rFonts w:asciiTheme="minorHAnsi" w:hAnsiTheme="minorHAnsi"/>
          <w:sz w:val="22"/>
          <w:szCs w:val="22"/>
        </w:rPr>
        <w:t xml:space="preserve"> municipio</w:t>
      </w:r>
      <w:r>
        <w:rPr>
          <w:rFonts w:asciiTheme="minorHAnsi" w:hAnsiTheme="minorHAnsi"/>
          <w:sz w:val="22"/>
          <w:szCs w:val="22"/>
        </w:rPr>
        <w:t>s</w:t>
      </w:r>
      <w:r w:rsidRPr="003E29EA">
        <w:rPr>
          <w:rFonts w:asciiTheme="minorHAnsi" w:hAnsiTheme="minorHAnsi"/>
          <w:sz w:val="22"/>
          <w:szCs w:val="22"/>
        </w:rPr>
        <w:t xml:space="preserve"> y los anticipos recibidos por la Tesorería de la Federación a cuenta de participaciones</w:t>
      </w:r>
      <w:r>
        <w:rPr>
          <w:rFonts w:asciiTheme="minorHAnsi" w:hAnsiTheme="minorHAnsi"/>
          <w:sz w:val="22"/>
          <w:szCs w:val="22"/>
        </w:rPr>
        <w:t>.</w:t>
      </w:r>
    </w:p>
    <w:p w:rsidR="00946AD5" w:rsidRDefault="00946AD5" w:rsidP="005411E0">
      <w:pPr>
        <w:pStyle w:val="Default"/>
        <w:spacing w:line="30" w:lineRule="atLeast"/>
        <w:jc w:val="both"/>
        <w:rPr>
          <w:b/>
          <w:bCs/>
          <w:lang w:val="es-ES"/>
        </w:rPr>
      </w:pPr>
      <w:r w:rsidRPr="003E29EA">
        <w:rPr>
          <w:rFonts w:asciiTheme="minorHAnsi" w:hAnsiTheme="minorHAnsi"/>
          <w:sz w:val="22"/>
          <w:szCs w:val="22"/>
        </w:rPr>
        <w:t xml:space="preserve"> </w:t>
      </w:r>
    </w:p>
    <w:p w:rsidR="00946AD5" w:rsidRDefault="00946AD5" w:rsidP="00946AD5">
      <w:pPr>
        <w:pStyle w:val="Default"/>
        <w:spacing w:line="30" w:lineRule="atLeast"/>
        <w:jc w:val="both"/>
        <w:rPr>
          <w:rFonts w:asciiTheme="minorHAnsi" w:hAnsiTheme="minorHAnsi"/>
          <w:b/>
          <w:bCs/>
          <w:sz w:val="22"/>
          <w:szCs w:val="22"/>
        </w:rPr>
      </w:pPr>
      <w:r w:rsidRPr="003E29EA">
        <w:rPr>
          <w:rFonts w:asciiTheme="minorHAnsi" w:hAnsiTheme="minorHAnsi"/>
          <w:b/>
          <w:bCs/>
          <w:sz w:val="22"/>
          <w:szCs w:val="22"/>
        </w:rPr>
        <w:t xml:space="preserve">PATRIMONIO </w:t>
      </w:r>
    </w:p>
    <w:p w:rsidR="00946AD5" w:rsidRDefault="00946AD5" w:rsidP="00946AD5">
      <w:pPr>
        <w:pStyle w:val="Default"/>
        <w:spacing w:line="30" w:lineRule="atLeast"/>
        <w:jc w:val="both"/>
        <w:rPr>
          <w:rFonts w:asciiTheme="minorHAnsi" w:hAnsiTheme="minorHAnsi"/>
          <w:b/>
          <w:bCs/>
          <w:sz w:val="22"/>
          <w:szCs w:val="22"/>
        </w:rPr>
      </w:pPr>
    </w:p>
    <w:p w:rsidR="00946AD5" w:rsidRPr="003E29EA" w:rsidRDefault="00946AD5" w:rsidP="00946AD5">
      <w:pPr>
        <w:pStyle w:val="Default"/>
        <w:spacing w:line="30" w:lineRule="atLeast"/>
        <w:jc w:val="both"/>
        <w:rPr>
          <w:rFonts w:asciiTheme="minorHAnsi" w:hAnsiTheme="minorHAnsi"/>
          <w:sz w:val="22"/>
          <w:szCs w:val="22"/>
        </w:rPr>
      </w:pPr>
      <w:r w:rsidRPr="003E29EA">
        <w:rPr>
          <w:rFonts w:asciiTheme="minorHAnsi" w:hAnsiTheme="minorHAnsi"/>
          <w:sz w:val="22"/>
          <w:szCs w:val="22"/>
        </w:rPr>
        <w:t xml:space="preserve">Esta cuenta se integra por incrementos, decrementos al patrimonio, rectificaciones a resultados de ejercicios anteriores y transferencia de saldos de otros organismos al sector central para efectos de la consolidación contable. </w:t>
      </w:r>
    </w:p>
    <w:p w:rsidR="00946AD5" w:rsidRDefault="00946AD5" w:rsidP="00946AD5">
      <w:pPr>
        <w:pStyle w:val="Default"/>
        <w:spacing w:line="30" w:lineRule="atLeast"/>
        <w:jc w:val="both"/>
        <w:rPr>
          <w:rFonts w:asciiTheme="minorHAnsi" w:hAnsiTheme="minorHAnsi"/>
          <w:sz w:val="22"/>
          <w:szCs w:val="22"/>
        </w:rPr>
      </w:pPr>
    </w:p>
    <w:p w:rsidR="00946AD5" w:rsidRPr="003E29EA" w:rsidRDefault="00946AD5" w:rsidP="00946AD5">
      <w:pPr>
        <w:pStyle w:val="Default"/>
        <w:spacing w:line="30" w:lineRule="atLeast"/>
        <w:jc w:val="both"/>
        <w:rPr>
          <w:rFonts w:asciiTheme="minorHAnsi" w:hAnsiTheme="minorHAnsi"/>
          <w:b/>
          <w:bCs/>
          <w:sz w:val="22"/>
          <w:szCs w:val="22"/>
        </w:rPr>
      </w:pPr>
      <w:r w:rsidRPr="003E29EA">
        <w:rPr>
          <w:rFonts w:asciiTheme="minorHAnsi" w:hAnsiTheme="minorHAnsi"/>
          <w:b/>
          <w:bCs/>
          <w:sz w:val="22"/>
          <w:szCs w:val="22"/>
        </w:rPr>
        <w:t>CUENTAS DE ORDEN</w:t>
      </w:r>
    </w:p>
    <w:p w:rsidR="00946AD5" w:rsidRDefault="00946AD5" w:rsidP="00946AD5">
      <w:pPr>
        <w:pStyle w:val="Default"/>
        <w:spacing w:line="30" w:lineRule="atLeast"/>
        <w:jc w:val="both"/>
        <w:rPr>
          <w:rFonts w:asciiTheme="minorHAnsi" w:hAnsiTheme="minorHAnsi"/>
          <w:b/>
          <w:bCs/>
          <w:sz w:val="22"/>
          <w:szCs w:val="22"/>
        </w:rPr>
      </w:pPr>
    </w:p>
    <w:p w:rsidR="00946AD5" w:rsidRDefault="00946AD5" w:rsidP="00946AD5">
      <w:pPr>
        <w:pStyle w:val="Default"/>
        <w:spacing w:line="30" w:lineRule="atLeast"/>
        <w:jc w:val="both"/>
        <w:rPr>
          <w:rFonts w:asciiTheme="minorHAnsi" w:hAnsiTheme="minorHAnsi"/>
          <w:b/>
          <w:bCs/>
          <w:sz w:val="22"/>
          <w:szCs w:val="22"/>
        </w:rPr>
      </w:pPr>
      <w:r>
        <w:rPr>
          <w:rFonts w:asciiTheme="minorHAnsi" w:hAnsiTheme="minorHAnsi"/>
          <w:b/>
          <w:bCs/>
          <w:sz w:val="22"/>
          <w:szCs w:val="22"/>
        </w:rPr>
        <w:t>OTRAS OBLIGACIONES FINANCIERAS</w:t>
      </w:r>
    </w:p>
    <w:p w:rsidR="00946AD5" w:rsidRDefault="00946AD5" w:rsidP="00946AD5">
      <w:pPr>
        <w:pStyle w:val="Default"/>
        <w:spacing w:line="30" w:lineRule="atLeast"/>
        <w:jc w:val="both"/>
        <w:rPr>
          <w:rFonts w:asciiTheme="minorHAnsi" w:hAnsiTheme="minorHAnsi"/>
          <w:b/>
          <w:bCs/>
          <w:sz w:val="22"/>
          <w:szCs w:val="22"/>
        </w:rPr>
      </w:pPr>
    </w:p>
    <w:p w:rsidR="00946AD5" w:rsidRDefault="00946AD5" w:rsidP="00946AD5">
      <w:pPr>
        <w:pStyle w:val="Default"/>
        <w:spacing w:line="30" w:lineRule="atLeast"/>
        <w:jc w:val="both"/>
        <w:rPr>
          <w:rFonts w:asciiTheme="minorHAnsi" w:hAnsiTheme="minorHAnsi"/>
          <w:sz w:val="22"/>
          <w:szCs w:val="22"/>
        </w:rPr>
      </w:pPr>
      <w:r>
        <w:rPr>
          <w:rFonts w:asciiTheme="minorHAnsi" w:hAnsiTheme="minorHAnsi"/>
          <w:sz w:val="22"/>
          <w:szCs w:val="22"/>
        </w:rPr>
        <w:t>Por lo que respecta a esta cuenta de orden, corresponde a pasivos que contrae la federación con el fin de proporcionar recursos al Fondo de Reconstrucción (FONREC) al estado; el cual cubre únicamente los intereses, correspondiendo a la federación el pago de capital; lo cual no constituyen deuda para el Estado.</w:t>
      </w:r>
    </w:p>
    <w:p w:rsidR="00946AD5" w:rsidRDefault="00946AD5" w:rsidP="00946AD5">
      <w:pPr>
        <w:pStyle w:val="Default"/>
        <w:spacing w:line="30" w:lineRule="atLeast"/>
        <w:jc w:val="both"/>
        <w:rPr>
          <w:rFonts w:asciiTheme="minorHAnsi" w:hAnsiTheme="minorHAnsi"/>
          <w:sz w:val="22"/>
          <w:szCs w:val="22"/>
        </w:rPr>
      </w:pPr>
    </w:p>
    <w:p w:rsidR="005411E0" w:rsidRDefault="005411E0">
      <w:pPr>
        <w:rPr>
          <w:rFonts w:cs="Arial"/>
          <w:b/>
          <w:bCs/>
          <w:color w:val="000000"/>
        </w:rPr>
      </w:pPr>
      <w:r>
        <w:rPr>
          <w:b/>
          <w:bCs/>
        </w:rPr>
        <w:br w:type="page"/>
      </w:r>
    </w:p>
    <w:p w:rsidR="00946AD5" w:rsidRPr="003E29EA" w:rsidRDefault="00946AD5" w:rsidP="00946AD5">
      <w:pPr>
        <w:pStyle w:val="Default"/>
        <w:spacing w:line="30" w:lineRule="atLeast"/>
        <w:jc w:val="both"/>
        <w:rPr>
          <w:rFonts w:asciiTheme="minorHAnsi" w:hAnsiTheme="minorHAnsi"/>
          <w:b/>
          <w:bCs/>
          <w:sz w:val="22"/>
          <w:szCs w:val="22"/>
        </w:rPr>
      </w:pPr>
      <w:r w:rsidRPr="003E29EA">
        <w:rPr>
          <w:rFonts w:asciiTheme="minorHAnsi" w:hAnsiTheme="minorHAnsi"/>
          <w:b/>
          <w:bCs/>
          <w:sz w:val="22"/>
          <w:szCs w:val="22"/>
        </w:rPr>
        <w:lastRenderedPageBreak/>
        <w:t>RECURSOS TRANSFERIDOS POR DERECHOS E IMPUESTOS POR EMISIÓN DE VALORES QUE NO CONSTITUYEN PASIVO DIRECTO NI DEUDA PÚBLICA (SALDO INSOLUTO ACTUALIZADO); Y, OBLIGACIÓN DE TRANSFERENCIA DE INGRESOS POR DERECHOS E IMPUESTOS POR EMISIÓN DE VALORES QUE NO CONSTITUYEN PASIVO DIRECTO NI DEUDA PÚBLICA (SALDO INSOLUTO ACTUALIZADO).</w:t>
      </w:r>
    </w:p>
    <w:p w:rsidR="00946AD5" w:rsidRPr="003E29EA" w:rsidRDefault="00946AD5" w:rsidP="00946AD5">
      <w:pPr>
        <w:pStyle w:val="Default"/>
        <w:spacing w:line="30" w:lineRule="atLeast"/>
        <w:jc w:val="both"/>
        <w:rPr>
          <w:rFonts w:asciiTheme="minorHAnsi" w:hAnsiTheme="minorHAnsi"/>
          <w:b/>
          <w:bCs/>
          <w:sz w:val="22"/>
          <w:szCs w:val="22"/>
        </w:rPr>
      </w:pPr>
    </w:p>
    <w:p w:rsidR="00946AD5" w:rsidRPr="003E29EA" w:rsidRDefault="00946AD5" w:rsidP="00946AD5">
      <w:pPr>
        <w:pStyle w:val="Default"/>
        <w:spacing w:line="30" w:lineRule="atLeast"/>
        <w:jc w:val="both"/>
        <w:rPr>
          <w:rFonts w:asciiTheme="minorHAnsi" w:hAnsiTheme="minorHAnsi"/>
          <w:sz w:val="22"/>
          <w:szCs w:val="22"/>
        </w:rPr>
      </w:pPr>
      <w:r w:rsidRPr="003E29EA">
        <w:rPr>
          <w:rFonts w:asciiTheme="minorHAnsi" w:hAnsiTheme="minorHAnsi"/>
          <w:sz w:val="22"/>
          <w:szCs w:val="22"/>
        </w:rPr>
        <w:t xml:space="preserve">Por razones de rendición de cuentas y transparencia en la información, es necesario llevar a cabo un mecanismo contable que permita reflejar de manera clara las </w:t>
      </w:r>
      <w:r>
        <w:rPr>
          <w:rFonts w:asciiTheme="minorHAnsi" w:hAnsiTheme="minorHAnsi"/>
          <w:sz w:val="22"/>
          <w:szCs w:val="22"/>
        </w:rPr>
        <w:t>operaciones</w:t>
      </w:r>
      <w:r w:rsidRPr="003E29EA">
        <w:rPr>
          <w:rFonts w:asciiTheme="minorHAnsi" w:hAnsiTheme="minorHAnsi"/>
          <w:sz w:val="22"/>
          <w:szCs w:val="22"/>
        </w:rPr>
        <w:t xml:space="preserve"> derivadas de la bursatilización, toda vez que ésta no constituye deuda pública para el Estado. Para lo cual, se crearon dentro del rubro de Cuentas de Orden, las cuentas “Recursos transferidos por derechos e impuestos por emisión de valores que no constituyen pasivo directo ni deuda pública” y “Obligación de transferencia de ingresos por derechos e impuestos por emisión de valores que no constituyen pasivo directo ni deuda pública”, las cuales al </w:t>
      </w:r>
      <w:r w:rsidR="00093626">
        <w:rPr>
          <w:rFonts w:asciiTheme="minorHAnsi" w:hAnsiTheme="minorHAnsi"/>
          <w:sz w:val="22"/>
          <w:szCs w:val="22"/>
        </w:rPr>
        <w:t>31 de Diciembre</w:t>
      </w:r>
      <w:r w:rsidR="00E87407">
        <w:rPr>
          <w:rFonts w:asciiTheme="minorHAnsi" w:hAnsiTheme="minorHAnsi"/>
          <w:sz w:val="22"/>
          <w:szCs w:val="22"/>
        </w:rPr>
        <w:t xml:space="preserve"> de 2014</w:t>
      </w:r>
      <w:r w:rsidRPr="003E29EA">
        <w:rPr>
          <w:rFonts w:asciiTheme="minorHAnsi" w:hAnsiTheme="minorHAnsi"/>
          <w:sz w:val="22"/>
          <w:szCs w:val="22"/>
        </w:rPr>
        <w:t xml:space="preserve">, refleja un saldo de </w:t>
      </w:r>
      <w:r w:rsidR="007F028A">
        <w:rPr>
          <w:rFonts w:asciiTheme="minorHAnsi" w:hAnsiTheme="minorHAnsi"/>
          <w:sz w:val="22"/>
          <w:szCs w:val="22"/>
        </w:rPr>
        <w:t>4</w:t>
      </w:r>
      <w:r w:rsidRPr="003E29EA">
        <w:rPr>
          <w:rFonts w:asciiTheme="minorHAnsi" w:hAnsiTheme="minorHAnsi"/>
          <w:sz w:val="22"/>
          <w:szCs w:val="22"/>
        </w:rPr>
        <w:t xml:space="preserve"> mil </w:t>
      </w:r>
      <w:r w:rsidR="007F028A">
        <w:rPr>
          <w:rFonts w:asciiTheme="minorHAnsi" w:hAnsiTheme="minorHAnsi"/>
          <w:sz w:val="22"/>
          <w:szCs w:val="22"/>
        </w:rPr>
        <w:t>275</w:t>
      </w:r>
      <w:r w:rsidR="00926A3E">
        <w:rPr>
          <w:rFonts w:asciiTheme="minorHAnsi" w:hAnsiTheme="minorHAnsi"/>
          <w:sz w:val="22"/>
          <w:szCs w:val="22"/>
        </w:rPr>
        <w:t xml:space="preserve"> </w:t>
      </w:r>
      <w:r w:rsidRPr="003E29EA">
        <w:rPr>
          <w:rFonts w:asciiTheme="minorHAnsi" w:hAnsiTheme="minorHAnsi"/>
          <w:sz w:val="22"/>
          <w:szCs w:val="22"/>
        </w:rPr>
        <w:t xml:space="preserve">millones </w:t>
      </w:r>
      <w:r w:rsidR="007F028A">
        <w:rPr>
          <w:rFonts w:asciiTheme="minorHAnsi" w:hAnsiTheme="minorHAnsi"/>
          <w:sz w:val="22"/>
          <w:szCs w:val="22"/>
        </w:rPr>
        <w:t>596</w:t>
      </w:r>
      <w:r w:rsidR="00093626">
        <w:rPr>
          <w:rFonts w:asciiTheme="minorHAnsi" w:hAnsiTheme="minorHAnsi"/>
          <w:sz w:val="22"/>
          <w:szCs w:val="22"/>
        </w:rPr>
        <w:t xml:space="preserve"> </w:t>
      </w:r>
      <w:r w:rsidRPr="003E29EA">
        <w:rPr>
          <w:rFonts w:asciiTheme="minorHAnsi" w:hAnsiTheme="minorHAnsi"/>
          <w:sz w:val="22"/>
          <w:szCs w:val="22"/>
        </w:rPr>
        <w:t>mil pesos que corresponde al saldo actualizado de la primera emisión colocada al valor de las Unidades de Inversión en su momento.</w:t>
      </w:r>
    </w:p>
    <w:p w:rsidR="00946AD5" w:rsidRPr="003E29EA" w:rsidRDefault="00946AD5" w:rsidP="00946AD5">
      <w:pPr>
        <w:pStyle w:val="Default"/>
        <w:spacing w:line="30" w:lineRule="atLeast"/>
        <w:jc w:val="both"/>
        <w:rPr>
          <w:rFonts w:asciiTheme="minorHAnsi" w:hAnsiTheme="minorHAnsi"/>
          <w:sz w:val="22"/>
          <w:szCs w:val="22"/>
        </w:rPr>
      </w:pPr>
    </w:p>
    <w:p w:rsidR="00946AD5" w:rsidRPr="00224A1C" w:rsidRDefault="00946AD5" w:rsidP="00946AD5">
      <w:pPr>
        <w:pStyle w:val="Default"/>
        <w:spacing w:line="30" w:lineRule="atLeast"/>
        <w:jc w:val="both"/>
        <w:rPr>
          <w:rFonts w:asciiTheme="minorHAnsi" w:hAnsiTheme="minorHAnsi"/>
          <w:b/>
          <w:bCs/>
          <w:sz w:val="22"/>
          <w:szCs w:val="22"/>
        </w:rPr>
      </w:pPr>
      <w:r w:rsidRPr="00224A1C">
        <w:rPr>
          <w:rFonts w:asciiTheme="minorHAnsi" w:hAnsiTheme="minorHAnsi"/>
          <w:b/>
          <w:bCs/>
          <w:sz w:val="22"/>
          <w:szCs w:val="22"/>
        </w:rPr>
        <w:t xml:space="preserve">OBLIGACIÓN DE TRANSFERENCIA DE INGRESOS POR DERECHOS E IMPUESTOS POR EMISIÓN DE VALORES QUE NO CONSTITUYEN PASIVO DIRECTO NI DEUDA PÚBLICA (RECURSOS TRANSFERIDOS DEL ESTADO AL FIDEICOMISO); Y, RECURSOS TRANSFERIDOS POR DERECHOS E IMPUESTOS POR EMISIÓN DE VALORES QUE NO CONSTITUYEN PASIVO DIRECTO NI DEUDA PÚBLICA (RECURSOS TRANSFERIDOS DEL ESTADO AL FIDEICOMISO). </w:t>
      </w:r>
    </w:p>
    <w:p w:rsidR="00946AD5" w:rsidRPr="00224A1C" w:rsidRDefault="00946AD5" w:rsidP="00946AD5">
      <w:pPr>
        <w:pStyle w:val="Default"/>
        <w:spacing w:line="30" w:lineRule="atLeast"/>
        <w:jc w:val="both"/>
        <w:rPr>
          <w:rFonts w:asciiTheme="minorHAnsi" w:hAnsiTheme="minorHAnsi"/>
          <w:b/>
          <w:bCs/>
          <w:sz w:val="22"/>
          <w:szCs w:val="22"/>
        </w:rPr>
      </w:pPr>
    </w:p>
    <w:p w:rsidR="00946AD5" w:rsidRPr="00224A1C" w:rsidRDefault="00946AD5" w:rsidP="00946AD5">
      <w:pPr>
        <w:pStyle w:val="Default"/>
        <w:spacing w:line="30" w:lineRule="atLeast"/>
        <w:jc w:val="both"/>
        <w:rPr>
          <w:rFonts w:asciiTheme="minorHAnsi" w:hAnsiTheme="minorHAnsi"/>
          <w:sz w:val="22"/>
          <w:szCs w:val="22"/>
        </w:rPr>
      </w:pPr>
      <w:r w:rsidRPr="00224A1C">
        <w:rPr>
          <w:rFonts w:asciiTheme="minorHAnsi" w:hAnsiTheme="minorHAnsi"/>
          <w:sz w:val="22"/>
          <w:szCs w:val="22"/>
        </w:rPr>
        <w:t xml:space="preserve">Para efectos de registro y control de los recursos que son transferidos al Fideicomiso Emisor en cumplimiento al Contrato respectivo y demás documentación legal, se </w:t>
      </w:r>
      <w:proofErr w:type="spellStart"/>
      <w:r w:rsidRPr="00224A1C">
        <w:rPr>
          <w:rFonts w:asciiTheme="minorHAnsi" w:hAnsiTheme="minorHAnsi"/>
          <w:sz w:val="22"/>
          <w:szCs w:val="22"/>
        </w:rPr>
        <w:t>aperturaron</w:t>
      </w:r>
      <w:proofErr w:type="spellEnd"/>
      <w:r w:rsidRPr="00224A1C">
        <w:rPr>
          <w:rFonts w:asciiTheme="minorHAnsi" w:hAnsiTheme="minorHAnsi"/>
          <w:sz w:val="22"/>
          <w:szCs w:val="22"/>
        </w:rPr>
        <w:t xml:space="preserve"> cuentas de orden que permiten obtener el monto acumulado transferido por el Gobierno del Estado al Fideicomiso Emisor; al </w:t>
      </w:r>
      <w:r w:rsidR="00093626">
        <w:rPr>
          <w:rFonts w:asciiTheme="minorHAnsi" w:hAnsiTheme="minorHAnsi"/>
          <w:sz w:val="22"/>
          <w:szCs w:val="22"/>
        </w:rPr>
        <w:t>31 de Diciembre</w:t>
      </w:r>
      <w:r w:rsidR="00E87407">
        <w:rPr>
          <w:rFonts w:asciiTheme="minorHAnsi" w:hAnsiTheme="minorHAnsi"/>
          <w:sz w:val="22"/>
          <w:szCs w:val="22"/>
        </w:rPr>
        <w:t xml:space="preserve"> de 2014</w:t>
      </w:r>
      <w:r w:rsidRPr="00224A1C">
        <w:rPr>
          <w:rFonts w:asciiTheme="minorHAnsi" w:hAnsiTheme="minorHAnsi"/>
          <w:sz w:val="22"/>
          <w:szCs w:val="22"/>
        </w:rPr>
        <w:t xml:space="preserve"> su saldo es de</w:t>
      </w:r>
      <w:r>
        <w:rPr>
          <w:rFonts w:asciiTheme="minorHAnsi" w:hAnsiTheme="minorHAnsi"/>
          <w:sz w:val="22"/>
          <w:szCs w:val="22"/>
        </w:rPr>
        <w:t xml:space="preserve"> </w:t>
      </w:r>
      <w:r w:rsidR="007F028A">
        <w:rPr>
          <w:rFonts w:asciiTheme="minorHAnsi" w:hAnsiTheme="minorHAnsi"/>
          <w:sz w:val="22"/>
          <w:szCs w:val="22"/>
        </w:rPr>
        <w:t>3</w:t>
      </w:r>
      <w:r>
        <w:rPr>
          <w:rFonts w:asciiTheme="minorHAnsi" w:hAnsiTheme="minorHAnsi"/>
          <w:sz w:val="22"/>
          <w:szCs w:val="22"/>
        </w:rPr>
        <w:t xml:space="preserve"> mil </w:t>
      </w:r>
      <w:r w:rsidR="007F028A">
        <w:rPr>
          <w:rFonts w:asciiTheme="minorHAnsi" w:hAnsiTheme="minorHAnsi"/>
          <w:sz w:val="22"/>
          <w:szCs w:val="22"/>
        </w:rPr>
        <w:t>319</w:t>
      </w:r>
      <w:r>
        <w:rPr>
          <w:rFonts w:asciiTheme="minorHAnsi" w:hAnsiTheme="minorHAnsi"/>
          <w:sz w:val="22"/>
          <w:szCs w:val="22"/>
        </w:rPr>
        <w:t xml:space="preserve"> </w:t>
      </w:r>
      <w:r w:rsidRPr="00224A1C">
        <w:rPr>
          <w:rFonts w:asciiTheme="minorHAnsi" w:hAnsiTheme="minorHAnsi"/>
          <w:sz w:val="22"/>
          <w:szCs w:val="22"/>
        </w:rPr>
        <w:t xml:space="preserve">millones </w:t>
      </w:r>
      <w:r w:rsidR="007F028A">
        <w:rPr>
          <w:rFonts w:asciiTheme="minorHAnsi" w:hAnsiTheme="minorHAnsi"/>
          <w:sz w:val="22"/>
          <w:szCs w:val="22"/>
        </w:rPr>
        <w:t>110</w:t>
      </w:r>
      <w:r>
        <w:rPr>
          <w:rFonts w:asciiTheme="minorHAnsi" w:hAnsiTheme="minorHAnsi"/>
          <w:sz w:val="22"/>
          <w:szCs w:val="22"/>
        </w:rPr>
        <w:t xml:space="preserve"> </w:t>
      </w:r>
      <w:r w:rsidRPr="00224A1C">
        <w:rPr>
          <w:rFonts w:asciiTheme="minorHAnsi" w:hAnsiTheme="minorHAnsi"/>
          <w:sz w:val="22"/>
          <w:szCs w:val="22"/>
        </w:rPr>
        <w:t>mil pesos.</w:t>
      </w:r>
    </w:p>
    <w:p w:rsidR="00946AD5" w:rsidRPr="00224A1C" w:rsidRDefault="00946AD5" w:rsidP="00946AD5">
      <w:pPr>
        <w:pStyle w:val="Default"/>
        <w:spacing w:line="30" w:lineRule="atLeast"/>
        <w:jc w:val="both"/>
        <w:rPr>
          <w:rFonts w:asciiTheme="minorHAnsi" w:hAnsiTheme="minorHAnsi"/>
          <w:sz w:val="22"/>
          <w:szCs w:val="22"/>
        </w:rPr>
      </w:pPr>
    </w:p>
    <w:p w:rsidR="00946AD5" w:rsidRPr="003E29EA" w:rsidRDefault="00946AD5" w:rsidP="00946AD5">
      <w:pPr>
        <w:pStyle w:val="Default"/>
        <w:spacing w:line="30" w:lineRule="atLeast"/>
        <w:jc w:val="both"/>
        <w:rPr>
          <w:rFonts w:asciiTheme="minorHAnsi" w:hAnsiTheme="minorHAnsi"/>
          <w:sz w:val="22"/>
          <w:szCs w:val="22"/>
        </w:rPr>
      </w:pPr>
      <w:r w:rsidRPr="00224A1C">
        <w:rPr>
          <w:rFonts w:asciiTheme="minorHAnsi" w:hAnsiTheme="minorHAnsi"/>
          <w:sz w:val="22"/>
          <w:szCs w:val="22"/>
        </w:rPr>
        <w:t>Dicho importe es utilizado para el pago de principal e intereses a los inversionistas y gastos de mantenimiento del Fideicomiso. Los recursos no ejercidos se encuentran provisionados en los</w:t>
      </w:r>
      <w:r w:rsidRPr="003E29EA">
        <w:rPr>
          <w:rFonts w:asciiTheme="minorHAnsi" w:hAnsiTheme="minorHAnsi"/>
          <w:sz w:val="22"/>
          <w:szCs w:val="22"/>
        </w:rPr>
        <w:t xml:space="preserve"> siguientes fondos: Fondo de Provisión y Pago de Intereses; y Fondo de Provisión y Pago de Principal; y Fondo de Entrega de Remanentes. </w:t>
      </w:r>
    </w:p>
    <w:p w:rsidR="00946AD5" w:rsidRPr="003E29EA" w:rsidRDefault="00946AD5" w:rsidP="00946AD5">
      <w:pPr>
        <w:pStyle w:val="Default"/>
        <w:spacing w:line="30" w:lineRule="atLeast"/>
        <w:jc w:val="both"/>
        <w:rPr>
          <w:rFonts w:asciiTheme="minorHAnsi" w:hAnsiTheme="minorHAnsi"/>
          <w:sz w:val="22"/>
          <w:szCs w:val="22"/>
        </w:rPr>
      </w:pPr>
    </w:p>
    <w:p w:rsidR="00946AD5" w:rsidRPr="003E29EA" w:rsidRDefault="00946AD5" w:rsidP="00946AD5">
      <w:pPr>
        <w:pStyle w:val="Default"/>
        <w:spacing w:line="30" w:lineRule="atLeast"/>
        <w:jc w:val="both"/>
        <w:rPr>
          <w:rFonts w:asciiTheme="minorHAnsi" w:hAnsiTheme="minorHAnsi"/>
          <w:b/>
          <w:bCs/>
          <w:sz w:val="22"/>
          <w:szCs w:val="22"/>
        </w:rPr>
      </w:pPr>
      <w:r w:rsidRPr="003E29EA">
        <w:rPr>
          <w:rFonts w:asciiTheme="minorHAnsi" w:hAnsiTheme="minorHAnsi"/>
          <w:b/>
          <w:bCs/>
          <w:sz w:val="22"/>
          <w:szCs w:val="22"/>
        </w:rPr>
        <w:t xml:space="preserve">RECURSOS PROVISIONADOS EN LOS FONDOS DEL FIDEICOMISO. </w:t>
      </w:r>
    </w:p>
    <w:p w:rsidR="00946AD5" w:rsidRPr="003E29EA" w:rsidRDefault="00946AD5" w:rsidP="00946AD5">
      <w:pPr>
        <w:pStyle w:val="Default"/>
        <w:spacing w:line="30" w:lineRule="atLeast"/>
        <w:jc w:val="both"/>
        <w:rPr>
          <w:rFonts w:asciiTheme="minorHAnsi" w:hAnsiTheme="minorHAnsi"/>
          <w:b/>
          <w:bCs/>
          <w:sz w:val="22"/>
          <w:szCs w:val="22"/>
        </w:rPr>
      </w:pPr>
    </w:p>
    <w:p w:rsidR="00946AD5" w:rsidRPr="003E29EA" w:rsidRDefault="00946AD5" w:rsidP="00946AD5">
      <w:pPr>
        <w:pStyle w:val="Default"/>
        <w:spacing w:line="30" w:lineRule="atLeast"/>
        <w:jc w:val="both"/>
        <w:rPr>
          <w:rFonts w:asciiTheme="minorHAnsi" w:hAnsiTheme="minorHAnsi"/>
          <w:sz w:val="22"/>
          <w:szCs w:val="22"/>
        </w:rPr>
      </w:pPr>
      <w:r w:rsidRPr="003E29EA">
        <w:rPr>
          <w:rFonts w:asciiTheme="minorHAnsi" w:hAnsiTheme="minorHAnsi"/>
          <w:sz w:val="22"/>
          <w:szCs w:val="22"/>
        </w:rPr>
        <w:t xml:space="preserve">El Contrato de Fideicomiso Emisor establece como mecanismo de operación, la creación de diversos fondos en los que se provisionan los recursos necesarios para el cumplimiento oportuno de las obligaciones contraídas; al </w:t>
      </w:r>
      <w:r w:rsidR="00E87407">
        <w:rPr>
          <w:rFonts w:asciiTheme="minorHAnsi" w:hAnsiTheme="minorHAnsi"/>
          <w:sz w:val="22"/>
          <w:szCs w:val="22"/>
        </w:rPr>
        <w:t>3</w:t>
      </w:r>
      <w:r w:rsidR="00046A6D">
        <w:rPr>
          <w:rFonts w:asciiTheme="minorHAnsi" w:hAnsiTheme="minorHAnsi"/>
          <w:sz w:val="22"/>
          <w:szCs w:val="22"/>
        </w:rPr>
        <w:t>1</w:t>
      </w:r>
      <w:r w:rsidR="00E87407">
        <w:rPr>
          <w:rFonts w:asciiTheme="minorHAnsi" w:hAnsiTheme="minorHAnsi"/>
          <w:sz w:val="22"/>
          <w:szCs w:val="22"/>
        </w:rPr>
        <w:t xml:space="preserve"> de </w:t>
      </w:r>
      <w:r w:rsidR="00046A6D">
        <w:rPr>
          <w:rFonts w:asciiTheme="minorHAnsi" w:hAnsiTheme="minorHAnsi"/>
          <w:sz w:val="22"/>
          <w:szCs w:val="22"/>
        </w:rPr>
        <w:t>diciembre</w:t>
      </w:r>
      <w:r w:rsidR="00E87407">
        <w:rPr>
          <w:rFonts w:asciiTheme="minorHAnsi" w:hAnsiTheme="minorHAnsi"/>
          <w:sz w:val="22"/>
          <w:szCs w:val="22"/>
        </w:rPr>
        <w:t xml:space="preserve"> de 2014</w:t>
      </w:r>
      <w:r w:rsidRPr="003E29EA">
        <w:rPr>
          <w:rFonts w:asciiTheme="minorHAnsi" w:hAnsiTheme="minorHAnsi"/>
          <w:sz w:val="22"/>
          <w:szCs w:val="22"/>
        </w:rPr>
        <w:t xml:space="preserve"> dichos Fondos ascienden a un total de </w:t>
      </w:r>
      <w:r w:rsidR="007F028A">
        <w:rPr>
          <w:rFonts w:asciiTheme="minorHAnsi" w:hAnsiTheme="minorHAnsi"/>
          <w:sz w:val="22"/>
          <w:szCs w:val="22"/>
        </w:rPr>
        <w:t>936</w:t>
      </w:r>
      <w:r w:rsidRPr="003E29EA">
        <w:rPr>
          <w:rFonts w:asciiTheme="minorHAnsi" w:hAnsiTheme="minorHAnsi"/>
          <w:sz w:val="22"/>
          <w:szCs w:val="22"/>
        </w:rPr>
        <w:t xml:space="preserve"> millones </w:t>
      </w:r>
      <w:r w:rsidR="007F028A">
        <w:rPr>
          <w:rFonts w:asciiTheme="minorHAnsi" w:hAnsiTheme="minorHAnsi"/>
          <w:sz w:val="22"/>
          <w:szCs w:val="22"/>
        </w:rPr>
        <w:t>359</w:t>
      </w:r>
      <w:r>
        <w:rPr>
          <w:rFonts w:asciiTheme="minorHAnsi" w:hAnsiTheme="minorHAnsi"/>
          <w:sz w:val="22"/>
          <w:szCs w:val="22"/>
        </w:rPr>
        <w:t xml:space="preserve"> </w:t>
      </w:r>
      <w:r w:rsidRPr="003E29EA">
        <w:rPr>
          <w:rFonts w:asciiTheme="minorHAnsi" w:hAnsiTheme="minorHAnsi"/>
          <w:sz w:val="22"/>
          <w:szCs w:val="22"/>
        </w:rPr>
        <w:t>mil pesos.</w:t>
      </w:r>
    </w:p>
    <w:p w:rsidR="00946AD5" w:rsidRDefault="00946AD5" w:rsidP="00946AD5">
      <w:pPr>
        <w:pStyle w:val="Default"/>
        <w:spacing w:line="30" w:lineRule="atLeast"/>
        <w:jc w:val="both"/>
        <w:rPr>
          <w:rFonts w:asciiTheme="minorHAnsi" w:hAnsiTheme="minorHAnsi"/>
          <w:sz w:val="22"/>
          <w:szCs w:val="22"/>
        </w:rPr>
      </w:pPr>
    </w:p>
    <w:p w:rsidR="00946AD5" w:rsidRPr="003E29EA" w:rsidRDefault="00946AD5" w:rsidP="00946AD5">
      <w:pPr>
        <w:pStyle w:val="Default"/>
        <w:spacing w:line="30" w:lineRule="atLeast"/>
        <w:jc w:val="both"/>
        <w:rPr>
          <w:rFonts w:asciiTheme="minorHAnsi" w:hAnsiTheme="minorHAnsi"/>
          <w:b/>
          <w:bCs/>
          <w:sz w:val="22"/>
          <w:szCs w:val="22"/>
        </w:rPr>
      </w:pPr>
      <w:r w:rsidRPr="003E29EA">
        <w:rPr>
          <w:rFonts w:asciiTheme="minorHAnsi" w:hAnsiTheme="minorHAnsi"/>
          <w:b/>
          <w:bCs/>
          <w:sz w:val="22"/>
          <w:szCs w:val="22"/>
        </w:rPr>
        <w:t xml:space="preserve">PROYECTOS DE PRESTACIÓN DE SERVICIOS A LARGO PLAZO. </w:t>
      </w:r>
    </w:p>
    <w:p w:rsidR="00946AD5" w:rsidRPr="003E29EA" w:rsidRDefault="00946AD5" w:rsidP="00946AD5">
      <w:pPr>
        <w:pStyle w:val="Default"/>
        <w:spacing w:line="30" w:lineRule="atLeast"/>
        <w:jc w:val="both"/>
        <w:rPr>
          <w:rFonts w:asciiTheme="minorHAnsi" w:hAnsiTheme="minorHAnsi"/>
          <w:b/>
          <w:bCs/>
          <w:sz w:val="22"/>
          <w:szCs w:val="22"/>
        </w:rPr>
      </w:pPr>
    </w:p>
    <w:p w:rsidR="00946AD5" w:rsidRDefault="00946AD5" w:rsidP="00946AD5">
      <w:pPr>
        <w:pStyle w:val="Default"/>
        <w:spacing w:line="30" w:lineRule="atLeast"/>
        <w:jc w:val="both"/>
        <w:rPr>
          <w:rFonts w:asciiTheme="minorHAnsi" w:hAnsiTheme="minorHAnsi"/>
          <w:sz w:val="22"/>
          <w:szCs w:val="22"/>
        </w:rPr>
      </w:pPr>
      <w:r w:rsidRPr="003E29EA">
        <w:rPr>
          <w:rFonts w:asciiTheme="minorHAnsi" w:hAnsiTheme="minorHAnsi"/>
          <w:sz w:val="22"/>
          <w:szCs w:val="22"/>
        </w:rPr>
        <w:t xml:space="preserve">En estas cuentas, se refleja el control y seguimiento de la aplicación de los recursos para los Proyectos de Prestación de Servicios a Largo Plazo para la creación de infraestructura, equipamiento y mantenimiento para la disponibilidad de la Ciudad Administrativa ubicada en </w:t>
      </w:r>
      <w:proofErr w:type="spellStart"/>
      <w:r w:rsidRPr="003E29EA">
        <w:rPr>
          <w:rFonts w:asciiTheme="minorHAnsi" w:hAnsiTheme="minorHAnsi"/>
          <w:sz w:val="22"/>
          <w:szCs w:val="22"/>
        </w:rPr>
        <w:lastRenderedPageBreak/>
        <w:t>Tlalixtac</w:t>
      </w:r>
      <w:proofErr w:type="spellEnd"/>
      <w:r w:rsidRPr="003E29EA">
        <w:rPr>
          <w:rFonts w:asciiTheme="minorHAnsi" w:hAnsiTheme="minorHAnsi"/>
          <w:sz w:val="22"/>
          <w:szCs w:val="22"/>
        </w:rPr>
        <w:t xml:space="preserve"> de Cabrera, Oaxaca,</w:t>
      </w:r>
      <w:r>
        <w:rPr>
          <w:rFonts w:asciiTheme="minorHAnsi" w:hAnsiTheme="minorHAnsi"/>
          <w:sz w:val="22"/>
          <w:szCs w:val="22"/>
        </w:rPr>
        <w:t xml:space="preserve"> cuyo importe refleja un saldo de </w:t>
      </w:r>
      <w:r w:rsidR="007F028A">
        <w:rPr>
          <w:rFonts w:asciiTheme="minorHAnsi" w:hAnsiTheme="minorHAnsi"/>
          <w:sz w:val="22"/>
          <w:szCs w:val="22"/>
        </w:rPr>
        <w:t>885</w:t>
      </w:r>
      <w:r w:rsidR="00297D92">
        <w:rPr>
          <w:rFonts w:asciiTheme="minorHAnsi" w:hAnsiTheme="minorHAnsi"/>
          <w:sz w:val="22"/>
          <w:szCs w:val="22"/>
        </w:rPr>
        <w:t xml:space="preserve"> </w:t>
      </w:r>
      <w:r>
        <w:rPr>
          <w:rFonts w:asciiTheme="minorHAnsi" w:hAnsiTheme="minorHAnsi"/>
          <w:sz w:val="22"/>
          <w:szCs w:val="22"/>
        </w:rPr>
        <w:t xml:space="preserve">millones </w:t>
      </w:r>
      <w:r w:rsidR="007F028A">
        <w:rPr>
          <w:rFonts w:asciiTheme="minorHAnsi" w:hAnsiTheme="minorHAnsi"/>
          <w:sz w:val="22"/>
          <w:szCs w:val="22"/>
        </w:rPr>
        <w:t>678</w:t>
      </w:r>
      <w:r>
        <w:rPr>
          <w:rFonts w:asciiTheme="minorHAnsi" w:hAnsiTheme="minorHAnsi"/>
          <w:sz w:val="22"/>
          <w:szCs w:val="22"/>
        </w:rPr>
        <w:t xml:space="preserve"> mil pesos, de igual forma</w:t>
      </w:r>
      <w:r w:rsidRPr="003E29EA">
        <w:rPr>
          <w:rFonts w:asciiTheme="minorHAnsi" w:hAnsiTheme="minorHAnsi"/>
          <w:sz w:val="22"/>
          <w:szCs w:val="22"/>
        </w:rPr>
        <w:t xml:space="preserve"> </w:t>
      </w:r>
      <w:r>
        <w:rPr>
          <w:rFonts w:asciiTheme="minorHAnsi" w:hAnsiTheme="minorHAnsi"/>
          <w:sz w:val="22"/>
          <w:szCs w:val="22"/>
        </w:rPr>
        <w:t xml:space="preserve">el Centro Administrativo del Poder Ejecutivo y Judicial “General Porfirio Díaz” Soldado de la </w:t>
      </w:r>
      <w:r w:rsidRPr="00AD374E">
        <w:rPr>
          <w:rFonts w:asciiTheme="minorHAnsi" w:hAnsiTheme="minorHAnsi"/>
          <w:sz w:val="22"/>
          <w:szCs w:val="22"/>
        </w:rPr>
        <w:t xml:space="preserve">Patria, ubicado en Reyes Mantecón, San Bartolo </w:t>
      </w:r>
      <w:proofErr w:type="spellStart"/>
      <w:r w:rsidRPr="00AD374E">
        <w:rPr>
          <w:rFonts w:asciiTheme="minorHAnsi" w:hAnsiTheme="minorHAnsi"/>
          <w:sz w:val="22"/>
          <w:szCs w:val="22"/>
        </w:rPr>
        <w:t>Coyotepec</w:t>
      </w:r>
      <w:proofErr w:type="spellEnd"/>
      <w:r w:rsidRPr="00AD374E">
        <w:rPr>
          <w:rFonts w:asciiTheme="minorHAnsi" w:hAnsiTheme="minorHAnsi"/>
          <w:sz w:val="22"/>
          <w:szCs w:val="22"/>
        </w:rPr>
        <w:t xml:space="preserve">, Oaxaca, por </w:t>
      </w:r>
      <w:r w:rsidR="007F028A">
        <w:rPr>
          <w:rFonts w:asciiTheme="minorHAnsi" w:hAnsiTheme="minorHAnsi"/>
          <w:sz w:val="22"/>
          <w:szCs w:val="22"/>
        </w:rPr>
        <w:t>un</w:t>
      </w:r>
      <w:r w:rsidR="00297D92">
        <w:rPr>
          <w:rFonts w:asciiTheme="minorHAnsi" w:hAnsiTheme="minorHAnsi"/>
          <w:sz w:val="22"/>
          <w:szCs w:val="22"/>
        </w:rPr>
        <w:t xml:space="preserve"> </w:t>
      </w:r>
      <w:r w:rsidR="00E4492E" w:rsidRPr="00AD374E">
        <w:rPr>
          <w:rFonts w:asciiTheme="minorHAnsi" w:hAnsiTheme="minorHAnsi"/>
          <w:sz w:val="22"/>
          <w:szCs w:val="22"/>
        </w:rPr>
        <w:t xml:space="preserve">mil </w:t>
      </w:r>
      <w:r w:rsidR="007F028A">
        <w:rPr>
          <w:rFonts w:asciiTheme="minorHAnsi" w:hAnsiTheme="minorHAnsi"/>
          <w:sz w:val="22"/>
          <w:szCs w:val="22"/>
        </w:rPr>
        <w:t xml:space="preserve">710 </w:t>
      </w:r>
      <w:r w:rsidRPr="00AD374E">
        <w:rPr>
          <w:rFonts w:asciiTheme="minorHAnsi" w:hAnsiTheme="minorHAnsi"/>
          <w:sz w:val="22"/>
          <w:szCs w:val="22"/>
        </w:rPr>
        <w:t xml:space="preserve">millones </w:t>
      </w:r>
      <w:r w:rsidR="007F028A">
        <w:rPr>
          <w:rFonts w:asciiTheme="minorHAnsi" w:hAnsiTheme="minorHAnsi"/>
          <w:sz w:val="22"/>
          <w:szCs w:val="22"/>
        </w:rPr>
        <w:t>78</w:t>
      </w:r>
      <w:r w:rsidRPr="00AD374E">
        <w:rPr>
          <w:rFonts w:asciiTheme="minorHAnsi" w:hAnsiTheme="minorHAnsi"/>
          <w:sz w:val="22"/>
          <w:szCs w:val="22"/>
        </w:rPr>
        <w:t xml:space="preserve"> mil pesos; toda vez que a la conclusión del contrato, parte del importe acumulado reflejado en esta cuenta será la base para el registro patrimonial de los bienes (muebles e inmuebles) afectos en los contratos respectivos.</w:t>
      </w:r>
    </w:p>
    <w:p w:rsidR="00946AD5" w:rsidRDefault="00946AD5" w:rsidP="00946AD5">
      <w:pPr>
        <w:pStyle w:val="Default"/>
        <w:spacing w:line="30" w:lineRule="atLeast"/>
        <w:jc w:val="both"/>
        <w:rPr>
          <w:rFonts w:asciiTheme="minorHAnsi" w:hAnsiTheme="minorHAnsi"/>
          <w:sz w:val="22"/>
          <w:szCs w:val="22"/>
        </w:rPr>
      </w:pPr>
    </w:p>
    <w:p w:rsidR="00946AD5" w:rsidRPr="00494AAB" w:rsidRDefault="00946AD5" w:rsidP="00946AD5">
      <w:pPr>
        <w:spacing w:line="30" w:lineRule="atLeast"/>
        <w:rPr>
          <w:b/>
        </w:rPr>
      </w:pPr>
      <w:r w:rsidRPr="00494AAB">
        <w:rPr>
          <w:b/>
        </w:rPr>
        <w:t>FIDEICOMISO DE SUSTITUCIÓN DE INGRESOS.</w:t>
      </w:r>
    </w:p>
    <w:p w:rsidR="00946AD5" w:rsidRPr="00494AAB" w:rsidRDefault="00946AD5" w:rsidP="00946AD5">
      <w:pPr>
        <w:pStyle w:val="Default"/>
        <w:spacing w:line="30" w:lineRule="atLeast"/>
        <w:jc w:val="both"/>
        <w:rPr>
          <w:rFonts w:asciiTheme="minorHAnsi" w:hAnsiTheme="minorHAnsi"/>
          <w:color w:val="auto"/>
          <w:sz w:val="22"/>
          <w:szCs w:val="22"/>
        </w:rPr>
      </w:pPr>
      <w:r w:rsidRPr="00494AAB">
        <w:rPr>
          <w:rFonts w:asciiTheme="minorHAnsi" w:hAnsiTheme="minorHAnsi"/>
          <w:color w:val="auto"/>
          <w:sz w:val="22"/>
          <w:szCs w:val="22"/>
        </w:rPr>
        <w:t xml:space="preserve">El contrato del fideicomiso emisor establece al Gobierno del Estado la obligación de constituir un fideicomiso de sustitución de ingresos que funcione como mecanismo de afectación y/o transferencia de los ingresos derivados del impuesto sobre tenencia o uso de vehículos local y federal, en caso de que existiera una sustitución o disminución de los ingresos </w:t>
      </w:r>
      <w:proofErr w:type="spellStart"/>
      <w:r w:rsidRPr="00494AAB">
        <w:rPr>
          <w:rFonts w:asciiTheme="minorHAnsi" w:hAnsiTheme="minorHAnsi"/>
          <w:color w:val="auto"/>
          <w:sz w:val="22"/>
          <w:szCs w:val="22"/>
        </w:rPr>
        <w:t>bursatilizados</w:t>
      </w:r>
      <w:proofErr w:type="spellEnd"/>
      <w:r w:rsidRPr="00494AAB">
        <w:rPr>
          <w:rFonts w:asciiTheme="minorHAnsi" w:hAnsiTheme="minorHAnsi"/>
          <w:color w:val="auto"/>
          <w:sz w:val="22"/>
          <w:szCs w:val="22"/>
        </w:rPr>
        <w:t xml:space="preserve"> afectos al fideicomiso emisor.</w:t>
      </w:r>
    </w:p>
    <w:p w:rsidR="00946AD5" w:rsidRDefault="00946AD5" w:rsidP="00946AD5">
      <w:pPr>
        <w:pStyle w:val="Default"/>
        <w:spacing w:line="30" w:lineRule="atLeast"/>
        <w:jc w:val="both"/>
        <w:rPr>
          <w:rFonts w:asciiTheme="minorHAnsi" w:hAnsiTheme="minorHAnsi"/>
          <w:sz w:val="22"/>
          <w:szCs w:val="22"/>
        </w:rPr>
      </w:pPr>
    </w:p>
    <w:p w:rsidR="005411E0" w:rsidRDefault="005411E0">
      <w:pPr>
        <w:rPr>
          <w:rFonts w:cs="Times New Roman"/>
          <w:b/>
          <w:sz w:val="28"/>
          <w:szCs w:val="28"/>
          <w:u w:val="single"/>
        </w:rPr>
      </w:pPr>
      <w:r>
        <w:rPr>
          <w:rFonts w:cs="Times New Roman"/>
          <w:b/>
          <w:sz w:val="28"/>
          <w:szCs w:val="28"/>
          <w:u w:val="single"/>
        </w:rPr>
        <w:br w:type="page"/>
      </w:r>
    </w:p>
    <w:p w:rsidR="00AC5EB1" w:rsidRPr="00AC5EB1" w:rsidRDefault="00B12720" w:rsidP="00AC5EB1">
      <w:pPr>
        <w:rPr>
          <w:rFonts w:cs="Times New Roman"/>
          <w:b/>
          <w:sz w:val="28"/>
          <w:szCs w:val="28"/>
        </w:rPr>
      </w:pPr>
      <w:r>
        <w:rPr>
          <w:rFonts w:cs="Times New Roman"/>
          <w:b/>
          <w:sz w:val="28"/>
          <w:szCs w:val="28"/>
        </w:rPr>
        <w:lastRenderedPageBreak/>
        <w:t>5</w:t>
      </w:r>
      <w:r w:rsidR="00AC5EB1" w:rsidRPr="00AC5EB1">
        <w:rPr>
          <w:rFonts w:cs="Times New Roman"/>
          <w:b/>
          <w:sz w:val="28"/>
          <w:szCs w:val="28"/>
        </w:rPr>
        <w:t xml:space="preserve">.- </w:t>
      </w:r>
      <w:r w:rsidR="00AC5EB1">
        <w:rPr>
          <w:rFonts w:cs="Times New Roman"/>
          <w:b/>
          <w:sz w:val="28"/>
          <w:szCs w:val="28"/>
        </w:rPr>
        <w:t>N</w:t>
      </w:r>
      <w:r w:rsidR="00AC5EB1" w:rsidRPr="00AC5EB1">
        <w:rPr>
          <w:rFonts w:cs="Times New Roman"/>
          <w:b/>
          <w:sz w:val="28"/>
          <w:szCs w:val="28"/>
        </w:rPr>
        <w:t xml:space="preserve">OTAS DE </w:t>
      </w:r>
      <w:r w:rsidR="00AC5EB1">
        <w:rPr>
          <w:rFonts w:cs="Times New Roman"/>
          <w:b/>
          <w:sz w:val="28"/>
          <w:szCs w:val="28"/>
        </w:rPr>
        <w:t>GESTIÓN ADMINISTRATIVA</w:t>
      </w:r>
    </w:p>
    <w:p w:rsidR="005411E0" w:rsidRPr="005411E0" w:rsidRDefault="005411E0" w:rsidP="00A55425">
      <w:pPr>
        <w:pStyle w:val="Sinespaciado"/>
        <w:jc w:val="both"/>
        <w:rPr>
          <w:rFonts w:cs="Times New Roman"/>
          <w:b/>
        </w:rPr>
      </w:pPr>
    </w:p>
    <w:p w:rsidR="00D910B4" w:rsidRPr="005411E0" w:rsidRDefault="00D910B4" w:rsidP="00B61002">
      <w:pPr>
        <w:pStyle w:val="Sinespaciado"/>
        <w:jc w:val="both"/>
        <w:rPr>
          <w:rFonts w:cs="Times New Roman"/>
        </w:rPr>
      </w:pPr>
      <w:r w:rsidRPr="005411E0">
        <w:rPr>
          <w:rFonts w:cs="Times New Roman"/>
        </w:rPr>
        <w:t>El presente documento es la revelación del contexto y de los aspectos económicos-financieros más relevantes que influyeron en las decisiones del periodo, y que deberán ser considerados en la elaboración de los estados financieros para la mayor comprensión de los mismos y sus particularidades.</w:t>
      </w:r>
    </w:p>
    <w:p w:rsidR="009D2AC3" w:rsidRPr="005411E0" w:rsidRDefault="009D2AC3" w:rsidP="00B61002">
      <w:pPr>
        <w:pStyle w:val="Sinespaciado"/>
        <w:jc w:val="both"/>
        <w:rPr>
          <w:rFonts w:cs="Times New Roman"/>
        </w:rPr>
      </w:pPr>
    </w:p>
    <w:p w:rsidR="00D910B4" w:rsidRPr="005411E0" w:rsidRDefault="00D910B4" w:rsidP="00B61002">
      <w:pPr>
        <w:jc w:val="both"/>
        <w:rPr>
          <w:rFonts w:cs="Times New Roman"/>
        </w:rPr>
      </w:pPr>
      <w:r w:rsidRPr="005411E0">
        <w:rPr>
          <w:rFonts w:cs="Times New Roman"/>
        </w:rPr>
        <w:t>De esta manera, se informa y explica la respuesta del gobierno a las condiciones relacionadas con la información financiera de cada periodo de gestión; además, de exponer aquellas políticas que podrían afectar la toma de decisiones en periodos posteriores</w:t>
      </w:r>
    </w:p>
    <w:p w:rsidR="00D910B4" w:rsidRPr="005411E0" w:rsidRDefault="00A130D2" w:rsidP="00D910B4">
      <w:pPr>
        <w:jc w:val="both"/>
        <w:rPr>
          <w:rFonts w:cs="Times New Roman"/>
          <w:b/>
        </w:rPr>
      </w:pPr>
      <w:r w:rsidRPr="005411E0">
        <w:rPr>
          <w:rFonts w:cs="Times New Roman"/>
          <w:b/>
        </w:rPr>
        <w:t xml:space="preserve">1. </w:t>
      </w:r>
      <w:r w:rsidR="006D7297" w:rsidRPr="005411E0">
        <w:rPr>
          <w:rFonts w:cs="Times New Roman"/>
          <w:b/>
        </w:rPr>
        <w:t>O</w:t>
      </w:r>
      <w:r w:rsidR="00D910B4" w:rsidRPr="005411E0">
        <w:rPr>
          <w:rFonts w:cs="Times New Roman"/>
          <w:b/>
        </w:rPr>
        <w:t>rganización y objeto social</w:t>
      </w:r>
    </w:p>
    <w:p w:rsidR="00D910B4" w:rsidRPr="005411E0" w:rsidRDefault="00D910B4" w:rsidP="00A130D2">
      <w:pPr>
        <w:ind w:left="708"/>
        <w:jc w:val="both"/>
        <w:rPr>
          <w:rFonts w:cs="Times New Roman"/>
        </w:rPr>
      </w:pPr>
      <w:r w:rsidRPr="005411E0">
        <w:rPr>
          <w:rFonts w:cs="Times New Roman"/>
        </w:rPr>
        <w:t>a) objeto social.</w:t>
      </w:r>
    </w:p>
    <w:p w:rsidR="00D910B4" w:rsidRPr="005411E0" w:rsidRDefault="00D910B4" w:rsidP="00A130D2">
      <w:pPr>
        <w:ind w:left="708"/>
        <w:jc w:val="both"/>
        <w:rPr>
          <w:rFonts w:cs="Times New Roman"/>
        </w:rPr>
      </w:pPr>
      <w:r w:rsidRPr="005411E0">
        <w:rPr>
          <w:rFonts w:cs="Times New Roman"/>
        </w:rPr>
        <w:t>La Administración Pública del Estado conducirá sus actividades en forma programada, con base en las políticas de planeación que establezca el Titular del Ejecutivo del Estado para el logro de los objetivos y prioridades de desarrollo y en los términos que fijen los convenios de coordinación respectivos, para la ejecución de los planes Nacional y Estatal de Desarrollo y los correspondientes programas de la Administración Pública.</w:t>
      </w:r>
    </w:p>
    <w:p w:rsidR="00D910B4" w:rsidRPr="005411E0" w:rsidRDefault="00D910B4" w:rsidP="00A130D2">
      <w:pPr>
        <w:ind w:left="708"/>
        <w:jc w:val="both"/>
        <w:rPr>
          <w:rFonts w:cs="Times New Roman"/>
        </w:rPr>
      </w:pPr>
      <w:r w:rsidRPr="005411E0">
        <w:rPr>
          <w:rFonts w:cs="Times New Roman"/>
        </w:rPr>
        <w:t>b) Principal actividad</w:t>
      </w:r>
    </w:p>
    <w:p w:rsidR="00D910B4" w:rsidRPr="005411E0" w:rsidRDefault="00D910B4" w:rsidP="00A130D2">
      <w:pPr>
        <w:ind w:left="708"/>
        <w:jc w:val="both"/>
        <w:rPr>
          <w:rFonts w:cs="Times New Roman"/>
        </w:rPr>
      </w:pPr>
      <w:r w:rsidRPr="005411E0">
        <w:rPr>
          <w:rFonts w:cs="Times New Roman"/>
        </w:rPr>
        <w:t>La administración Pública centralizada del Estado, es parte del poder Ejecutivo del Gobierno del Estado, para la realización de actos administrativos, jurídicos y materiales, para la prestación de los servicios públicos y la producción de bienes para satisfacer las necesidades colectivas.</w:t>
      </w:r>
    </w:p>
    <w:p w:rsidR="00D910B4" w:rsidRPr="005411E0" w:rsidRDefault="005411E0" w:rsidP="00A130D2">
      <w:pPr>
        <w:ind w:left="708"/>
        <w:jc w:val="both"/>
        <w:rPr>
          <w:rFonts w:cs="Times New Roman"/>
        </w:rPr>
      </w:pPr>
      <w:r>
        <w:rPr>
          <w:rFonts w:cs="Times New Roman"/>
        </w:rPr>
        <w:t>c</w:t>
      </w:r>
      <w:r w:rsidR="00D910B4" w:rsidRPr="005411E0">
        <w:rPr>
          <w:rFonts w:cs="Times New Roman"/>
        </w:rPr>
        <w:t>) Régimen Jurídico.</w:t>
      </w:r>
    </w:p>
    <w:p w:rsidR="00B61002" w:rsidRPr="005411E0" w:rsidRDefault="00B61002" w:rsidP="00A130D2">
      <w:pPr>
        <w:ind w:firstLine="708"/>
        <w:jc w:val="both"/>
      </w:pPr>
      <w:r w:rsidRPr="005411E0">
        <w:t>El Poder ejecutivo está regulado por lo siguiente:</w:t>
      </w:r>
    </w:p>
    <w:p w:rsidR="00B61002" w:rsidRPr="005411E0" w:rsidRDefault="00B61002" w:rsidP="00B61002">
      <w:pPr>
        <w:pStyle w:val="Prrafodelista"/>
        <w:numPr>
          <w:ilvl w:val="0"/>
          <w:numId w:val="5"/>
        </w:numPr>
        <w:jc w:val="both"/>
      </w:pPr>
      <w:r w:rsidRPr="005411E0">
        <w:t>La Constitución de los Estados Unidos Mexicanos.</w:t>
      </w:r>
    </w:p>
    <w:p w:rsidR="00B61002" w:rsidRPr="005411E0" w:rsidRDefault="00B61002" w:rsidP="00B61002">
      <w:pPr>
        <w:pStyle w:val="Prrafodelista"/>
        <w:numPr>
          <w:ilvl w:val="0"/>
          <w:numId w:val="5"/>
        </w:numPr>
        <w:jc w:val="both"/>
      </w:pPr>
      <w:r w:rsidRPr="005411E0">
        <w:t>La Constitución del Estado de Oaxaca.</w:t>
      </w:r>
    </w:p>
    <w:p w:rsidR="00B61002" w:rsidRPr="005411E0" w:rsidRDefault="00B61002" w:rsidP="00B61002">
      <w:pPr>
        <w:pStyle w:val="Prrafodelista"/>
        <w:numPr>
          <w:ilvl w:val="0"/>
          <w:numId w:val="5"/>
        </w:numPr>
        <w:jc w:val="both"/>
      </w:pPr>
      <w:r w:rsidRPr="005411E0">
        <w:t>El Código de la Administración Pública Del Estado De Oaxaca.</w:t>
      </w:r>
    </w:p>
    <w:p w:rsidR="00B61002" w:rsidRPr="005411E0" w:rsidRDefault="00B61002" w:rsidP="00B61002">
      <w:pPr>
        <w:pStyle w:val="Prrafodelista"/>
        <w:numPr>
          <w:ilvl w:val="0"/>
          <w:numId w:val="5"/>
        </w:numPr>
        <w:jc w:val="both"/>
      </w:pPr>
      <w:r w:rsidRPr="005411E0">
        <w:t>El Reglamento de la Administración Pública del Estado de Oaxaca</w:t>
      </w:r>
    </w:p>
    <w:p w:rsidR="00B61002" w:rsidRPr="005411E0" w:rsidRDefault="00B61002" w:rsidP="00B61002">
      <w:pPr>
        <w:pStyle w:val="Prrafodelista"/>
        <w:numPr>
          <w:ilvl w:val="0"/>
          <w:numId w:val="5"/>
        </w:numPr>
        <w:jc w:val="both"/>
      </w:pPr>
      <w:r w:rsidRPr="005411E0">
        <w:t>La Ley de Presupuesto y Contabilidad Gubernamental del Estado de Oaxaca y su Reglamento.</w:t>
      </w:r>
    </w:p>
    <w:p w:rsidR="00B61002" w:rsidRPr="005411E0" w:rsidRDefault="00B61002" w:rsidP="00B61002">
      <w:pPr>
        <w:pStyle w:val="Prrafodelista"/>
        <w:numPr>
          <w:ilvl w:val="0"/>
          <w:numId w:val="5"/>
        </w:numPr>
        <w:jc w:val="both"/>
      </w:pPr>
      <w:r w:rsidRPr="005411E0">
        <w:t>La ley General de Contabilidad Gubernamental.</w:t>
      </w:r>
    </w:p>
    <w:p w:rsidR="00B61002" w:rsidRPr="005411E0" w:rsidRDefault="00B61002" w:rsidP="00B61002">
      <w:pPr>
        <w:pStyle w:val="Prrafodelista"/>
        <w:numPr>
          <w:ilvl w:val="0"/>
          <w:numId w:val="5"/>
        </w:numPr>
        <w:jc w:val="both"/>
      </w:pPr>
      <w:r w:rsidRPr="005411E0">
        <w:t>La Ley de Responsabilidades de los Servidores Públicos del Estado de Oaxaca.</w:t>
      </w:r>
    </w:p>
    <w:p w:rsidR="00B61002" w:rsidRPr="005411E0" w:rsidRDefault="00B61002" w:rsidP="00B61002">
      <w:pPr>
        <w:pStyle w:val="Prrafodelista"/>
        <w:numPr>
          <w:ilvl w:val="0"/>
          <w:numId w:val="5"/>
        </w:numPr>
        <w:jc w:val="both"/>
      </w:pPr>
      <w:r w:rsidRPr="005411E0">
        <w:lastRenderedPageBreak/>
        <w:t>La Ley de Adquisiciones, Arrendamientos y Prestaciones de Servicios relacionados con Bienes Muebles.</w:t>
      </w:r>
    </w:p>
    <w:p w:rsidR="00B61002" w:rsidRPr="005411E0" w:rsidRDefault="00B61002" w:rsidP="00B61002">
      <w:pPr>
        <w:pStyle w:val="Prrafodelista"/>
        <w:numPr>
          <w:ilvl w:val="0"/>
          <w:numId w:val="5"/>
        </w:numPr>
        <w:jc w:val="both"/>
      </w:pPr>
      <w:r w:rsidRPr="005411E0">
        <w:t>La Ley de Fiscalización de la Cuenta Pública del Estado de Oaxaca y su Reglamento.</w:t>
      </w:r>
    </w:p>
    <w:p w:rsidR="00B61002" w:rsidRPr="005411E0" w:rsidRDefault="00B61002" w:rsidP="00B61002">
      <w:pPr>
        <w:pStyle w:val="Prrafodelista"/>
        <w:numPr>
          <w:ilvl w:val="0"/>
          <w:numId w:val="5"/>
        </w:numPr>
        <w:jc w:val="both"/>
      </w:pPr>
      <w:r w:rsidRPr="005411E0">
        <w:t>Entre otras.</w:t>
      </w:r>
    </w:p>
    <w:p w:rsidR="00D910B4" w:rsidRPr="005411E0" w:rsidRDefault="005411E0" w:rsidP="00A130D2">
      <w:pPr>
        <w:ind w:left="708"/>
        <w:jc w:val="both"/>
        <w:rPr>
          <w:rFonts w:cs="Times New Roman"/>
        </w:rPr>
      </w:pPr>
      <w:r>
        <w:rPr>
          <w:rFonts w:cs="Times New Roman"/>
        </w:rPr>
        <w:t>d</w:t>
      </w:r>
      <w:r w:rsidR="00DD24EC" w:rsidRPr="005411E0">
        <w:rPr>
          <w:rFonts w:cs="Times New Roman"/>
        </w:rPr>
        <w:t xml:space="preserve">) </w:t>
      </w:r>
      <w:r w:rsidR="00D04AED" w:rsidRPr="005411E0">
        <w:rPr>
          <w:rFonts w:cs="Times New Roman"/>
        </w:rPr>
        <w:t>C</w:t>
      </w:r>
      <w:r w:rsidR="00DD24EC" w:rsidRPr="005411E0">
        <w:rPr>
          <w:rFonts w:cs="Times New Roman"/>
        </w:rPr>
        <w:t>onsideraciones fiscales del</w:t>
      </w:r>
      <w:r w:rsidR="00D910B4" w:rsidRPr="005411E0">
        <w:rPr>
          <w:rFonts w:cs="Times New Roman"/>
        </w:rPr>
        <w:t xml:space="preserve"> ente: revelar el tipo de contribuciones que esté obligado a pagar o retener.</w:t>
      </w:r>
    </w:p>
    <w:p w:rsidR="00D910B4" w:rsidRPr="005411E0" w:rsidRDefault="00D910B4" w:rsidP="00A101A3">
      <w:pPr>
        <w:ind w:left="708"/>
        <w:jc w:val="both"/>
        <w:rPr>
          <w:rFonts w:cs="Times New Roman"/>
        </w:rPr>
      </w:pPr>
      <w:r w:rsidRPr="005411E0">
        <w:rPr>
          <w:rFonts w:cs="Times New Roman"/>
        </w:rPr>
        <w:t>El Poder Ejecutivo es un organismo de la Administración Pública</w:t>
      </w:r>
      <w:r w:rsidR="008C503F" w:rsidRPr="005411E0">
        <w:rPr>
          <w:rFonts w:cs="Times New Roman"/>
        </w:rPr>
        <w:t>.</w:t>
      </w:r>
      <w:r w:rsidRPr="005411E0">
        <w:rPr>
          <w:rFonts w:cs="Times New Roman"/>
        </w:rPr>
        <w:t xml:space="preserve"> Las obligaciones fiscales de la administración Pública centralizada del estado son las siguientes.</w:t>
      </w:r>
    </w:p>
    <w:p w:rsidR="00D910B4" w:rsidRPr="005411E0" w:rsidRDefault="00D910B4" w:rsidP="00D910B4">
      <w:pPr>
        <w:pStyle w:val="Prrafodelista"/>
        <w:numPr>
          <w:ilvl w:val="0"/>
          <w:numId w:val="6"/>
        </w:numPr>
        <w:jc w:val="both"/>
        <w:rPr>
          <w:rFonts w:eastAsiaTheme="minorHAnsi" w:cs="Times New Roman"/>
          <w:lang w:eastAsia="en-US"/>
        </w:rPr>
      </w:pPr>
      <w:r w:rsidRPr="005411E0">
        <w:rPr>
          <w:rFonts w:eastAsiaTheme="minorHAnsi" w:cs="Times New Roman"/>
          <w:lang w:eastAsia="en-US"/>
        </w:rPr>
        <w:t>Declaración y Pago Provisional Mensual de Retenciones de Impuesto Sobre la Renta (ISR) por Sueldos y Salarios.</w:t>
      </w:r>
    </w:p>
    <w:p w:rsidR="00D910B4" w:rsidRPr="005411E0" w:rsidRDefault="00D910B4" w:rsidP="00D910B4">
      <w:pPr>
        <w:pStyle w:val="Prrafodelista"/>
        <w:numPr>
          <w:ilvl w:val="0"/>
          <w:numId w:val="6"/>
        </w:numPr>
        <w:jc w:val="both"/>
        <w:rPr>
          <w:rFonts w:eastAsiaTheme="minorHAnsi" w:cs="Times New Roman"/>
          <w:lang w:eastAsia="en-US"/>
        </w:rPr>
      </w:pPr>
      <w:r w:rsidRPr="005411E0">
        <w:rPr>
          <w:rFonts w:eastAsiaTheme="minorHAnsi" w:cs="Times New Roman"/>
          <w:lang w:eastAsia="en-US"/>
        </w:rPr>
        <w:t>Declaración anual de Impuesto Sobre la Renta (ISR) donde informe sobre los pagos y retenciones de Servicios Profesionales.</w:t>
      </w:r>
    </w:p>
    <w:p w:rsidR="00D910B4" w:rsidRPr="005411E0" w:rsidRDefault="00D910B4" w:rsidP="00D910B4">
      <w:pPr>
        <w:pStyle w:val="Prrafodelista"/>
        <w:numPr>
          <w:ilvl w:val="0"/>
          <w:numId w:val="6"/>
        </w:numPr>
        <w:jc w:val="both"/>
        <w:rPr>
          <w:rFonts w:eastAsiaTheme="minorHAnsi" w:cs="Times New Roman"/>
          <w:lang w:eastAsia="en-US"/>
        </w:rPr>
      </w:pPr>
      <w:r w:rsidRPr="005411E0">
        <w:rPr>
          <w:rFonts w:eastAsiaTheme="minorHAnsi" w:cs="Times New Roman"/>
          <w:lang w:eastAsia="en-US"/>
        </w:rPr>
        <w:t>Declaración anual de Impuesto Sobre la Renta (ISR) donde informe de las retenciones efectuadas por pagos de Rentas de Bienes Inmuebles.</w:t>
      </w:r>
    </w:p>
    <w:p w:rsidR="00D910B4" w:rsidRPr="005411E0" w:rsidRDefault="00D910B4" w:rsidP="00D910B4">
      <w:pPr>
        <w:pStyle w:val="Prrafodelista"/>
        <w:numPr>
          <w:ilvl w:val="0"/>
          <w:numId w:val="6"/>
        </w:numPr>
        <w:jc w:val="both"/>
        <w:rPr>
          <w:rFonts w:eastAsiaTheme="minorHAnsi" w:cs="Times New Roman"/>
          <w:lang w:eastAsia="en-US"/>
        </w:rPr>
      </w:pPr>
      <w:r w:rsidRPr="005411E0">
        <w:rPr>
          <w:rFonts w:eastAsiaTheme="minorHAnsi" w:cs="Times New Roman"/>
          <w:lang w:eastAsia="en-US"/>
        </w:rPr>
        <w:t>Declaración anual donde se informe sobre las retenciones de los trabajadores que recibieron Sueldos y Salarios y Trabajadores asimilables a salarios.</w:t>
      </w:r>
    </w:p>
    <w:p w:rsidR="00D910B4" w:rsidRPr="005411E0" w:rsidRDefault="00D910B4" w:rsidP="00D910B4">
      <w:pPr>
        <w:pStyle w:val="Prrafodelista"/>
        <w:numPr>
          <w:ilvl w:val="0"/>
          <w:numId w:val="6"/>
        </w:numPr>
        <w:jc w:val="both"/>
        <w:rPr>
          <w:rFonts w:eastAsiaTheme="minorHAnsi" w:cs="Times New Roman"/>
          <w:lang w:eastAsia="en-US"/>
        </w:rPr>
      </w:pPr>
      <w:r w:rsidRPr="005411E0">
        <w:rPr>
          <w:rFonts w:eastAsiaTheme="minorHAnsi" w:cs="Times New Roman"/>
          <w:lang w:eastAsia="en-US"/>
        </w:rPr>
        <w:t>Declaración y Pago Provisional Mensual de Impuesto Sobre la Renta (ISR) por retenciones realizadas por Servicios Profesionales.</w:t>
      </w:r>
    </w:p>
    <w:p w:rsidR="00D910B4" w:rsidRPr="005411E0" w:rsidRDefault="00D910B4" w:rsidP="00D910B4">
      <w:pPr>
        <w:pStyle w:val="Prrafodelista"/>
        <w:numPr>
          <w:ilvl w:val="0"/>
          <w:numId w:val="6"/>
        </w:numPr>
        <w:jc w:val="both"/>
        <w:rPr>
          <w:rFonts w:eastAsiaTheme="minorHAnsi" w:cs="Times New Roman"/>
          <w:lang w:eastAsia="en-US"/>
        </w:rPr>
      </w:pPr>
      <w:r w:rsidRPr="005411E0">
        <w:rPr>
          <w:rFonts w:eastAsiaTheme="minorHAnsi" w:cs="Times New Roman"/>
          <w:lang w:eastAsia="en-US"/>
        </w:rPr>
        <w:t>Declaración y Pago Provisional Mensual de Impuesto Sobre la Renta (ISR) por retenciones realizadas por pagos de Rentas de Bienes Inmuebles.</w:t>
      </w:r>
    </w:p>
    <w:p w:rsidR="00D910B4" w:rsidRPr="005411E0" w:rsidRDefault="00D910B4" w:rsidP="00D910B4">
      <w:pPr>
        <w:pStyle w:val="Prrafodelista"/>
        <w:numPr>
          <w:ilvl w:val="0"/>
          <w:numId w:val="6"/>
        </w:numPr>
        <w:jc w:val="both"/>
        <w:rPr>
          <w:rFonts w:eastAsiaTheme="minorHAnsi" w:cs="Times New Roman"/>
          <w:lang w:eastAsia="en-US"/>
        </w:rPr>
      </w:pPr>
      <w:r w:rsidRPr="005411E0">
        <w:rPr>
          <w:rFonts w:eastAsiaTheme="minorHAnsi" w:cs="Times New Roman"/>
          <w:lang w:eastAsia="en-US"/>
        </w:rPr>
        <w:t xml:space="preserve">Presentar la Declaración Informativa Semestral por la Recaudación del IEPS por la Venta Final de Gasolinas y </w:t>
      </w:r>
      <w:proofErr w:type="spellStart"/>
      <w:r w:rsidR="005275FE" w:rsidRPr="005411E0">
        <w:rPr>
          <w:rFonts w:eastAsiaTheme="minorHAnsi" w:cs="Times New Roman"/>
          <w:lang w:eastAsia="en-US"/>
        </w:rPr>
        <w:t>Diésel</w:t>
      </w:r>
      <w:proofErr w:type="spellEnd"/>
      <w:r w:rsidRPr="005411E0">
        <w:rPr>
          <w:rFonts w:eastAsiaTheme="minorHAnsi" w:cs="Times New Roman"/>
          <w:lang w:eastAsia="en-US"/>
        </w:rPr>
        <w:t>.</w:t>
      </w:r>
    </w:p>
    <w:p w:rsidR="00D910B4" w:rsidRPr="005411E0" w:rsidRDefault="00D910B4" w:rsidP="00D910B4">
      <w:pPr>
        <w:pStyle w:val="Prrafodelista"/>
        <w:numPr>
          <w:ilvl w:val="0"/>
          <w:numId w:val="6"/>
        </w:numPr>
        <w:jc w:val="both"/>
        <w:rPr>
          <w:rFonts w:eastAsiaTheme="minorHAnsi" w:cs="Times New Roman"/>
          <w:lang w:eastAsia="en-US"/>
        </w:rPr>
      </w:pPr>
      <w:r w:rsidRPr="005411E0">
        <w:rPr>
          <w:rFonts w:eastAsiaTheme="minorHAnsi" w:cs="Times New Roman"/>
          <w:lang w:eastAsia="en-US"/>
        </w:rPr>
        <w:t>Presentar la Declaración Informativa Anual de Subsidios para el Empleo.</w:t>
      </w:r>
    </w:p>
    <w:p w:rsidR="00D910B4" w:rsidRPr="005411E0" w:rsidRDefault="00D910B4" w:rsidP="00D910B4">
      <w:pPr>
        <w:pStyle w:val="Prrafodelista"/>
        <w:numPr>
          <w:ilvl w:val="0"/>
          <w:numId w:val="6"/>
        </w:numPr>
        <w:jc w:val="both"/>
        <w:rPr>
          <w:rFonts w:eastAsiaTheme="minorHAnsi" w:cs="Times New Roman"/>
          <w:lang w:eastAsia="en-US"/>
        </w:rPr>
      </w:pPr>
      <w:r w:rsidRPr="005411E0">
        <w:rPr>
          <w:rFonts w:eastAsiaTheme="minorHAnsi" w:cs="Times New Roman"/>
          <w:lang w:eastAsia="en-US"/>
        </w:rPr>
        <w:t>Presentar la Declaración Informativa Mensual de operaciones con terceros.</w:t>
      </w:r>
    </w:p>
    <w:p w:rsidR="00D910B4" w:rsidRPr="005411E0" w:rsidRDefault="00D910B4" w:rsidP="00D910B4">
      <w:pPr>
        <w:pStyle w:val="Prrafodelista"/>
        <w:numPr>
          <w:ilvl w:val="0"/>
          <w:numId w:val="6"/>
        </w:numPr>
        <w:jc w:val="both"/>
        <w:rPr>
          <w:rFonts w:eastAsiaTheme="minorHAnsi" w:cs="Times New Roman"/>
          <w:lang w:eastAsia="en-US"/>
        </w:rPr>
      </w:pPr>
      <w:r w:rsidRPr="005411E0">
        <w:rPr>
          <w:rFonts w:eastAsiaTheme="minorHAnsi" w:cs="Times New Roman"/>
          <w:lang w:eastAsia="en-US"/>
        </w:rPr>
        <w:t>Presentar la información del aviso para la aplicación de estímulos a entidades federativas, municipios y otros organismos públicos.</w:t>
      </w:r>
    </w:p>
    <w:p w:rsidR="00D910B4" w:rsidRPr="005411E0" w:rsidRDefault="005411E0" w:rsidP="00A101A3">
      <w:pPr>
        <w:ind w:left="708"/>
        <w:jc w:val="both"/>
        <w:rPr>
          <w:rFonts w:cs="Times New Roman"/>
        </w:rPr>
      </w:pPr>
      <w:r>
        <w:rPr>
          <w:rFonts w:cs="Times New Roman"/>
        </w:rPr>
        <w:t>e</w:t>
      </w:r>
      <w:r w:rsidR="00D910B4" w:rsidRPr="005411E0">
        <w:rPr>
          <w:rFonts w:cs="Times New Roman"/>
        </w:rPr>
        <w:t>) Estructura Organizacional Básica.</w:t>
      </w:r>
    </w:p>
    <w:p w:rsidR="006B187C" w:rsidRPr="005411E0" w:rsidRDefault="006B187C" w:rsidP="00A101A3">
      <w:pPr>
        <w:pStyle w:val="Sinespaciado"/>
        <w:ind w:left="708"/>
        <w:jc w:val="both"/>
        <w:rPr>
          <w:rFonts w:cs="Times New Roman"/>
        </w:rPr>
      </w:pPr>
      <w:r w:rsidRPr="005411E0">
        <w:rPr>
          <w:rFonts w:cs="Times New Roman"/>
        </w:rPr>
        <w:t xml:space="preserve">El Poder Ejecutivo para el despacho de los asuntos de su competencia cuenta con las dependencias de la Administración Pública Centralizada y Entidades de la Administración Pública Paraestatal, con las atribuciones y organización que determinan las disposiciones legales aplicables. Basada en la Ley Orgánica del Poder Ejecutivo del Estado, la Secretaría de Finanzas del Poder Ejecutivo del Estado de Oaxaca es la responsable de: coordinar la administración tributaria de la Hacienda Pública; la administración financiera, incluyendo la consolidación y emisión de los Estados Financieros; proyectar con la participación de las dependencias y entidades de la administración pública estatal, la programación y </w:t>
      </w:r>
      <w:proofErr w:type="spellStart"/>
      <w:r w:rsidRPr="005411E0">
        <w:rPr>
          <w:rFonts w:cs="Times New Roman"/>
        </w:rPr>
        <w:t>presupuestación</w:t>
      </w:r>
      <w:proofErr w:type="spellEnd"/>
      <w:r w:rsidRPr="005411E0">
        <w:rPr>
          <w:rFonts w:cs="Times New Roman"/>
        </w:rPr>
        <w:t xml:space="preserve"> del Estado, conforme a la legislación y  disposiciones aplicables. </w:t>
      </w:r>
    </w:p>
    <w:p w:rsidR="00D910B4" w:rsidRPr="005411E0" w:rsidRDefault="00A101A3" w:rsidP="00D910B4">
      <w:pPr>
        <w:jc w:val="both"/>
        <w:rPr>
          <w:rFonts w:cs="Times New Roman"/>
        </w:rPr>
      </w:pPr>
      <w:r w:rsidRPr="005411E0">
        <w:rPr>
          <w:rFonts w:cs="Times New Roman"/>
          <w:b/>
        </w:rPr>
        <w:lastRenderedPageBreak/>
        <w:t xml:space="preserve">2. </w:t>
      </w:r>
      <w:r w:rsidR="00D910B4" w:rsidRPr="005411E0">
        <w:rPr>
          <w:rFonts w:cs="Times New Roman"/>
          <w:b/>
        </w:rPr>
        <w:t>Bases para la preparación de los Estados financieros</w:t>
      </w:r>
      <w:r w:rsidR="00D910B4" w:rsidRPr="005411E0">
        <w:rPr>
          <w:rFonts w:cs="Times New Roman"/>
        </w:rPr>
        <w:t>.</w:t>
      </w:r>
    </w:p>
    <w:p w:rsidR="00B92D1D" w:rsidRPr="005411E0" w:rsidRDefault="00B92D1D" w:rsidP="00A101A3">
      <w:pPr>
        <w:ind w:left="708"/>
        <w:jc w:val="both"/>
        <w:rPr>
          <w:rFonts w:cs="Times New Roman"/>
        </w:rPr>
      </w:pPr>
      <w:r w:rsidRPr="005411E0">
        <w:rPr>
          <w:rFonts w:cs="Times New Roman"/>
        </w:rPr>
        <w:t>a) E</w:t>
      </w:r>
      <w:r w:rsidR="00D910B4" w:rsidRPr="005411E0">
        <w:rPr>
          <w:rFonts w:cs="Times New Roman"/>
        </w:rPr>
        <w:t xml:space="preserve">n cumplimiento </w:t>
      </w:r>
      <w:r w:rsidRPr="005411E0">
        <w:rPr>
          <w:rFonts w:cs="Times New Roman"/>
        </w:rPr>
        <w:t>a la Ley General de Contabilidad Gubernamental</w:t>
      </w:r>
      <w:r w:rsidR="00D910B4" w:rsidRPr="005411E0">
        <w:rPr>
          <w:rFonts w:cs="Times New Roman"/>
        </w:rPr>
        <w:t>,</w:t>
      </w:r>
      <w:r w:rsidRPr="005411E0">
        <w:rPr>
          <w:rFonts w:cs="Times New Roman"/>
        </w:rPr>
        <w:t xml:space="preserve"> a través de distintas publicaciones del CONAC ha emitido </w:t>
      </w:r>
      <w:r w:rsidR="00D910B4" w:rsidRPr="005411E0">
        <w:rPr>
          <w:rFonts w:cs="Times New Roman"/>
        </w:rPr>
        <w:t xml:space="preserve"> entr</w:t>
      </w:r>
      <w:r w:rsidRPr="005411E0">
        <w:rPr>
          <w:rFonts w:cs="Times New Roman"/>
        </w:rPr>
        <w:t>e</w:t>
      </w:r>
      <w:r w:rsidR="00D910B4" w:rsidRPr="005411E0">
        <w:rPr>
          <w:rFonts w:cs="Times New Roman"/>
        </w:rPr>
        <w:t xml:space="preserve"> otros los siguiente</w:t>
      </w:r>
      <w:r w:rsidR="00531FE1" w:rsidRPr="005411E0">
        <w:rPr>
          <w:rFonts w:cs="Times New Roman"/>
        </w:rPr>
        <w:t>s</w:t>
      </w:r>
      <w:r w:rsidR="00D910B4" w:rsidRPr="005411E0">
        <w:rPr>
          <w:rFonts w:cs="Times New Roman"/>
        </w:rPr>
        <w:t xml:space="preserve"> documentos: </w:t>
      </w:r>
    </w:p>
    <w:p w:rsidR="00B92D1D" w:rsidRPr="005411E0" w:rsidRDefault="00D910B4" w:rsidP="00A101A3">
      <w:pPr>
        <w:pStyle w:val="Sinespaciado"/>
        <w:numPr>
          <w:ilvl w:val="0"/>
          <w:numId w:val="14"/>
        </w:numPr>
        <w:rPr>
          <w:rFonts w:cs="Times New Roman"/>
        </w:rPr>
      </w:pPr>
      <w:r w:rsidRPr="005411E0">
        <w:rPr>
          <w:rFonts w:cs="Times New Roman"/>
        </w:rPr>
        <w:t>Marco Conceptual</w:t>
      </w:r>
      <w:r w:rsidR="00B92D1D" w:rsidRPr="005411E0">
        <w:rPr>
          <w:rFonts w:cs="Times New Roman"/>
        </w:rPr>
        <w:t xml:space="preserve"> de Contabilidad Gubernamental</w:t>
      </w:r>
    </w:p>
    <w:p w:rsidR="00B92D1D" w:rsidRPr="005411E0" w:rsidRDefault="00D910B4" w:rsidP="00A101A3">
      <w:pPr>
        <w:pStyle w:val="Sinespaciado"/>
        <w:numPr>
          <w:ilvl w:val="0"/>
          <w:numId w:val="14"/>
        </w:numPr>
        <w:rPr>
          <w:rFonts w:cs="Times New Roman"/>
        </w:rPr>
      </w:pPr>
      <w:r w:rsidRPr="005411E0">
        <w:rPr>
          <w:rFonts w:cs="Times New Roman"/>
        </w:rPr>
        <w:t>Postulados básicos</w:t>
      </w:r>
      <w:r w:rsidR="00B92D1D" w:rsidRPr="005411E0">
        <w:rPr>
          <w:rFonts w:cs="Times New Roman"/>
        </w:rPr>
        <w:t xml:space="preserve"> de Contabilidad Gubernamental</w:t>
      </w:r>
    </w:p>
    <w:p w:rsidR="00B92D1D" w:rsidRPr="005411E0" w:rsidRDefault="00D910B4" w:rsidP="00A101A3">
      <w:pPr>
        <w:pStyle w:val="Sinespaciado"/>
        <w:numPr>
          <w:ilvl w:val="0"/>
          <w:numId w:val="14"/>
        </w:numPr>
        <w:rPr>
          <w:rFonts w:cs="Times New Roman"/>
        </w:rPr>
      </w:pPr>
      <w:r w:rsidRPr="005411E0">
        <w:rPr>
          <w:rFonts w:cs="Times New Roman"/>
        </w:rPr>
        <w:t>Normas y Metodología para la determinación de los mo</w:t>
      </w:r>
      <w:r w:rsidR="00DE5AA3" w:rsidRPr="005411E0">
        <w:rPr>
          <w:rFonts w:cs="Times New Roman"/>
        </w:rPr>
        <w:t>mentos contables de los Egresos</w:t>
      </w:r>
    </w:p>
    <w:p w:rsidR="00B92D1D" w:rsidRPr="005411E0" w:rsidRDefault="00B92D1D" w:rsidP="00A101A3">
      <w:pPr>
        <w:pStyle w:val="Sinespaciado"/>
        <w:numPr>
          <w:ilvl w:val="0"/>
          <w:numId w:val="14"/>
        </w:numPr>
        <w:rPr>
          <w:rFonts w:cs="Times New Roman"/>
        </w:rPr>
      </w:pPr>
      <w:r w:rsidRPr="005411E0">
        <w:rPr>
          <w:rFonts w:cs="Times New Roman"/>
        </w:rPr>
        <w:t>Plan de Cuentas</w:t>
      </w:r>
      <w:r w:rsidR="00D910B4" w:rsidRPr="005411E0">
        <w:rPr>
          <w:rFonts w:cs="Times New Roman"/>
        </w:rPr>
        <w:t xml:space="preserve"> </w:t>
      </w:r>
    </w:p>
    <w:p w:rsidR="00B92D1D" w:rsidRPr="005411E0" w:rsidRDefault="00B92D1D" w:rsidP="00A101A3">
      <w:pPr>
        <w:pStyle w:val="Sinespaciado"/>
        <w:numPr>
          <w:ilvl w:val="0"/>
          <w:numId w:val="14"/>
        </w:numPr>
        <w:rPr>
          <w:rFonts w:cs="Times New Roman"/>
        </w:rPr>
      </w:pPr>
      <w:r w:rsidRPr="005411E0">
        <w:rPr>
          <w:rFonts w:cs="Times New Roman"/>
        </w:rPr>
        <w:t>C</w:t>
      </w:r>
      <w:r w:rsidR="00D910B4" w:rsidRPr="005411E0">
        <w:rPr>
          <w:rFonts w:cs="Times New Roman"/>
        </w:rPr>
        <w:t>lasificador por Objeto de</w:t>
      </w:r>
      <w:r w:rsidRPr="005411E0">
        <w:rPr>
          <w:rFonts w:cs="Times New Roman"/>
        </w:rPr>
        <w:t>l Gasto y sus adecuaciones</w:t>
      </w:r>
    </w:p>
    <w:p w:rsidR="00B92D1D" w:rsidRPr="005411E0" w:rsidRDefault="00D910B4" w:rsidP="00A101A3">
      <w:pPr>
        <w:pStyle w:val="Sinespaciado"/>
        <w:numPr>
          <w:ilvl w:val="0"/>
          <w:numId w:val="14"/>
        </w:numPr>
        <w:rPr>
          <w:rFonts w:cs="Times New Roman"/>
        </w:rPr>
      </w:pPr>
      <w:r w:rsidRPr="005411E0">
        <w:rPr>
          <w:rFonts w:cs="Times New Roman"/>
        </w:rPr>
        <w:t>Cla</w:t>
      </w:r>
      <w:r w:rsidR="00B92D1D" w:rsidRPr="005411E0">
        <w:rPr>
          <w:rFonts w:cs="Times New Roman"/>
        </w:rPr>
        <w:t>sificador por rubro de Ingresos</w:t>
      </w:r>
    </w:p>
    <w:p w:rsidR="00B92D1D" w:rsidRPr="005411E0" w:rsidRDefault="00D910B4" w:rsidP="00A101A3">
      <w:pPr>
        <w:pStyle w:val="Sinespaciado"/>
        <w:numPr>
          <w:ilvl w:val="0"/>
          <w:numId w:val="14"/>
        </w:numPr>
        <w:rPr>
          <w:rFonts w:cs="Times New Roman"/>
        </w:rPr>
      </w:pPr>
      <w:r w:rsidRPr="005411E0">
        <w:rPr>
          <w:rFonts w:cs="Times New Roman"/>
        </w:rPr>
        <w:t>Normas y Metodología para la emisión de información financiera para determinar los mom</w:t>
      </w:r>
      <w:r w:rsidR="00B92D1D" w:rsidRPr="005411E0">
        <w:rPr>
          <w:rFonts w:cs="Times New Roman"/>
        </w:rPr>
        <w:t>entos contables de los ingresos</w:t>
      </w:r>
    </w:p>
    <w:p w:rsidR="00B92D1D" w:rsidRPr="005411E0" w:rsidRDefault="00D910B4" w:rsidP="00A101A3">
      <w:pPr>
        <w:pStyle w:val="Sinespaciado"/>
        <w:numPr>
          <w:ilvl w:val="0"/>
          <w:numId w:val="14"/>
        </w:numPr>
        <w:rPr>
          <w:rFonts w:cs="Times New Roman"/>
        </w:rPr>
      </w:pPr>
      <w:r w:rsidRPr="005411E0">
        <w:rPr>
          <w:rFonts w:cs="Times New Roman"/>
        </w:rPr>
        <w:t>Cla</w:t>
      </w:r>
      <w:r w:rsidR="00B92D1D" w:rsidRPr="005411E0">
        <w:rPr>
          <w:rFonts w:cs="Times New Roman"/>
        </w:rPr>
        <w:t>sificador por objeto del gastos</w:t>
      </w:r>
      <w:r w:rsidRPr="005411E0">
        <w:rPr>
          <w:rFonts w:cs="Times New Roman"/>
        </w:rPr>
        <w:t xml:space="preserve"> </w:t>
      </w:r>
    </w:p>
    <w:p w:rsidR="00B92D1D" w:rsidRPr="005411E0" w:rsidRDefault="00D910B4" w:rsidP="00A101A3">
      <w:pPr>
        <w:pStyle w:val="Sinespaciado"/>
        <w:numPr>
          <w:ilvl w:val="0"/>
          <w:numId w:val="14"/>
        </w:numPr>
        <w:rPr>
          <w:rFonts w:cs="Times New Roman"/>
        </w:rPr>
      </w:pPr>
      <w:r w:rsidRPr="005411E0">
        <w:rPr>
          <w:rFonts w:cs="Times New Roman"/>
        </w:rPr>
        <w:t xml:space="preserve">Clasificación </w:t>
      </w:r>
      <w:r w:rsidR="00B92D1D" w:rsidRPr="005411E0">
        <w:rPr>
          <w:rFonts w:cs="Times New Roman"/>
        </w:rPr>
        <w:t>funcional del gasto</w:t>
      </w:r>
      <w:r w:rsidRPr="005411E0">
        <w:rPr>
          <w:rFonts w:cs="Times New Roman"/>
        </w:rPr>
        <w:t xml:space="preserve"> </w:t>
      </w:r>
    </w:p>
    <w:p w:rsidR="00B92D1D" w:rsidRPr="005411E0" w:rsidRDefault="00B92D1D" w:rsidP="00A101A3">
      <w:pPr>
        <w:pStyle w:val="Sinespaciado"/>
        <w:numPr>
          <w:ilvl w:val="0"/>
          <w:numId w:val="14"/>
        </w:numPr>
        <w:rPr>
          <w:rFonts w:cs="Times New Roman"/>
        </w:rPr>
      </w:pPr>
      <w:r w:rsidRPr="005411E0">
        <w:rPr>
          <w:rFonts w:cs="Times New Roman"/>
        </w:rPr>
        <w:t>Clasificador por tipo de gasto</w:t>
      </w:r>
      <w:r w:rsidR="00D910B4" w:rsidRPr="005411E0">
        <w:rPr>
          <w:rFonts w:cs="Times New Roman"/>
        </w:rPr>
        <w:t xml:space="preserve"> </w:t>
      </w:r>
    </w:p>
    <w:p w:rsidR="00B92D1D" w:rsidRPr="005411E0" w:rsidRDefault="00B92D1D" w:rsidP="00A101A3">
      <w:pPr>
        <w:pStyle w:val="Sinespaciado"/>
        <w:numPr>
          <w:ilvl w:val="0"/>
          <w:numId w:val="14"/>
        </w:numPr>
        <w:rPr>
          <w:rFonts w:cs="Times New Roman"/>
        </w:rPr>
      </w:pPr>
      <w:r w:rsidRPr="005411E0">
        <w:rPr>
          <w:rFonts w:cs="Times New Roman"/>
        </w:rPr>
        <w:t>P</w:t>
      </w:r>
      <w:r w:rsidR="00D910B4" w:rsidRPr="005411E0">
        <w:rPr>
          <w:rFonts w:cs="Times New Roman"/>
        </w:rPr>
        <w:t>rincipales reglas de regi</w:t>
      </w:r>
      <w:r w:rsidRPr="005411E0">
        <w:rPr>
          <w:rFonts w:cs="Times New Roman"/>
        </w:rPr>
        <w:t>stro y valoración de Patrimonio</w:t>
      </w:r>
    </w:p>
    <w:p w:rsidR="00B92D1D" w:rsidRPr="005411E0" w:rsidRDefault="00D910B4" w:rsidP="00A101A3">
      <w:pPr>
        <w:pStyle w:val="Sinespaciado"/>
        <w:numPr>
          <w:ilvl w:val="0"/>
          <w:numId w:val="14"/>
        </w:numPr>
        <w:rPr>
          <w:rFonts w:cs="Times New Roman"/>
        </w:rPr>
      </w:pPr>
      <w:r w:rsidRPr="005411E0">
        <w:rPr>
          <w:rFonts w:cs="Times New Roman"/>
        </w:rPr>
        <w:t>Manua</w:t>
      </w:r>
      <w:r w:rsidR="00B92D1D" w:rsidRPr="005411E0">
        <w:rPr>
          <w:rFonts w:cs="Times New Roman"/>
        </w:rPr>
        <w:t>l de Contabilidad Gubernamental</w:t>
      </w:r>
      <w:r w:rsidRPr="005411E0">
        <w:rPr>
          <w:rFonts w:cs="Times New Roman"/>
        </w:rPr>
        <w:t xml:space="preserve"> </w:t>
      </w:r>
    </w:p>
    <w:p w:rsidR="00B92D1D" w:rsidRPr="005411E0" w:rsidRDefault="00D910B4" w:rsidP="00A101A3">
      <w:pPr>
        <w:pStyle w:val="Sinespaciado"/>
        <w:numPr>
          <w:ilvl w:val="0"/>
          <w:numId w:val="14"/>
        </w:numPr>
        <w:rPr>
          <w:rFonts w:cs="Times New Roman"/>
        </w:rPr>
      </w:pPr>
      <w:r w:rsidRPr="005411E0">
        <w:rPr>
          <w:rFonts w:cs="Times New Roman"/>
        </w:rPr>
        <w:t>I</w:t>
      </w:r>
      <w:r w:rsidR="00B92D1D" w:rsidRPr="005411E0">
        <w:rPr>
          <w:rFonts w:cs="Times New Roman"/>
        </w:rPr>
        <w:t>nstructivo de manejo de cuentas</w:t>
      </w:r>
    </w:p>
    <w:p w:rsidR="00B92D1D" w:rsidRPr="005411E0" w:rsidRDefault="00B92D1D" w:rsidP="00A101A3">
      <w:pPr>
        <w:pStyle w:val="Sinespaciado"/>
        <w:numPr>
          <w:ilvl w:val="0"/>
          <w:numId w:val="14"/>
        </w:numPr>
        <w:rPr>
          <w:rFonts w:cs="Times New Roman"/>
        </w:rPr>
      </w:pPr>
      <w:r w:rsidRPr="005411E0">
        <w:rPr>
          <w:rFonts w:cs="Times New Roman"/>
        </w:rPr>
        <w:t>M</w:t>
      </w:r>
      <w:r w:rsidR="00D910B4" w:rsidRPr="005411E0">
        <w:rPr>
          <w:rFonts w:cs="Times New Roman"/>
        </w:rPr>
        <w:t>odelo de asi</w:t>
      </w:r>
      <w:r w:rsidRPr="005411E0">
        <w:rPr>
          <w:rFonts w:cs="Times New Roman"/>
        </w:rPr>
        <w:t>entos para el registro contable</w:t>
      </w:r>
    </w:p>
    <w:p w:rsidR="00B92D1D" w:rsidRPr="005411E0" w:rsidRDefault="00B92D1D" w:rsidP="00A101A3">
      <w:pPr>
        <w:pStyle w:val="Sinespaciado"/>
        <w:numPr>
          <w:ilvl w:val="0"/>
          <w:numId w:val="14"/>
        </w:numPr>
        <w:rPr>
          <w:rFonts w:cs="Times New Roman"/>
        </w:rPr>
      </w:pPr>
      <w:r w:rsidRPr="005411E0">
        <w:rPr>
          <w:rFonts w:cs="Times New Roman"/>
        </w:rPr>
        <w:t>Guías Contabilizadoras</w:t>
      </w:r>
    </w:p>
    <w:p w:rsidR="00B92D1D" w:rsidRPr="005411E0" w:rsidRDefault="00D910B4" w:rsidP="00A101A3">
      <w:pPr>
        <w:pStyle w:val="Sinespaciado"/>
        <w:numPr>
          <w:ilvl w:val="0"/>
          <w:numId w:val="14"/>
        </w:numPr>
        <w:rPr>
          <w:rFonts w:cs="Times New Roman"/>
        </w:rPr>
      </w:pPr>
      <w:r w:rsidRPr="005411E0">
        <w:rPr>
          <w:rFonts w:cs="Times New Roman"/>
        </w:rPr>
        <w:t xml:space="preserve">Normas y Metodología para la emisión de información financiera y estructura de los estados financieros básicos del ente público y características de sus notas, </w:t>
      </w:r>
    </w:p>
    <w:p w:rsidR="00B92D1D" w:rsidRPr="005411E0" w:rsidRDefault="00B92D1D" w:rsidP="00A101A3">
      <w:pPr>
        <w:pStyle w:val="Sinespaciado"/>
        <w:numPr>
          <w:ilvl w:val="0"/>
          <w:numId w:val="14"/>
        </w:numPr>
        <w:rPr>
          <w:rFonts w:cs="Times New Roman"/>
        </w:rPr>
      </w:pPr>
      <w:r w:rsidRPr="005411E0">
        <w:rPr>
          <w:rFonts w:cs="Times New Roman"/>
        </w:rPr>
        <w:t>M</w:t>
      </w:r>
      <w:r w:rsidR="00D910B4" w:rsidRPr="005411E0">
        <w:rPr>
          <w:rFonts w:cs="Times New Roman"/>
        </w:rPr>
        <w:t>atrices de conversión, para la Armonización del sistema de Contabilidad Gubernamental,</w:t>
      </w:r>
    </w:p>
    <w:p w:rsidR="00B92D1D" w:rsidRPr="005411E0" w:rsidRDefault="00B92D1D" w:rsidP="00B92D1D">
      <w:pPr>
        <w:pStyle w:val="Sinespaciado"/>
        <w:rPr>
          <w:rFonts w:cs="Times New Roman"/>
        </w:rPr>
      </w:pPr>
    </w:p>
    <w:p w:rsidR="00D910B4" w:rsidRPr="005411E0" w:rsidRDefault="0049430E" w:rsidP="00DE5AA3">
      <w:pPr>
        <w:pStyle w:val="Sinespaciado"/>
        <w:ind w:left="708"/>
        <w:jc w:val="both"/>
        <w:rPr>
          <w:rFonts w:cs="Times New Roman"/>
        </w:rPr>
      </w:pPr>
      <w:r w:rsidRPr="005411E0">
        <w:rPr>
          <w:rFonts w:cs="Times New Roman"/>
        </w:rPr>
        <w:t>E</w:t>
      </w:r>
      <w:r w:rsidR="00D910B4" w:rsidRPr="005411E0">
        <w:rPr>
          <w:rFonts w:cs="Times New Roman"/>
        </w:rPr>
        <w:t>l Gobierno del Estado de Oaxaca, se encuentra en proceso de adecuación en su organización interna, así como modificaciones al Sistema de Contabilidad que le permitan dar cumplimiento a los elementos técnicos-contables, el Marco Conceptual y los postulados Básicos de Contabilidad Gubernamental, así como lo establecido en el artículo cuarto transitorio fracción I, se dispone de  lista de Cuentas alineadas al plan de cuentas; clasificadores presupuestarios armonizados y las respectivas matrices de conversión con las características señaladas en los artículos 40 y 41 de la Ley General de Contabilidad Gubernamental, Sistema de Contabilidad Gubernamental Simplificado, Metodología que permita hacer comparables las cifras presupuestales de los últimos seis ejercicio</w:t>
      </w:r>
      <w:r w:rsidR="007218A5" w:rsidRPr="005411E0">
        <w:rPr>
          <w:rFonts w:cs="Times New Roman"/>
        </w:rPr>
        <w:t>s</w:t>
      </w:r>
      <w:r w:rsidR="00D910B4" w:rsidRPr="005411E0">
        <w:rPr>
          <w:rFonts w:cs="Times New Roman"/>
        </w:rPr>
        <w:t xml:space="preserve"> fiscales del ámbito federal, Registro y Control de los inventarios, </w:t>
      </w:r>
      <w:r w:rsidRPr="005411E0">
        <w:rPr>
          <w:rFonts w:cs="Times New Roman"/>
        </w:rPr>
        <w:t>Catálogo</w:t>
      </w:r>
      <w:r w:rsidR="00D910B4" w:rsidRPr="005411E0">
        <w:rPr>
          <w:rFonts w:cs="Times New Roman"/>
        </w:rPr>
        <w:t xml:space="preserve"> de Bienes, Reglas </w:t>
      </w:r>
      <w:r w:rsidRPr="005411E0">
        <w:rPr>
          <w:rFonts w:cs="Times New Roman"/>
        </w:rPr>
        <w:t>Específicas</w:t>
      </w:r>
      <w:r w:rsidR="00D910B4" w:rsidRPr="005411E0">
        <w:rPr>
          <w:rFonts w:cs="Times New Roman"/>
        </w:rPr>
        <w:t xml:space="preserve"> de Registro y Valoración del Inventario, Elaboración del </w:t>
      </w:r>
      <w:r w:rsidRPr="005411E0">
        <w:rPr>
          <w:rFonts w:cs="Times New Roman"/>
        </w:rPr>
        <w:t>catálogo</w:t>
      </w:r>
      <w:r w:rsidR="00D910B4" w:rsidRPr="005411E0">
        <w:rPr>
          <w:rFonts w:cs="Times New Roman"/>
        </w:rPr>
        <w:t xml:space="preserve"> de Bienes Inmuebles que permita la interrelación automática con el clasificador por objeto del gasto, Registro Auxiliar Sujeto a Inventario  de Bienes Arqueológicos, Artísticos </w:t>
      </w:r>
      <w:proofErr w:type="spellStart"/>
      <w:r w:rsidR="00D910B4" w:rsidRPr="005411E0">
        <w:rPr>
          <w:rFonts w:cs="Times New Roman"/>
        </w:rPr>
        <w:t>de</w:t>
      </w:r>
      <w:proofErr w:type="spellEnd"/>
      <w:r w:rsidR="00D910B4" w:rsidRPr="005411E0">
        <w:rPr>
          <w:rFonts w:cs="Times New Roman"/>
        </w:rPr>
        <w:t xml:space="preserve"> Históricos bajo custodia de entes públicos, Parámetros de la Estimación de la Vida Útil, se realizan los registros contables con base acumulativa y emite información contable, presupuestaria y programática.</w:t>
      </w:r>
    </w:p>
    <w:p w:rsidR="00B92D1D" w:rsidRPr="005411E0" w:rsidRDefault="00B92D1D" w:rsidP="00B92D1D">
      <w:pPr>
        <w:pStyle w:val="Sinespaciado"/>
        <w:jc w:val="both"/>
        <w:rPr>
          <w:rFonts w:cs="Times New Roman"/>
        </w:rPr>
      </w:pPr>
    </w:p>
    <w:p w:rsidR="00D910B4" w:rsidRPr="005411E0" w:rsidRDefault="00D910B4" w:rsidP="00DE5AA3">
      <w:pPr>
        <w:ind w:left="708"/>
        <w:jc w:val="both"/>
        <w:rPr>
          <w:rFonts w:cs="Times New Roman"/>
        </w:rPr>
      </w:pPr>
      <w:r w:rsidRPr="005411E0">
        <w:rPr>
          <w:rFonts w:cs="Times New Roman"/>
        </w:rPr>
        <w:lastRenderedPageBreak/>
        <w:t>b) La base de medición utilizada en el registro de las operaciones para la elaboración de los Estados Financieros es Costo Histórico.</w:t>
      </w:r>
    </w:p>
    <w:p w:rsidR="00D910B4" w:rsidRPr="005411E0" w:rsidRDefault="00D910B4" w:rsidP="00DE5AA3">
      <w:pPr>
        <w:ind w:left="709"/>
        <w:jc w:val="both"/>
        <w:rPr>
          <w:rFonts w:cs="Times New Roman"/>
        </w:rPr>
      </w:pPr>
      <w:r w:rsidRPr="005411E0">
        <w:rPr>
          <w:rFonts w:cs="Times New Roman"/>
        </w:rPr>
        <w:t>c) Postulados básicos de la Contabilidad Gubernamental aprobados por la CONAC y Publicados en el Diario Oficial del Estado para su difusión.</w:t>
      </w:r>
    </w:p>
    <w:p w:rsidR="00D910B4" w:rsidRPr="005411E0" w:rsidRDefault="00D910B4" w:rsidP="0049430E">
      <w:pPr>
        <w:pStyle w:val="Sinespaciado"/>
        <w:numPr>
          <w:ilvl w:val="0"/>
          <w:numId w:val="8"/>
        </w:numPr>
        <w:rPr>
          <w:rFonts w:cs="Times New Roman"/>
        </w:rPr>
      </w:pPr>
      <w:r w:rsidRPr="005411E0">
        <w:rPr>
          <w:rFonts w:cs="Times New Roman"/>
        </w:rPr>
        <w:t>Sustancia Económica</w:t>
      </w:r>
    </w:p>
    <w:p w:rsidR="00D910B4" w:rsidRPr="005411E0" w:rsidRDefault="00D910B4" w:rsidP="0049430E">
      <w:pPr>
        <w:pStyle w:val="Sinespaciado"/>
        <w:numPr>
          <w:ilvl w:val="0"/>
          <w:numId w:val="8"/>
        </w:numPr>
        <w:rPr>
          <w:rFonts w:cs="Times New Roman"/>
        </w:rPr>
      </w:pPr>
      <w:r w:rsidRPr="005411E0">
        <w:rPr>
          <w:rFonts w:cs="Times New Roman"/>
        </w:rPr>
        <w:t>Entes Públicos</w:t>
      </w:r>
    </w:p>
    <w:p w:rsidR="00D910B4" w:rsidRPr="005411E0" w:rsidRDefault="00D910B4" w:rsidP="0049430E">
      <w:pPr>
        <w:pStyle w:val="Sinespaciado"/>
        <w:numPr>
          <w:ilvl w:val="0"/>
          <w:numId w:val="8"/>
        </w:numPr>
        <w:rPr>
          <w:rFonts w:cs="Times New Roman"/>
        </w:rPr>
      </w:pPr>
      <w:r w:rsidRPr="005411E0">
        <w:rPr>
          <w:rFonts w:cs="Times New Roman"/>
        </w:rPr>
        <w:t>Existencia Permanente</w:t>
      </w:r>
    </w:p>
    <w:p w:rsidR="00D910B4" w:rsidRPr="005411E0" w:rsidRDefault="00D910B4" w:rsidP="0049430E">
      <w:pPr>
        <w:pStyle w:val="Sinespaciado"/>
        <w:numPr>
          <w:ilvl w:val="0"/>
          <w:numId w:val="8"/>
        </w:numPr>
        <w:rPr>
          <w:rFonts w:cs="Times New Roman"/>
        </w:rPr>
      </w:pPr>
      <w:r w:rsidRPr="005411E0">
        <w:rPr>
          <w:rFonts w:cs="Times New Roman"/>
        </w:rPr>
        <w:t>Revelación Suficiente</w:t>
      </w:r>
    </w:p>
    <w:p w:rsidR="00D910B4" w:rsidRPr="005411E0" w:rsidRDefault="00D910B4" w:rsidP="0049430E">
      <w:pPr>
        <w:pStyle w:val="Sinespaciado"/>
        <w:numPr>
          <w:ilvl w:val="0"/>
          <w:numId w:val="8"/>
        </w:numPr>
        <w:rPr>
          <w:rFonts w:cs="Times New Roman"/>
        </w:rPr>
      </w:pPr>
      <w:r w:rsidRPr="005411E0">
        <w:rPr>
          <w:rFonts w:cs="Times New Roman"/>
        </w:rPr>
        <w:t>Importancia Relativa</w:t>
      </w:r>
    </w:p>
    <w:p w:rsidR="00D910B4" w:rsidRPr="005411E0" w:rsidRDefault="00D910B4" w:rsidP="0049430E">
      <w:pPr>
        <w:pStyle w:val="Sinespaciado"/>
        <w:numPr>
          <w:ilvl w:val="0"/>
          <w:numId w:val="8"/>
        </w:numPr>
        <w:rPr>
          <w:rFonts w:cs="Times New Roman"/>
        </w:rPr>
      </w:pPr>
      <w:r w:rsidRPr="005411E0">
        <w:rPr>
          <w:rFonts w:cs="Times New Roman"/>
        </w:rPr>
        <w:t>Registro de integración Presupuestaria</w:t>
      </w:r>
    </w:p>
    <w:p w:rsidR="00D910B4" w:rsidRPr="005411E0" w:rsidRDefault="00D910B4" w:rsidP="0049430E">
      <w:pPr>
        <w:pStyle w:val="Sinespaciado"/>
        <w:numPr>
          <w:ilvl w:val="0"/>
          <w:numId w:val="8"/>
        </w:numPr>
        <w:rPr>
          <w:rFonts w:cs="Times New Roman"/>
        </w:rPr>
      </w:pPr>
      <w:r w:rsidRPr="005411E0">
        <w:rPr>
          <w:rFonts w:cs="Times New Roman"/>
        </w:rPr>
        <w:t xml:space="preserve">Consolidación de la Información Financiera </w:t>
      </w:r>
    </w:p>
    <w:p w:rsidR="00D910B4" w:rsidRPr="005411E0" w:rsidRDefault="00D910B4" w:rsidP="0049430E">
      <w:pPr>
        <w:pStyle w:val="Sinespaciado"/>
        <w:numPr>
          <w:ilvl w:val="0"/>
          <w:numId w:val="8"/>
        </w:numPr>
        <w:rPr>
          <w:rFonts w:cs="Times New Roman"/>
        </w:rPr>
      </w:pPr>
      <w:r w:rsidRPr="005411E0">
        <w:rPr>
          <w:rFonts w:cs="Times New Roman"/>
        </w:rPr>
        <w:t>Devengo Contable</w:t>
      </w:r>
    </w:p>
    <w:p w:rsidR="00D910B4" w:rsidRPr="005411E0" w:rsidRDefault="00D910B4" w:rsidP="0049430E">
      <w:pPr>
        <w:pStyle w:val="Sinespaciado"/>
        <w:numPr>
          <w:ilvl w:val="0"/>
          <w:numId w:val="8"/>
        </w:numPr>
        <w:rPr>
          <w:rFonts w:cs="Times New Roman"/>
        </w:rPr>
      </w:pPr>
      <w:r w:rsidRPr="005411E0">
        <w:rPr>
          <w:rFonts w:cs="Times New Roman"/>
        </w:rPr>
        <w:t>Valuación</w:t>
      </w:r>
    </w:p>
    <w:p w:rsidR="00D910B4" w:rsidRPr="005411E0" w:rsidRDefault="00D910B4" w:rsidP="0049430E">
      <w:pPr>
        <w:pStyle w:val="Sinespaciado"/>
        <w:numPr>
          <w:ilvl w:val="0"/>
          <w:numId w:val="8"/>
        </w:numPr>
        <w:rPr>
          <w:rFonts w:cs="Times New Roman"/>
        </w:rPr>
      </w:pPr>
      <w:r w:rsidRPr="005411E0">
        <w:rPr>
          <w:rFonts w:cs="Times New Roman"/>
        </w:rPr>
        <w:t>Dualidad Económica</w:t>
      </w:r>
    </w:p>
    <w:p w:rsidR="00D910B4" w:rsidRPr="005411E0" w:rsidRDefault="00D910B4" w:rsidP="0049430E">
      <w:pPr>
        <w:pStyle w:val="Sinespaciado"/>
        <w:numPr>
          <w:ilvl w:val="0"/>
          <w:numId w:val="8"/>
        </w:numPr>
        <w:rPr>
          <w:rFonts w:cs="Times New Roman"/>
        </w:rPr>
      </w:pPr>
      <w:r w:rsidRPr="005411E0">
        <w:rPr>
          <w:rFonts w:cs="Times New Roman"/>
        </w:rPr>
        <w:t xml:space="preserve">Consistencia  </w:t>
      </w:r>
    </w:p>
    <w:p w:rsidR="0049430E" w:rsidRPr="005411E0" w:rsidRDefault="0049430E" w:rsidP="0049430E">
      <w:pPr>
        <w:pStyle w:val="Sinespaciado"/>
        <w:ind w:left="720"/>
        <w:rPr>
          <w:rFonts w:cs="Times New Roman"/>
        </w:rPr>
      </w:pPr>
    </w:p>
    <w:p w:rsidR="00D910B4" w:rsidRPr="005411E0" w:rsidRDefault="00D910B4" w:rsidP="00DE5AA3">
      <w:pPr>
        <w:ind w:left="709"/>
        <w:jc w:val="both"/>
        <w:rPr>
          <w:rFonts w:cs="Times New Roman"/>
        </w:rPr>
      </w:pPr>
      <w:r w:rsidRPr="005411E0">
        <w:rPr>
          <w:rFonts w:cs="Times New Roman"/>
        </w:rPr>
        <w:t xml:space="preserve">d) En forma supletoria a las Normas de la Ley General de Contabilidad Gubernamental y las emitidas por la CONAC </w:t>
      </w:r>
      <w:r w:rsidR="00531FE1" w:rsidRPr="005411E0">
        <w:rPr>
          <w:rFonts w:cs="Times New Roman"/>
        </w:rPr>
        <w:t xml:space="preserve"> </w:t>
      </w:r>
      <w:r w:rsidRPr="005411E0">
        <w:rPr>
          <w:rFonts w:cs="Times New Roman"/>
        </w:rPr>
        <w:t>aplicará las siguientes:</w:t>
      </w:r>
    </w:p>
    <w:p w:rsidR="00D910B4" w:rsidRPr="005411E0" w:rsidRDefault="00D910B4" w:rsidP="0049430E">
      <w:pPr>
        <w:pStyle w:val="Prrafodelista"/>
        <w:numPr>
          <w:ilvl w:val="0"/>
          <w:numId w:val="10"/>
        </w:numPr>
        <w:jc w:val="both"/>
        <w:rPr>
          <w:rFonts w:eastAsiaTheme="minorHAnsi" w:cs="Times New Roman"/>
          <w:lang w:eastAsia="en-US"/>
        </w:rPr>
      </w:pPr>
      <w:r w:rsidRPr="005411E0">
        <w:rPr>
          <w:rFonts w:eastAsiaTheme="minorHAnsi" w:cs="Times New Roman"/>
          <w:lang w:eastAsia="en-US"/>
        </w:rPr>
        <w:t>Normatividad emitida por las unidades administrativas o instancias competentes en materia de Contabilidad Gubernamental.</w:t>
      </w:r>
    </w:p>
    <w:p w:rsidR="00D910B4" w:rsidRPr="005411E0" w:rsidRDefault="00D910B4" w:rsidP="0049430E">
      <w:pPr>
        <w:pStyle w:val="Prrafodelista"/>
        <w:numPr>
          <w:ilvl w:val="0"/>
          <w:numId w:val="10"/>
        </w:numPr>
        <w:jc w:val="both"/>
        <w:rPr>
          <w:rFonts w:eastAsiaTheme="minorHAnsi" w:cs="Times New Roman"/>
          <w:lang w:eastAsia="en-US"/>
        </w:rPr>
      </w:pPr>
      <w:r w:rsidRPr="005411E0">
        <w:rPr>
          <w:rFonts w:eastAsiaTheme="minorHAnsi" w:cs="Times New Roman"/>
          <w:lang w:eastAsia="en-US"/>
        </w:rPr>
        <w:t>Las Normas Internacionales de Contabilidad para el sector público (NICSP) emitidas por la junta de Normas Internacionales de Contabilidad del Sector Público.</w:t>
      </w:r>
    </w:p>
    <w:p w:rsidR="00D910B4" w:rsidRDefault="00D910B4" w:rsidP="0049430E">
      <w:pPr>
        <w:pStyle w:val="Prrafodelista"/>
        <w:numPr>
          <w:ilvl w:val="0"/>
          <w:numId w:val="10"/>
        </w:numPr>
        <w:jc w:val="both"/>
        <w:rPr>
          <w:rFonts w:eastAsiaTheme="minorHAnsi" w:cs="Times New Roman"/>
          <w:lang w:eastAsia="en-US"/>
        </w:rPr>
      </w:pPr>
      <w:r w:rsidRPr="005411E0">
        <w:rPr>
          <w:rFonts w:eastAsiaTheme="minorHAnsi" w:cs="Times New Roman"/>
          <w:lang w:eastAsia="en-US"/>
        </w:rPr>
        <w:t>Las Normas de información financiera del Consejo Mexicano para la investigación y Desarrollo de Normas de Información Financiera A.C. (CINIF).</w:t>
      </w:r>
    </w:p>
    <w:p w:rsidR="00D72A77" w:rsidRDefault="00D72A77" w:rsidP="009E05AB">
      <w:pPr>
        <w:jc w:val="both"/>
        <w:rPr>
          <w:rFonts w:cs="Times New Roman"/>
        </w:rPr>
      </w:pPr>
    </w:p>
    <w:p w:rsidR="009E05AB" w:rsidRPr="009E05AB" w:rsidRDefault="00554477" w:rsidP="009E05AB">
      <w:pPr>
        <w:jc w:val="both"/>
        <w:rPr>
          <w:rFonts w:cs="Times New Roman"/>
        </w:rPr>
      </w:pPr>
      <w:r>
        <w:rPr>
          <w:rFonts w:cs="Times New Roman"/>
        </w:rPr>
        <w:t>“</w:t>
      </w:r>
      <w:r w:rsidR="00D013CE">
        <w:rPr>
          <w:rFonts w:cs="Times New Roman"/>
        </w:rPr>
        <w:t>L</w:t>
      </w:r>
      <w:r>
        <w:rPr>
          <w:rFonts w:cs="Times New Roman"/>
        </w:rPr>
        <w:t xml:space="preserve">os suscritos manifestamos bajo protesta de decir verdad que, </w:t>
      </w:r>
      <w:r w:rsidR="00D013CE">
        <w:rPr>
          <w:rFonts w:cs="Times New Roman"/>
        </w:rPr>
        <w:t xml:space="preserve">en el ámbito de nuestras respectivas funciones, preparamos la información relativa a la emisora contenida en el presente reporte trimestral, la cual, a nuestra leal saber y entender, refleja razonablemente su situación. Asimismo, manifestamos que no tenemos conocimiento de información relevante que haya sido omitida o falseada en este reporte trimestral o que el mismo contenga información que pudiera inducir a error a los inversionistas”. </w:t>
      </w:r>
    </w:p>
    <w:sectPr w:rsidR="009E05AB" w:rsidRPr="009E05AB" w:rsidSect="00A464F6">
      <w:headerReference w:type="default" r:id="rId10"/>
      <w:footerReference w:type="default" r:id="rId11"/>
      <w:pgSz w:w="12240" w:h="15840"/>
      <w:pgMar w:top="236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0624" w:rsidRDefault="004A0624" w:rsidP="00A464F6">
      <w:pPr>
        <w:spacing w:after="0" w:line="240" w:lineRule="auto"/>
      </w:pPr>
      <w:r>
        <w:separator/>
      </w:r>
    </w:p>
  </w:endnote>
  <w:endnote w:type="continuationSeparator" w:id="0">
    <w:p w:rsidR="004A0624" w:rsidRDefault="004A0624" w:rsidP="00A464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8161"/>
      <w:gridCol w:w="907"/>
    </w:tblGrid>
    <w:tr w:rsidR="004A391E">
      <w:tc>
        <w:tcPr>
          <w:tcW w:w="4500" w:type="pct"/>
          <w:tcBorders>
            <w:top w:val="single" w:sz="4" w:space="0" w:color="000000" w:themeColor="text1"/>
          </w:tcBorders>
        </w:tcPr>
        <w:p w:rsidR="004A391E" w:rsidRDefault="004A391E">
          <w:pPr>
            <w:pStyle w:val="Piedepgina"/>
            <w:jc w:val="right"/>
          </w:pPr>
        </w:p>
      </w:tc>
      <w:tc>
        <w:tcPr>
          <w:tcW w:w="500" w:type="pct"/>
          <w:tcBorders>
            <w:top w:val="single" w:sz="4" w:space="0" w:color="C0504D" w:themeColor="accent2"/>
          </w:tcBorders>
          <w:shd w:val="clear" w:color="auto" w:fill="943634" w:themeFill="accent2" w:themeFillShade="BF"/>
        </w:tcPr>
        <w:p w:rsidR="004A391E" w:rsidRDefault="006A4AE0">
          <w:pPr>
            <w:pStyle w:val="Encabezado"/>
            <w:rPr>
              <w:color w:val="FFFFFF" w:themeColor="background1"/>
            </w:rPr>
          </w:pPr>
          <w:fldSimple w:instr=" PAGE   \* MERGEFORMAT ">
            <w:r w:rsidR="007C16EE" w:rsidRPr="007C16EE">
              <w:rPr>
                <w:noProof/>
                <w:color w:val="FFFFFF" w:themeColor="background1"/>
              </w:rPr>
              <w:t>16</w:t>
            </w:r>
          </w:fldSimple>
        </w:p>
      </w:tc>
    </w:tr>
  </w:tbl>
  <w:p w:rsidR="004A391E" w:rsidRDefault="004A391E" w:rsidP="004A391E">
    <w:pPr>
      <w:pStyle w:val="Piedepgin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0624" w:rsidRDefault="004A0624" w:rsidP="00A464F6">
      <w:pPr>
        <w:spacing w:after="0" w:line="240" w:lineRule="auto"/>
      </w:pPr>
      <w:r>
        <w:separator/>
      </w:r>
    </w:p>
  </w:footnote>
  <w:footnote w:type="continuationSeparator" w:id="0">
    <w:p w:rsidR="004A0624" w:rsidRDefault="004A0624" w:rsidP="00A464F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4F6" w:rsidRDefault="00A464F6">
    <w:pPr>
      <w:pStyle w:val="Encabezado"/>
    </w:pPr>
    <w:r w:rsidRPr="00A464F6">
      <w:rPr>
        <w:noProof/>
        <w:lang w:eastAsia="es-MX"/>
      </w:rPr>
      <w:drawing>
        <wp:anchor distT="0" distB="0" distL="114300" distR="114300" simplePos="0" relativeHeight="251659264" behindDoc="1" locked="0" layoutInCell="1" allowOverlap="1">
          <wp:simplePos x="0" y="0"/>
          <wp:positionH relativeFrom="column">
            <wp:posOffset>-349250</wp:posOffset>
          </wp:positionH>
          <wp:positionV relativeFrom="paragraph">
            <wp:posOffset>-194945</wp:posOffset>
          </wp:positionV>
          <wp:extent cx="1139825" cy="1136015"/>
          <wp:effectExtent l="19050" t="0" r="3175" b="0"/>
          <wp:wrapTight wrapText="bothSides">
            <wp:wrapPolygon edited="0">
              <wp:start x="7942" y="362"/>
              <wp:lineTo x="6137" y="1087"/>
              <wp:lineTo x="2527" y="5071"/>
              <wp:lineTo x="3610" y="11953"/>
              <wp:lineTo x="3971" y="12677"/>
              <wp:lineTo x="10108" y="17748"/>
              <wp:lineTo x="0" y="17748"/>
              <wp:lineTo x="-361" y="19197"/>
              <wp:lineTo x="4693" y="21008"/>
              <wp:lineTo x="16967" y="21008"/>
              <wp:lineTo x="21660" y="19197"/>
              <wp:lineTo x="21299" y="17748"/>
              <wp:lineTo x="11191" y="17748"/>
              <wp:lineTo x="17328" y="12315"/>
              <wp:lineTo x="17689" y="11953"/>
              <wp:lineTo x="18411" y="6882"/>
              <wp:lineTo x="18772" y="5071"/>
              <wp:lineTo x="15162" y="1449"/>
              <wp:lineTo x="12996" y="362"/>
              <wp:lineTo x="7942" y="362"/>
            </wp:wrapPolygon>
          </wp:wrapTight>
          <wp:docPr id="238" name="Imagen 3" descr="C:\Users\admin\AppData\Local\Temp\EscudoNacio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AppData\Local\Temp\EscudoNacional.png"/>
                  <pic:cNvPicPr>
                    <a:picLocks noChangeAspect="1" noChangeArrowheads="1"/>
                  </pic:cNvPicPr>
                </pic:nvPicPr>
                <pic:blipFill>
                  <a:blip r:embed="rId1"/>
                  <a:srcRect/>
                  <a:stretch>
                    <a:fillRect/>
                  </a:stretch>
                </pic:blipFill>
                <pic:spPr bwMode="auto">
                  <a:xfrm>
                    <a:off x="0" y="0"/>
                    <a:ext cx="1139825" cy="1136015"/>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539BC"/>
    <w:multiLevelType w:val="hybridMultilevel"/>
    <w:tmpl w:val="47B68B8A"/>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
    <w:nsid w:val="06AF1F9E"/>
    <w:multiLevelType w:val="hybridMultilevel"/>
    <w:tmpl w:val="9A2C28AC"/>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
    <w:nsid w:val="11384204"/>
    <w:multiLevelType w:val="hybridMultilevel"/>
    <w:tmpl w:val="94F04C5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27E212C"/>
    <w:multiLevelType w:val="hybridMultilevel"/>
    <w:tmpl w:val="8B7A60FE"/>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4">
    <w:nsid w:val="18923D7C"/>
    <w:multiLevelType w:val="hybridMultilevel"/>
    <w:tmpl w:val="FE1C0574"/>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5">
    <w:nsid w:val="323318E0"/>
    <w:multiLevelType w:val="hybridMultilevel"/>
    <w:tmpl w:val="0088D1BA"/>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6">
    <w:nsid w:val="351F2030"/>
    <w:multiLevelType w:val="hybridMultilevel"/>
    <w:tmpl w:val="22C8C686"/>
    <w:lvl w:ilvl="0" w:tplc="3460A388">
      <w:start w:val="1"/>
      <w:numFmt w:val="lowerLetter"/>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7">
    <w:nsid w:val="48CB6A10"/>
    <w:multiLevelType w:val="hybridMultilevel"/>
    <w:tmpl w:val="8872FFF0"/>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8">
    <w:nsid w:val="49174EA6"/>
    <w:multiLevelType w:val="hybridMultilevel"/>
    <w:tmpl w:val="FD74D936"/>
    <w:lvl w:ilvl="0" w:tplc="080A0001">
      <w:start w:val="1"/>
      <w:numFmt w:val="bullet"/>
      <w:lvlText w:val=""/>
      <w:lvlJc w:val="left"/>
      <w:pPr>
        <w:ind w:left="1506" w:hanging="360"/>
      </w:pPr>
      <w:rPr>
        <w:rFonts w:ascii="Symbol" w:hAnsi="Symbol" w:hint="default"/>
      </w:rPr>
    </w:lvl>
    <w:lvl w:ilvl="1" w:tplc="080A0003" w:tentative="1">
      <w:start w:val="1"/>
      <w:numFmt w:val="bullet"/>
      <w:lvlText w:val="o"/>
      <w:lvlJc w:val="left"/>
      <w:pPr>
        <w:ind w:left="2226" w:hanging="360"/>
      </w:pPr>
      <w:rPr>
        <w:rFonts w:ascii="Courier New" w:hAnsi="Courier New" w:cs="Courier New" w:hint="default"/>
      </w:rPr>
    </w:lvl>
    <w:lvl w:ilvl="2" w:tplc="080A0005" w:tentative="1">
      <w:start w:val="1"/>
      <w:numFmt w:val="bullet"/>
      <w:lvlText w:val=""/>
      <w:lvlJc w:val="left"/>
      <w:pPr>
        <w:ind w:left="2946" w:hanging="360"/>
      </w:pPr>
      <w:rPr>
        <w:rFonts w:ascii="Wingdings" w:hAnsi="Wingdings" w:hint="default"/>
      </w:rPr>
    </w:lvl>
    <w:lvl w:ilvl="3" w:tplc="080A0001" w:tentative="1">
      <w:start w:val="1"/>
      <w:numFmt w:val="bullet"/>
      <w:lvlText w:val=""/>
      <w:lvlJc w:val="left"/>
      <w:pPr>
        <w:ind w:left="3666" w:hanging="360"/>
      </w:pPr>
      <w:rPr>
        <w:rFonts w:ascii="Symbol" w:hAnsi="Symbol" w:hint="default"/>
      </w:rPr>
    </w:lvl>
    <w:lvl w:ilvl="4" w:tplc="080A0003" w:tentative="1">
      <w:start w:val="1"/>
      <w:numFmt w:val="bullet"/>
      <w:lvlText w:val="o"/>
      <w:lvlJc w:val="left"/>
      <w:pPr>
        <w:ind w:left="4386" w:hanging="360"/>
      </w:pPr>
      <w:rPr>
        <w:rFonts w:ascii="Courier New" w:hAnsi="Courier New" w:cs="Courier New" w:hint="default"/>
      </w:rPr>
    </w:lvl>
    <w:lvl w:ilvl="5" w:tplc="080A0005" w:tentative="1">
      <w:start w:val="1"/>
      <w:numFmt w:val="bullet"/>
      <w:lvlText w:val=""/>
      <w:lvlJc w:val="left"/>
      <w:pPr>
        <w:ind w:left="5106" w:hanging="360"/>
      </w:pPr>
      <w:rPr>
        <w:rFonts w:ascii="Wingdings" w:hAnsi="Wingdings" w:hint="default"/>
      </w:rPr>
    </w:lvl>
    <w:lvl w:ilvl="6" w:tplc="080A0001" w:tentative="1">
      <w:start w:val="1"/>
      <w:numFmt w:val="bullet"/>
      <w:lvlText w:val=""/>
      <w:lvlJc w:val="left"/>
      <w:pPr>
        <w:ind w:left="5826" w:hanging="360"/>
      </w:pPr>
      <w:rPr>
        <w:rFonts w:ascii="Symbol" w:hAnsi="Symbol" w:hint="default"/>
      </w:rPr>
    </w:lvl>
    <w:lvl w:ilvl="7" w:tplc="080A0003" w:tentative="1">
      <w:start w:val="1"/>
      <w:numFmt w:val="bullet"/>
      <w:lvlText w:val="o"/>
      <w:lvlJc w:val="left"/>
      <w:pPr>
        <w:ind w:left="6546" w:hanging="360"/>
      </w:pPr>
      <w:rPr>
        <w:rFonts w:ascii="Courier New" w:hAnsi="Courier New" w:cs="Courier New" w:hint="default"/>
      </w:rPr>
    </w:lvl>
    <w:lvl w:ilvl="8" w:tplc="080A0005" w:tentative="1">
      <w:start w:val="1"/>
      <w:numFmt w:val="bullet"/>
      <w:lvlText w:val=""/>
      <w:lvlJc w:val="left"/>
      <w:pPr>
        <w:ind w:left="7266" w:hanging="360"/>
      </w:pPr>
      <w:rPr>
        <w:rFonts w:ascii="Wingdings" w:hAnsi="Wingdings" w:hint="default"/>
      </w:rPr>
    </w:lvl>
  </w:abstractNum>
  <w:abstractNum w:abstractNumId="9">
    <w:nsid w:val="539131A6"/>
    <w:multiLevelType w:val="hybridMultilevel"/>
    <w:tmpl w:val="C882D200"/>
    <w:lvl w:ilvl="0" w:tplc="080A0001">
      <w:start w:val="1"/>
      <w:numFmt w:val="bullet"/>
      <w:lvlText w:val=""/>
      <w:lvlJc w:val="left"/>
      <w:pPr>
        <w:ind w:left="1506" w:hanging="360"/>
      </w:pPr>
      <w:rPr>
        <w:rFonts w:ascii="Symbol" w:hAnsi="Symbol" w:hint="default"/>
      </w:rPr>
    </w:lvl>
    <w:lvl w:ilvl="1" w:tplc="080A0003" w:tentative="1">
      <w:start w:val="1"/>
      <w:numFmt w:val="bullet"/>
      <w:lvlText w:val="o"/>
      <w:lvlJc w:val="left"/>
      <w:pPr>
        <w:ind w:left="2226" w:hanging="360"/>
      </w:pPr>
      <w:rPr>
        <w:rFonts w:ascii="Courier New" w:hAnsi="Courier New" w:cs="Courier New" w:hint="default"/>
      </w:rPr>
    </w:lvl>
    <w:lvl w:ilvl="2" w:tplc="080A0005" w:tentative="1">
      <w:start w:val="1"/>
      <w:numFmt w:val="bullet"/>
      <w:lvlText w:val=""/>
      <w:lvlJc w:val="left"/>
      <w:pPr>
        <w:ind w:left="2946" w:hanging="360"/>
      </w:pPr>
      <w:rPr>
        <w:rFonts w:ascii="Wingdings" w:hAnsi="Wingdings" w:hint="default"/>
      </w:rPr>
    </w:lvl>
    <w:lvl w:ilvl="3" w:tplc="080A0001" w:tentative="1">
      <w:start w:val="1"/>
      <w:numFmt w:val="bullet"/>
      <w:lvlText w:val=""/>
      <w:lvlJc w:val="left"/>
      <w:pPr>
        <w:ind w:left="3666" w:hanging="360"/>
      </w:pPr>
      <w:rPr>
        <w:rFonts w:ascii="Symbol" w:hAnsi="Symbol" w:hint="default"/>
      </w:rPr>
    </w:lvl>
    <w:lvl w:ilvl="4" w:tplc="080A0003" w:tentative="1">
      <w:start w:val="1"/>
      <w:numFmt w:val="bullet"/>
      <w:lvlText w:val="o"/>
      <w:lvlJc w:val="left"/>
      <w:pPr>
        <w:ind w:left="4386" w:hanging="360"/>
      </w:pPr>
      <w:rPr>
        <w:rFonts w:ascii="Courier New" w:hAnsi="Courier New" w:cs="Courier New" w:hint="default"/>
      </w:rPr>
    </w:lvl>
    <w:lvl w:ilvl="5" w:tplc="080A0005" w:tentative="1">
      <w:start w:val="1"/>
      <w:numFmt w:val="bullet"/>
      <w:lvlText w:val=""/>
      <w:lvlJc w:val="left"/>
      <w:pPr>
        <w:ind w:left="5106" w:hanging="360"/>
      </w:pPr>
      <w:rPr>
        <w:rFonts w:ascii="Wingdings" w:hAnsi="Wingdings" w:hint="default"/>
      </w:rPr>
    </w:lvl>
    <w:lvl w:ilvl="6" w:tplc="080A0001" w:tentative="1">
      <w:start w:val="1"/>
      <w:numFmt w:val="bullet"/>
      <w:lvlText w:val=""/>
      <w:lvlJc w:val="left"/>
      <w:pPr>
        <w:ind w:left="5826" w:hanging="360"/>
      </w:pPr>
      <w:rPr>
        <w:rFonts w:ascii="Symbol" w:hAnsi="Symbol" w:hint="default"/>
      </w:rPr>
    </w:lvl>
    <w:lvl w:ilvl="7" w:tplc="080A0003" w:tentative="1">
      <w:start w:val="1"/>
      <w:numFmt w:val="bullet"/>
      <w:lvlText w:val="o"/>
      <w:lvlJc w:val="left"/>
      <w:pPr>
        <w:ind w:left="6546" w:hanging="360"/>
      </w:pPr>
      <w:rPr>
        <w:rFonts w:ascii="Courier New" w:hAnsi="Courier New" w:cs="Courier New" w:hint="default"/>
      </w:rPr>
    </w:lvl>
    <w:lvl w:ilvl="8" w:tplc="080A0005" w:tentative="1">
      <w:start w:val="1"/>
      <w:numFmt w:val="bullet"/>
      <w:lvlText w:val=""/>
      <w:lvlJc w:val="left"/>
      <w:pPr>
        <w:ind w:left="7266" w:hanging="360"/>
      </w:pPr>
      <w:rPr>
        <w:rFonts w:ascii="Wingdings" w:hAnsi="Wingdings" w:hint="default"/>
      </w:rPr>
    </w:lvl>
  </w:abstractNum>
  <w:abstractNum w:abstractNumId="10">
    <w:nsid w:val="554F6E56"/>
    <w:multiLevelType w:val="hybridMultilevel"/>
    <w:tmpl w:val="7FE6FA46"/>
    <w:lvl w:ilvl="0" w:tplc="9482E6DE">
      <w:start w:val="1"/>
      <w:numFmt w:val="lowerLetter"/>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1">
    <w:nsid w:val="58561CB2"/>
    <w:multiLevelType w:val="hybridMultilevel"/>
    <w:tmpl w:val="2760ED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659134BF"/>
    <w:multiLevelType w:val="hybridMultilevel"/>
    <w:tmpl w:val="807A6FE4"/>
    <w:lvl w:ilvl="0" w:tplc="AE5A5844">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6B2C44CA"/>
    <w:multiLevelType w:val="hybridMultilevel"/>
    <w:tmpl w:val="8E060B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6F9451C7"/>
    <w:multiLevelType w:val="hybridMultilevel"/>
    <w:tmpl w:val="EB92F1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75F578DE"/>
    <w:multiLevelType w:val="hybridMultilevel"/>
    <w:tmpl w:val="4AB0ABCE"/>
    <w:lvl w:ilvl="0" w:tplc="080A000B">
      <w:start w:val="1"/>
      <w:numFmt w:val="bullet"/>
      <w:lvlText w:val=""/>
      <w:lvlJc w:val="left"/>
      <w:pPr>
        <w:ind w:left="1146" w:hanging="360"/>
      </w:pPr>
      <w:rPr>
        <w:rFonts w:ascii="Wingdings" w:hAnsi="Wingdings"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num w:numId="1">
    <w:abstractNumId w:val="1"/>
  </w:num>
  <w:num w:numId="2">
    <w:abstractNumId w:val="11"/>
  </w:num>
  <w:num w:numId="3">
    <w:abstractNumId w:val="12"/>
  </w:num>
  <w:num w:numId="4">
    <w:abstractNumId w:val="13"/>
  </w:num>
  <w:num w:numId="5">
    <w:abstractNumId w:val="3"/>
  </w:num>
  <w:num w:numId="6">
    <w:abstractNumId w:val="5"/>
  </w:num>
  <w:num w:numId="7">
    <w:abstractNumId w:val="14"/>
  </w:num>
  <w:num w:numId="8">
    <w:abstractNumId w:val="7"/>
  </w:num>
  <w:num w:numId="9">
    <w:abstractNumId w:val="2"/>
  </w:num>
  <w:num w:numId="10">
    <w:abstractNumId w:val="9"/>
  </w:num>
  <w:num w:numId="11">
    <w:abstractNumId w:val="6"/>
  </w:num>
  <w:num w:numId="12">
    <w:abstractNumId w:val="15"/>
  </w:num>
  <w:num w:numId="13">
    <w:abstractNumId w:val="10"/>
  </w:num>
  <w:num w:numId="14">
    <w:abstractNumId w:val="4"/>
  </w:num>
  <w:num w:numId="15">
    <w:abstractNumId w:val="8"/>
  </w:num>
  <w:num w:numId="1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footnotePr>
    <w:footnote w:id="-1"/>
    <w:footnote w:id="0"/>
  </w:footnotePr>
  <w:endnotePr>
    <w:endnote w:id="-1"/>
    <w:endnote w:id="0"/>
  </w:endnotePr>
  <w:compat/>
  <w:rsids>
    <w:rsidRoot w:val="001B2C74"/>
    <w:rsid w:val="0000326B"/>
    <w:rsid w:val="000172B9"/>
    <w:rsid w:val="000374CD"/>
    <w:rsid w:val="00046A6D"/>
    <w:rsid w:val="000519DD"/>
    <w:rsid w:val="00055D67"/>
    <w:rsid w:val="000636C1"/>
    <w:rsid w:val="00077A19"/>
    <w:rsid w:val="00081A05"/>
    <w:rsid w:val="00093626"/>
    <w:rsid w:val="000A1C1C"/>
    <w:rsid w:val="000B176F"/>
    <w:rsid w:val="000B4799"/>
    <w:rsid w:val="000B6384"/>
    <w:rsid w:val="000D2789"/>
    <w:rsid w:val="000E7441"/>
    <w:rsid w:val="000F7018"/>
    <w:rsid w:val="000F7C8A"/>
    <w:rsid w:val="00114A08"/>
    <w:rsid w:val="0018675C"/>
    <w:rsid w:val="001B2C74"/>
    <w:rsid w:val="001B2FE1"/>
    <w:rsid w:val="001D7445"/>
    <w:rsid w:val="001E3703"/>
    <w:rsid w:val="001F01BD"/>
    <w:rsid w:val="00216187"/>
    <w:rsid w:val="002173AC"/>
    <w:rsid w:val="002243A4"/>
    <w:rsid w:val="00226F3C"/>
    <w:rsid w:val="002271BF"/>
    <w:rsid w:val="0025536E"/>
    <w:rsid w:val="00284C5D"/>
    <w:rsid w:val="002878C4"/>
    <w:rsid w:val="00291CCA"/>
    <w:rsid w:val="00296443"/>
    <w:rsid w:val="00297D92"/>
    <w:rsid w:val="002A6459"/>
    <w:rsid w:val="002A6FA5"/>
    <w:rsid w:val="002B0A7F"/>
    <w:rsid w:val="002B3B76"/>
    <w:rsid w:val="002C0339"/>
    <w:rsid w:val="002C07DD"/>
    <w:rsid w:val="002F1447"/>
    <w:rsid w:val="002F2A89"/>
    <w:rsid w:val="00306AE7"/>
    <w:rsid w:val="00321245"/>
    <w:rsid w:val="00347E0A"/>
    <w:rsid w:val="003536AD"/>
    <w:rsid w:val="0036053D"/>
    <w:rsid w:val="003642B6"/>
    <w:rsid w:val="003C1C54"/>
    <w:rsid w:val="003C603B"/>
    <w:rsid w:val="003E1B6B"/>
    <w:rsid w:val="003F192B"/>
    <w:rsid w:val="003F2430"/>
    <w:rsid w:val="003F6A83"/>
    <w:rsid w:val="00412A5F"/>
    <w:rsid w:val="004209A8"/>
    <w:rsid w:val="00430E4D"/>
    <w:rsid w:val="0043110F"/>
    <w:rsid w:val="004416A5"/>
    <w:rsid w:val="00443B2E"/>
    <w:rsid w:val="0045231D"/>
    <w:rsid w:val="00467BD1"/>
    <w:rsid w:val="004869EE"/>
    <w:rsid w:val="0049430E"/>
    <w:rsid w:val="004A0624"/>
    <w:rsid w:val="004A391E"/>
    <w:rsid w:val="004A709E"/>
    <w:rsid w:val="004B2CE1"/>
    <w:rsid w:val="004D304F"/>
    <w:rsid w:val="004D588C"/>
    <w:rsid w:val="004E5AC4"/>
    <w:rsid w:val="005019BA"/>
    <w:rsid w:val="0052587C"/>
    <w:rsid w:val="005275FE"/>
    <w:rsid w:val="00527C64"/>
    <w:rsid w:val="00527E17"/>
    <w:rsid w:val="0053060D"/>
    <w:rsid w:val="00531FE1"/>
    <w:rsid w:val="005411E0"/>
    <w:rsid w:val="00545467"/>
    <w:rsid w:val="00554477"/>
    <w:rsid w:val="005622FA"/>
    <w:rsid w:val="00564A6D"/>
    <w:rsid w:val="0056796E"/>
    <w:rsid w:val="00570C22"/>
    <w:rsid w:val="005743BB"/>
    <w:rsid w:val="00581DCF"/>
    <w:rsid w:val="00581FCE"/>
    <w:rsid w:val="00595A7B"/>
    <w:rsid w:val="005B5267"/>
    <w:rsid w:val="005E40A5"/>
    <w:rsid w:val="005E5206"/>
    <w:rsid w:val="005F446C"/>
    <w:rsid w:val="00613751"/>
    <w:rsid w:val="0063341C"/>
    <w:rsid w:val="00636D72"/>
    <w:rsid w:val="00637984"/>
    <w:rsid w:val="00647A70"/>
    <w:rsid w:val="00653D94"/>
    <w:rsid w:val="00660FEE"/>
    <w:rsid w:val="0066346E"/>
    <w:rsid w:val="00664947"/>
    <w:rsid w:val="006717D9"/>
    <w:rsid w:val="0068734F"/>
    <w:rsid w:val="006A11DB"/>
    <w:rsid w:val="006A214B"/>
    <w:rsid w:val="006A4AE0"/>
    <w:rsid w:val="006B187C"/>
    <w:rsid w:val="006B2377"/>
    <w:rsid w:val="006B36DA"/>
    <w:rsid w:val="006D7297"/>
    <w:rsid w:val="006D731D"/>
    <w:rsid w:val="006E57ED"/>
    <w:rsid w:val="006F3804"/>
    <w:rsid w:val="0071009E"/>
    <w:rsid w:val="007218A5"/>
    <w:rsid w:val="00730F51"/>
    <w:rsid w:val="00746D32"/>
    <w:rsid w:val="00761BDA"/>
    <w:rsid w:val="0076247A"/>
    <w:rsid w:val="007775C8"/>
    <w:rsid w:val="00791CDC"/>
    <w:rsid w:val="00793CFE"/>
    <w:rsid w:val="00797F80"/>
    <w:rsid w:val="007A2A0C"/>
    <w:rsid w:val="007A3434"/>
    <w:rsid w:val="007A5DBC"/>
    <w:rsid w:val="007B0E0D"/>
    <w:rsid w:val="007C16EE"/>
    <w:rsid w:val="007C344A"/>
    <w:rsid w:val="007C7872"/>
    <w:rsid w:val="007E13F7"/>
    <w:rsid w:val="007F028A"/>
    <w:rsid w:val="007F5A01"/>
    <w:rsid w:val="007F6A7F"/>
    <w:rsid w:val="008002CF"/>
    <w:rsid w:val="00811CA4"/>
    <w:rsid w:val="00837AFD"/>
    <w:rsid w:val="00844675"/>
    <w:rsid w:val="00850ED5"/>
    <w:rsid w:val="00852BB7"/>
    <w:rsid w:val="00882610"/>
    <w:rsid w:val="00883C21"/>
    <w:rsid w:val="00886E4D"/>
    <w:rsid w:val="00892873"/>
    <w:rsid w:val="00894AE0"/>
    <w:rsid w:val="008A07C7"/>
    <w:rsid w:val="008B21AE"/>
    <w:rsid w:val="008B2CFC"/>
    <w:rsid w:val="008B490E"/>
    <w:rsid w:val="008C503F"/>
    <w:rsid w:val="008D3757"/>
    <w:rsid w:val="008E0466"/>
    <w:rsid w:val="008F1B5F"/>
    <w:rsid w:val="008F35FA"/>
    <w:rsid w:val="0090156F"/>
    <w:rsid w:val="00904C9E"/>
    <w:rsid w:val="00906D34"/>
    <w:rsid w:val="00912BC6"/>
    <w:rsid w:val="00916AE1"/>
    <w:rsid w:val="00926A3E"/>
    <w:rsid w:val="009276C6"/>
    <w:rsid w:val="00946120"/>
    <w:rsid w:val="00946AD5"/>
    <w:rsid w:val="00950EFD"/>
    <w:rsid w:val="00953D70"/>
    <w:rsid w:val="00963C9B"/>
    <w:rsid w:val="00976307"/>
    <w:rsid w:val="00981E7D"/>
    <w:rsid w:val="009866AB"/>
    <w:rsid w:val="00990E13"/>
    <w:rsid w:val="009A22F4"/>
    <w:rsid w:val="009D2AC3"/>
    <w:rsid w:val="009E05AB"/>
    <w:rsid w:val="009E7F40"/>
    <w:rsid w:val="009F0682"/>
    <w:rsid w:val="009F1581"/>
    <w:rsid w:val="009F7FA5"/>
    <w:rsid w:val="00A000B4"/>
    <w:rsid w:val="00A101A3"/>
    <w:rsid w:val="00A130D2"/>
    <w:rsid w:val="00A208B0"/>
    <w:rsid w:val="00A27655"/>
    <w:rsid w:val="00A324CC"/>
    <w:rsid w:val="00A34435"/>
    <w:rsid w:val="00A43C33"/>
    <w:rsid w:val="00A464F6"/>
    <w:rsid w:val="00A55425"/>
    <w:rsid w:val="00A55EDC"/>
    <w:rsid w:val="00A72153"/>
    <w:rsid w:val="00A90137"/>
    <w:rsid w:val="00A95BD7"/>
    <w:rsid w:val="00AA4CA1"/>
    <w:rsid w:val="00AA513A"/>
    <w:rsid w:val="00AB4E83"/>
    <w:rsid w:val="00AC5EB1"/>
    <w:rsid w:val="00AD374E"/>
    <w:rsid w:val="00AE1A73"/>
    <w:rsid w:val="00AE5E41"/>
    <w:rsid w:val="00AE6A4C"/>
    <w:rsid w:val="00B0410C"/>
    <w:rsid w:val="00B06EEC"/>
    <w:rsid w:val="00B1204C"/>
    <w:rsid w:val="00B12720"/>
    <w:rsid w:val="00B14EA7"/>
    <w:rsid w:val="00B43371"/>
    <w:rsid w:val="00B519EC"/>
    <w:rsid w:val="00B54FDB"/>
    <w:rsid w:val="00B61002"/>
    <w:rsid w:val="00B76981"/>
    <w:rsid w:val="00B76C47"/>
    <w:rsid w:val="00B92D1D"/>
    <w:rsid w:val="00BA4138"/>
    <w:rsid w:val="00BA49AC"/>
    <w:rsid w:val="00BC130E"/>
    <w:rsid w:val="00BC2D8C"/>
    <w:rsid w:val="00BC6955"/>
    <w:rsid w:val="00BC76B3"/>
    <w:rsid w:val="00BD207E"/>
    <w:rsid w:val="00BD4F6F"/>
    <w:rsid w:val="00BE3F01"/>
    <w:rsid w:val="00C03F52"/>
    <w:rsid w:val="00C10A0A"/>
    <w:rsid w:val="00C14977"/>
    <w:rsid w:val="00C14DC8"/>
    <w:rsid w:val="00C20BC2"/>
    <w:rsid w:val="00C22656"/>
    <w:rsid w:val="00C3239E"/>
    <w:rsid w:val="00C3406C"/>
    <w:rsid w:val="00C34E2B"/>
    <w:rsid w:val="00C35F03"/>
    <w:rsid w:val="00C40F79"/>
    <w:rsid w:val="00C43C7B"/>
    <w:rsid w:val="00C51C2A"/>
    <w:rsid w:val="00C579C4"/>
    <w:rsid w:val="00C611C2"/>
    <w:rsid w:val="00C70B75"/>
    <w:rsid w:val="00C84BF2"/>
    <w:rsid w:val="00CA1223"/>
    <w:rsid w:val="00CA7187"/>
    <w:rsid w:val="00CE4680"/>
    <w:rsid w:val="00CE5BC0"/>
    <w:rsid w:val="00CE7872"/>
    <w:rsid w:val="00CF2EFC"/>
    <w:rsid w:val="00CF7C3B"/>
    <w:rsid w:val="00D013CE"/>
    <w:rsid w:val="00D04AED"/>
    <w:rsid w:val="00D22FF3"/>
    <w:rsid w:val="00D3053B"/>
    <w:rsid w:val="00D31082"/>
    <w:rsid w:val="00D31F62"/>
    <w:rsid w:val="00D5790B"/>
    <w:rsid w:val="00D66432"/>
    <w:rsid w:val="00D72325"/>
    <w:rsid w:val="00D72A77"/>
    <w:rsid w:val="00D84F8C"/>
    <w:rsid w:val="00D910B4"/>
    <w:rsid w:val="00DA47C9"/>
    <w:rsid w:val="00DA6604"/>
    <w:rsid w:val="00DC1537"/>
    <w:rsid w:val="00DD24EC"/>
    <w:rsid w:val="00DE3BB5"/>
    <w:rsid w:val="00DE5AA3"/>
    <w:rsid w:val="00DF3F13"/>
    <w:rsid w:val="00DF5D08"/>
    <w:rsid w:val="00DF79E6"/>
    <w:rsid w:val="00E07F3D"/>
    <w:rsid w:val="00E32388"/>
    <w:rsid w:val="00E366D5"/>
    <w:rsid w:val="00E37478"/>
    <w:rsid w:val="00E4492E"/>
    <w:rsid w:val="00E46382"/>
    <w:rsid w:val="00E81996"/>
    <w:rsid w:val="00E8218E"/>
    <w:rsid w:val="00E87407"/>
    <w:rsid w:val="00ED17B3"/>
    <w:rsid w:val="00EE28FD"/>
    <w:rsid w:val="00EF7F78"/>
    <w:rsid w:val="00F215EF"/>
    <w:rsid w:val="00F23F7C"/>
    <w:rsid w:val="00F418D3"/>
    <w:rsid w:val="00F62F72"/>
    <w:rsid w:val="00F63BED"/>
    <w:rsid w:val="00F72B38"/>
    <w:rsid w:val="00F76BAC"/>
    <w:rsid w:val="00F77F7E"/>
    <w:rsid w:val="00F82E4C"/>
    <w:rsid w:val="00FC0DDA"/>
    <w:rsid w:val="00FD4301"/>
    <w:rsid w:val="00FD4BAB"/>
    <w:rsid w:val="00FE370A"/>
    <w:rsid w:val="00FE4369"/>
    <w:rsid w:val="00FE7A44"/>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10B4"/>
  </w:style>
  <w:style w:type="paragraph" w:styleId="Ttulo2">
    <w:name w:val="heading 2"/>
    <w:basedOn w:val="Normal"/>
    <w:next w:val="Normal"/>
    <w:link w:val="Ttulo2Car"/>
    <w:qFormat/>
    <w:rsid w:val="00FE7A44"/>
    <w:pPr>
      <w:keepNext/>
      <w:spacing w:after="0" w:line="360" w:lineRule="auto"/>
      <w:jc w:val="both"/>
      <w:outlineLvl w:val="1"/>
    </w:pPr>
    <w:rPr>
      <w:rFonts w:ascii="Arial" w:eastAsia="Times New Roman" w:hAnsi="Arial" w:cs="Times New Roman"/>
      <w:spacing w:val="20"/>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B2C74"/>
    <w:pPr>
      <w:spacing w:after="0" w:line="240" w:lineRule="auto"/>
    </w:pPr>
  </w:style>
  <w:style w:type="table" w:styleId="Tablaconcuadrcula">
    <w:name w:val="Table Grid"/>
    <w:basedOn w:val="Tablanormal"/>
    <w:uiPriority w:val="59"/>
    <w:rsid w:val="00647A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271BF"/>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D31F62"/>
    <w:pPr>
      <w:ind w:left="720"/>
      <w:contextualSpacing/>
    </w:pPr>
    <w:rPr>
      <w:rFonts w:eastAsiaTheme="minorEastAsia"/>
      <w:lang w:eastAsia="es-MX"/>
    </w:rPr>
  </w:style>
  <w:style w:type="paragraph" w:styleId="Textodeglobo">
    <w:name w:val="Balloon Text"/>
    <w:basedOn w:val="Normal"/>
    <w:link w:val="TextodegloboCar"/>
    <w:uiPriority w:val="99"/>
    <w:semiHidden/>
    <w:unhideWhenUsed/>
    <w:rsid w:val="00BA49A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A49AC"/>
    <w:rPr>
      <w:rFonts w:ascii="Tahoma" w:hAnsi="Tahoma" w:cs="Tahoma"/>
      <w:sz w:val="16"/>
      <w:szCs w:val="16"/>
    </w:rPr>
  </w:style>
  <w:style w:type="paragraph" w:styleId="Encabezado">
    <w:name w:val="header"/>
    <w:basedOn w:val="Normal"/>
    <w:link w:val="EncabezadoCar"/>
    <w:uiPriority w:val="99"/>
    <w:unhideWhenUsed/>
    <w:rsid w:val="00A464F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464F6"/>
  </w:style>
  <w:style w:type="paragraph" w:styleId="Piedepgina">
    <w:name w:val="footer"/>
    <w:basedOn w:val="Normal"/>
    <w:link w:val="PiedepginaCar"/>
    <w:uiPriority w:val="99"/>
    <w:unhideWhenUsed/>
    <w:rsid w:val="00A464F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464F6"/>
  </w:style>
  <w:style w:type="character" w:customStyle="1" w:styleId="Ttulo2Car">
    <w:name w:val="Título 2 Car"/>
    <w:basedOn w:val="Fuentedeprrafopredeter"/>
    <w:link w:val="Ttulo2"/>
    <w:rsid w:val="00FE7A44"/>
    <w:rPr>
      <w:rFonts w:ascii="Arial" w:eastAsia="Times New Roman" w:hAnsi="Arial" w:cs="Times New Roman"/>
      <w:spacing w:val="20"/>
      <w:sz w:val="24"/>
      <w:szCs w:val="20"/>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10B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B2C74"/>
    <w:pPr>
      <w:spacing w:after="0" w:line="240" w:lineRule="auto"/>
    </w:pPr>
  </w:style>
  <w:style w:type="table" w:styleId="Tablaconcuadrcula">
    <w:name w:val="Table Grid"/>
    <w:basedOn w:val="Tablanormal"/>
    <w:uiPriority w:val="59"/>
    <w:rsid w:val="00647A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271BF"/>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D31F62"/>
    <w:pPr>
      <w:ind w:left="720"/>
      <w:contextualSpacing/>
    </w:pPr>
    <w:rPr>
      <w:rFonts w:eastAsiaTheme="minorEastAsia"/>
      <w:lang w:eastAsia="es-MX"/>
    </w:rPr>
  </w:style>
  <w:style w:type="paragraph" w:styleId="Textodeglobo">
    <w:name w:val="Balloon Text"/>
    <w:basedOn w:val="Normal"/>
    <w:link w:val="TextodegloboCar"/>
    <w:uiPriority w:val="99"/>
    <w:semiHidden/>
    <w:unhideWhenUsed/>
    <w:rsid w:val="00BA49A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A49A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8064338">
      <w:bodyDiv w:val="1"/>
      <w:marLeft w:val="0"/>
      <w:marRight w:val="0"/>
      <w:marTop w:val="0"/>
      <w:marBottom w:val="0"/>
      <w:divBdr>
        <w:top w:val="none" w:sz="0" w:space="0" w:color="auto"/>
        <w:left w:val="none" w:sz="0" w:space="0" w:color="auto"/>
        <w:bottom w:val="none" w:sz="0" w:space="0" w:color="auto"/>
        <w:right w:val="none" w:sz="0" w:space="0" w:color="auto"/>
      </w:divBdr>
    </w:div>
    <w:div w:id="443232780">
      <w:bodyDiv w:val="1"/>
      <w:marLeft w:val="0"/>
      <w:marRight w:val="0"/>
      <w:marTop w:val="0"/>
      <w:marBottom w:val="0"/>
      <w:divBdr>
        <w:top w:val="none" w:sz="0" w:space="0" w:color="auto"/>
        <w:left w:val="none" w:sz="0" w:space="0" w:color="auto"/>
        <w:bottom w:val="none" w:sz="0" w:space="0" w:color="auto"/>
        <w:right w:val="none" w:sz="0" w:space="0" w:color="auto"/>
      </w:divBdr>
    </w:div>
    <w:div w:id="477575911">
      <w:bodyDiv w:val="1"/>
      <w:marLeft w:val="0"/>
      <w:marRight w:val="0"/>
      <w:marTop w:val="0"/>
      <w:marBottom w:val="0"/>
      <w:divBdr>
        <w:top w:val="none" w:sz="0" w:space="0" w:color="auto"/>
        <w:left w:val="none" w:sz="0" w:space="0" w:color="auto"/>
        <w:bottom w:val="none" w:sz="0" w:space="0" w:color="auto"/>
        <w:right w:val="none" w:sz="0" w:space="0" w:color="auto"/>
      </w:divBdr>
    </w:div>
    <w:div w:id="772439254">
      <w:bodyDiv w:val="1"/>
      <w:marLeft w:val="0"/>
      <w:marRight w:val="0"/>
      <w:marTop w:val="0"/>
      <w:marBottom w:val="0"/>
      <w:divBdr>
        <w:top w:val="none" w:sz="0" w:space="0" w:color="auto"/>
        <w:left w:val="none" w:sz="0" w:space="0" w:color="auto"/>
        <w:bottom w:val="none" w:sz="0" w:space="0" w:color="auto"/>
        <w:right w:val="none" w:sz="0" w:space="0" w:color="auto"/>
      </w:divBdr>
    </w:div>
    <w:div w:id="838275196">
      <w:bodyDiv w:val="1"/>
      <w:marLeft w:val="0"/>
      <w:marRight w:val="0"/>
      <w:marTop w:val="0"/>
      <w:marBottom w:val="0"/>
      <w:divBdr>
        <w:top w:val="none" w:sz="0" w:space="0" w:color="auto"/>
        <w:left w:val="none" w:sz="0" w:space="0" w:color="auto"/>
        <w:bottom w:val="none" w:sz="0" w:space="0" w:color="auto"/>
        <w:right w:val="none" w:sz="0" w:space="0" w:color="auto"/>
      </w:divBdr>
    </w:div>
    <w:div w:id="1025910209">
      <w:bodyDiv w:val="1"/>
      <w:marLeft w:val="0"/>
      <w:marRight w:val="0"/>
      <w:marTop w:val="0"/>
      <w:marBottom w:val="0"/>
      <w:divBdr>
        <w:top w:val="none" w:sz="0" w:space="0" w:color="auto"/>
        <w:left w:val="none" w:sz="0" w:space="0" w:color="auto"/>
        <w:bottom w:val="none" w:sz="0" w:space="0" w:color="auto"/>
        <w:right w:val="none" w:sz="0" w:space="0" w:color="auto"/>
      </w:divBdr>
    </w:div>
    <w:div w:id="1684360824">
      <w:bodyDiv w:val="1"/>
      <w:marLeft w:val="0"/>
      <w:marRight w:val="0"/>
      <w:marTop w:val="0"/>
      <w:marBottom w:val="0"/>
      <w:divBdr>
        <w:top w:val="none" w:sz="0" w:space="0" w:color="auto"/>
        <w:left w:val="none" w:sz="0" w:space="0" w:color="auto"/>
        <w:bottom w:val="none" w:sz="0" w:space="0" w:color="auto"/>
        <w:right w:val="none" w:sz="0" w:space="0" w:color="auto"/>
      </w:divBdr>
    </w:div>
    <w:div w:id="1878279021">
      <w:bodyDiv w:val="1"/>
      <w:marLeft w:val="0"/>
      <w:marRight w:val="0"/>
      <w:marTop w:val="0"/>
      <w:marBottom w:val="0"/>
      <w:divBdr>
        <w:top w:val="none" w:sz="0" w:space="0" w:color="auto"/>
        <w:left w:val="none" w:sz="0" w:space="0" w:color="auto"/>
        <w:bottom w:val="none" w:sz="0" w:space="0" w:color="auto"/>
        <w:right w:val="none" w:sz="0" w:space="0" w:color="auto"/>
      </w:divBdr>
    </w:div>
    <w:div w:id="1942950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C5EAE4-9520-4175-B18A-BCEAAC2A3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16</Pages>
  <Words>3841</Words>
  <Characters>21127</Characters>
  <Application>Microsoft Office Word</Application>
  <DocSecurity>0</DocSecurity>
  <Lines>176</Lines>
  <Paragraphs>49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24919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verdi2013</dc:creator>
  <cp:lastModifiedBy>admin</cp:lastModifiedBy>
  <cp:revision>15</cp:revision>
  <cp:lastPrinted>2015-02-20T15:39:00Z</cp:lastPrinted>
  <dcterms:created xsi:type="dcterms:W3CDTF">2015-01-05T17:17:00Z</dcterms:created>
  <dcterms:modified xsi:type="dcterms:W3CDTF">2015-02-20T15:47:00Z</dcterms:modified>
</cp:coreProperties>
</file>